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3"/>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46990</wp:posOffset>
            </wp:positionV>
            <wp:extent cx="2494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48" w:lineRule="exact"/>
        <w:rPr>
          <w:sz w:val="24"/>
          <w:szCs w:val="24"/>
          <w:color w:val="auto"/>
        </w:rPr>
      </w:pPr>
    </w:p>
    <w:p>
      <w:pPr>
        <w:jc w:val="center"/>
        <w:ind w:right="-73"/>
        <w:spacing w:after="0"/>
        <w:rPr>
          <w:sz w:val="20"/>
          <w:szCs w:val="20"/>
          <w:color w:val="auto"/>
        </w:rPr>
      </w:pPr>
      <w:r>
        <w:rPr>
          <w:rFonts w:ascii="Arial" w:cs="Arial" w:eastAsia="Arial" w:hAnsi="Arial"/>
          <w:sz w:val="32"/>
          <w:szCs w:val="32"/>
          <w:b w:val="1"/>
          <w:bCs w:val="1"/>
          <w:color w:val="auto"/>
        </w:rPr>
        <w:t>FORM 10-K</w:t>
      </w:r>
    </w:p>
    <w:p>
      <w:pPr>
        <w:spacing w:after="0" w:line="272" w:lineRule="exact"/>
        <w:rPr>
          <w:sz w:val="24"/>
          <w:szCs w:val="24"/>
          <w:color w:val="auto"/>
        </w:rPr>
      </w:pPr>
    </w:p>
    <w:p>
      <w:pPr>
        <w:ind w:left="4114" w:right="2100" w:hanging="4114"/>
        <w:spacing w:after="0" w:line="244" w:lineRule="auto"/>
        <w:tabs>
          <w:tab w:leader="none" w:pos="675"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ANNUAL REPORT PURSUANT TO SECTION 13 OR 15(d) OF THE SECURITIES EXCHANGE ACT OF 1934 For the fiscal year ended May 31, 2020</w:t>
      </w:r>
    </w:p>
    <w:p>
      <w:pPr>
        <w:spacing w:after="0" w:line="218" w:lineRule="exact"/>
        <w:rPr>
          <w:rFonts w:ascii="MS PGothic" w:cs="MS PGothic" w:eastAsia="MS PGothic" w:hAnsi="MS PGothic"/>
          <w:sz w:val="43"/>
          <w:szCs w:val="43"/>
          <w:color w:val="auto"/>
          <w:vertAlign w:val="subscript"/>
        </w:rPr>
      </w:pPr>
    </w:p>
    <w:p>
      <w:pPr>
        <w:ind w:left="5454"/>
        <w:spacing w:after="0"/>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-770890</wp:posOffset>
            </wp:positionV>
            <wp:extent cx="2494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1" w:lineRule="exact"/>
        <w:rPr>
          <w:sz w:val="24"/>
          <w:szCs w:val="24"/>
          <w:color w:val="auto"/>
        </w:rPr>
      </w:pPr>
    </w:p>
    <w:p>
      <w:pPr>
        <w:ind w:left="674" w:hanging="674"/>
        <w:spacing w:after="0"/>
        <w:tabs>
          <w:tab w:leader="none" w:pos="674"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77" w:lineRule="exact"/>
        <w:rPr>
          <w:sz w:val="24"/>
          <w:szCs w:val="24"/>
          <w:color w:val="auto"/>
        </w:rPr>
      </w:pPr>
    </w:p>
    <w:p>
      <w:pPr>
        <w:ind w:left="3574"/>
        <w:spacing w:after="0"/>
        <w:tabs>
          <w:tab w:leader="none" w:pos="6694"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3774440</wp:posOffset>
            </wp:positionH>
            <wp:positionV relativeFrom="paragraph">
              <wp:posOffset>-7620</wp:posOffset>
            </wp:positionV>
            <wp:extent cx="1066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68580</wp:posOffset>
            </wp:positionV>
            <wp:extent cx="249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80" w:lineRule="exact"/>
        <w:rPr>
          <w:sz w:val="24"/>
          <w:szCs w:val="24"/>
          <w:color w:val="auto"/>
        </w:rPr>
      </w:pPr>
    </w:p>
    <w:p>
      <w:pPr>
        <w:jc w:val="center"/>
        <w:ind w:right="-73"/>
        <w:spacing w:after="0"/>
        <w:rPr>
          <w:sz w:val="20"/>
          <w:szCs w:val="20"/>
          <w:color w:val="auto"/>
        </w:rPr>
      </w:pPr>
      <w:r>
        <w:rPr>
          <w:rFonts w:ascii="Arial" w:cs="Arial" w:eastAsia="Arial" w:hAnsi="Arial"/>
          <w:sz w:val="43"/>
          <w:szCs w:val="43"/>
          <w:b w:val="1"/>
          <w:bCs w:val="1"/>
          <w:color w:val="auto"/>
        </w:rPr>
        <w:t>AngioDynamics, Inc.</w:t>
      </w:r>
    </w:p>
    <w:p>
      <w:pPr>
        <w:spacing w:after="0" w:line="4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1745615</wp:posOffset>
            </wp:positionH>
            <wp:positionV relativeFrom="paragraph">
              <wp:posOffset>159385</wp:posOffset>
            </wp:positionV>
            <wp:extent cx="3617595"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759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tbl>
      <w:tblPr>
        <w:tblLayout w:type="fixed"/>
        <w:tblInd w:w="314"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22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Delaware</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2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89"/>
              </w:rPr>
              <w:t>11-3146460</w:t>
            </w:r>
          </w:p>
        </w:tc>
      </w:tr>
      <w:tr>
        <w:trPr>
          <w:trHeight w:val="180"/>
        </w:trPr>
        <w:tc>
          <w:tcPr>
            <w:tcW w:w="1340" w:type="dxa"/>
            <w:vAlign w:val="bottom"/>
          </w:tcPr>
          <w:p>
            <w:pPr>
              <w:spacing w:after="0"/>
              <w:rPr>
                <w:sz w:val="15"/>
                <w:szCs w:val="15"/>
                <w:color w:val="auto"/>
              </w:rPr>
            </w:pPr>
          </w:p>
        </w:tc>
        <w:tc>
          <w:tcPr>
            <w:tcW w:w="2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340" w:type="dxa"/>
            <w:vAlign w:val="bottom"/>
          </w:tcPr>
          <w:p>
            <w:pPr>
              <w:spacing w:after="0"/>
              <w:rPr>
                <w:sz w:val="16"/>
                <w:szCs w:val="16"/>
                <w:color w:val="auto"/>
              </w:rPr>
            </w:pPr>
          </w:p>
        </w:tc>
        <w:tc>
          <w:tcPr>
            <w:tcW w:w="2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Identification No.)</w:t>
            </w:r>
          </w:p>
        </w:tc>
      </w:tr>
      <w:tr>
        <w:trPr>
          <w:trHeight w:val="556"/>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4"/>
          </w:tcPr>
          <w:p>
            <w:pPr>
              <w:jc w:val="center"/>
              <w:ind w:right="8"/>
              <w:spacing w:after="0"/>
              <w:rPr>
                <w:sz w:val="20"/>
                <w:szCs w:val="20"/>
                <w:color w:val="auto"/>
              </w:rPr>
            </w:pPr>
            <w:r>
              <w:rPr>
                <w:rFonts w:ascii="Arial" w:cs="Arial" w:eastAsia="Arial" w:hAnsi="Arial"/>
                <w:sz w:val="18"/>
                <w:szCs w:val="18"/>
                <w:b w:val="1"/>
                <w:bCs w:val="1"/>
                <w:color w:val="auto"/>
                <w:w w:val="92"/>
              </w:rPr>
              <w:t>14 Plaza Drive, Latham, New York 12110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86"/>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408"/>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gridSpan w:val="3"/>
          </w:tcPr>
          <w:p>
            <w:pPr>
              <w:jc w:val="center"/>
              <w:ind w:left="139"/>
              <w:spacing w:after="0"/>
              <w:rPr>
                <w:sz w:val="20"/>
                <w:szCs w:val="20"/>
                <w:color w:val="auto"/>
              </w:rPr>
            </w:pPr>
            <w:r>
              <w:rPr>
                <w:rFonts w:ascii="Arial" w:cs="Arial" w:eastAsia="Arial" w:hAnsi="Arial"/>
                <w:sz w:val="18"/>
                <w:szCs w:val="18"/>
                <w:b w:val="1"/>
                <w:bCs w:val="1"/>
                <w:color w:val="auto"/>
                <w:w w:val="90"/>
              </w:rPr>
              <w:t>(518) 795-1400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86"/>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6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42"/>
        </w:trPr>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spacing w:after="0"/>
              <w:rPr>
                <w:sz w:val="21"/>
                <w:szCs w:val="21"/>
                <w:color w:val="auto"/>
              </w:rPr>
            </w:pPr>
          </w:p>
        </w:tc>
        <w:tc>
          <w:tcPr>
            <w:tcW w:w="10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60" w:type="dxa"/>
            <w:vAlign w:val="bottom"/>
          </w:tcPr>
          <w:p>
            <w:pPr>
              <w:spacing w:after="0"/>
              <w:rPr>
                <w:sz w:val="21"/>
                <w:szCs w:val="21"/>
                <w:color w:val="auto"/>
              </w:rPr>
            </w:pPr>
          </w:p>
        </w:tc>
      </w:tr>
      <w:tr>
        <w:trPr>
          <w:trHeight w:val="358"/>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40" w:type="dxa"/>
            <w:vAlign w:val="bottom"/>
            <w:gridSpan w:val="11"/>
          </w:tcPr>
          <w:p>
            <w:pPr>
              <w:jc w:val="center"/>
              <w:ind w:right="228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89"/>
        </w:trPr>
        <w:tc>
          <w:tcPr>
            <w:tcW w:w="1340" w:type="dxa"/>
            <w:vAlign w:val="bottom"/>
          </w:tcPr>
          <w:p>
            <w:pPr>
              <w:spacing w:after="0"/>
              <w:rPr>
                <w:sz w:val="16"/>
                <w:szCs w:val="16"/>
                <w:color w:val="auto"/>
              </w:rPr>
            </w:pPr>
          </w:p>
        </w:tc>
        <w:tc>
          <w:tcPr>
            <w:tcW w:w="220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89"/>
              </w:rPr>
              <w:t>Title of each class</w:t>
            </w:r>
          </w:p>
        </w:tc>
        <w:tc>
          <w:tcPr>
            <w:tcW w:w="1260" w:type="dxa"/>
            <w:vAlign w:val="bottom"/>
          </w:tcPr>
          <w:p>
            <w:pPr>
              <w:spacing w:after="0"/>
              <w:rPr>
                <w:sz w:val="16"/>
                <w:szCs w:val="16"/>
                <w:color w:val="auto"/>
              </w:rPr>
            </w:pPr>
          </w:p>
        </w:tc>
        <w:tc>
          <w:tcPr>
            <w:tcW w:w="20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4"/>
              </w:rPr>
              <w:t>Trading Symbol</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20" w:type="dxa"/>
            <w:vAlign w:val="bottom"/>
            <w:gridSpan w:val="3"/>
          </w:tcPr>
          <w:p>
            <w:pPr>
              <w:ind w:left="4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2"/>
            <w:shd w:val="clear" w:color="auto" w:fill="000000"/>
          </w:tcPr>
          <w:p>
            <w:pPr>
              <w:spacing w:after="0" w:line="20" w:lineRule="exact"/>
              <w:rPr>
                <w:sz w:val="1"/>
                <w:szCs w:val="1"/>
                <w:color w:val="auto"/>
              </w:rPr>
            </w:pPr>
          </w:p>
        </w:tc>
      </w:tr>
      <w:tr>
        <w:trPr>
          <w:trHeight w:val="211"/>
        </w:trPr>
        <w:tc>
          <w:tcPr>
            <w:tcW w:w="3540" w:type="dxa"/>
            <w:vAlign w:val="bottom"/>
            <w:gridSpan w:val="5"/>
          </w:tcPr>
          <w:p>
            <w:pPr>
              <w:jc w:val="center"/>
              <w:ind w:left="168"/>
              <w:spacing w:after="0"/>
              <w:rPr>
                <w:sz w:val="20"/>
                <w:szCs w:val="20"/>
                <w:color w:val="auto"/>
              </w:rPr>
            </w:pPr>
            <w:r>
              <w:rPr>
                <w:rFonts w:ascii="Arial" w:cs="Arial" w:eastAsia="Arial" w:hAnsi="Arial"/>
                <w:sz w:val="14"/>
                <w:szCs w:val="14"/>
                <w:b w:val="1"/>
                <w:bCs w:val="1"/>
                <w:color w:val="auto"/>
                <w:w w:val="92"/>
              </w:rPr>
              <w:t>Common Stock, par value $.01 per share</w:t>
            </w:r>
          </w:p>
        </w:tc>
        <w:tc>
          <w:tcPr>
            <w:tcW w:w="1260" w:type="dxa"/>
            <w:vAlign w:val="bottom"/>
          </w:tcPr>
          <w:p>
            <w:pPr>
              <w:spacing w:after="0"/>
              <w:rPr>
                <w:sz w:val="18"/>
                <w:szCs w:val="18"/>
                <w:color w:val="auto"/>
              </w:rPr>
            </w:pPr>
          </w:p>
        </w:tc>
        <w:tc>
          <w:tcPr>
            <w:tcW w:w="20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ANGO</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gridSpan w:val="2"/>
          </w:tcPr>
          <w:p>
            <w:pPr>
              <w:ind w:left="360"/>
              <w:spacing w:after="0"/>
              <w:rPr>
                <w:sz w:val="20"/>
                <w:szCs w:val="20"/>
                <w:color w:val="auto"/>
              </w:rPr>
            </w:pPr>
            <w:r>
              <w:rPr>
                <w:rFonts w:ascii="Arial" w:cs="Arial" w:eastAsia="Arial" w:hAnsi="Arial"/>
                <w:sz w:val="14"/>
                <w:szCs w:val="14"/>
                <w:b w:val="1"/>
                <w:bCs w:val="1"/>
                <w:color w:val="auto"/>
              </w:rPr>
              <w:t>NASDAQ Global Select Market</w:t>
            </w:r>
          </w:p>
        </w:tc>
      </w:tr>
      <w:tr>
        <w:trPr>
          <w:trHeight w:val="520"/>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40" w:type="dxa"/>
            <w:vAlign w:val="bottom"/>
            <w:gridSpan w:val="11"/>
          </w:tcPr>
          <w:p>
            <w:pPr>
              <w:jc w:val="center"/>
              <w:ind w:right="228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12"/>
        </w:trPr>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8"/>
              </w:rPr>
              <w:t>None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86"/>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3"/>
              </w:rPr>
              <w:t>(Title of Class)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41"/>
        </w:trPr>
        <w:tc>
          <w:tcPr>
            <w:tcW w:w="3320" w:type="dxa"/>
            <w:vAlign w:val="bottom"/>
            <w:gridSpan w:val="4"/>
          </w:tcPr>
          <w:p>
            <w:pPr>
              <w:spacing w:after="0"/>
              <w:rPr>
                <w:sz w:val="21"/>
                <w:szCs w:val="21"/>
                <w:color w:val="auto"/>
              </w:rPr>
            </w:pPr>
          </w:p>
        </w:tc>
        <w:tc>
          <w:tcPr>
            <w:tcW w:w="348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80" w:type="dxa"/>
            <w:vAlign w:val="bottom"/>
            <w:gridSpan w:val="2"/>
          </w:tcPr>
          <w:p>
            <w:pPr>
              <w:spacing w:after="0"/>
              <w:rPr>
                <w:sz w:val="21"/>
                <w:szCs w:val="21"/>
                <w:color w:val="auto"/>
              </w:rPr>
            </w:pPr>
          </w:p>
        </w:tc>
      </w:tr>
      <w:tr>
        <w:trPr>
          <w:trHeight w:val="335"/>
        </w:trPr>
        <w:tc>
          <w:tcPr>
            <w:tcW w:w="6800" w:type="dxa"/>
            <w:vAlign w:val="bottom"/>
            <w:gridSpan w:val="8"/>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tcPr>
          <w:p>
            <w:pPr>
              <w:ind w:left="80"/>
              <w:spacing w:after="0"/>
              <w:rPr>
                <w:sz w:val="20"/>
                <w:szCs w:val="20"/>
                <w:color w:val="auto"/>
              </w:rPr>
            </w:pPr>
            <w:r>
              <w:rPr>
                <w:rFonts w:ascii="Arial" w:cs="Arial" w:eastAsia="Arial" w:hAnsi="Arial"/>
                <w:sz w:val="14"/>
                <w:szCs w:val="14"/>
                <w:color w:val="auto"/>
                <w:w w:val="82"/>
              </w:rPr>
              <w:t>Yes</w:t>
            </w:r>
          </w:p>
        </w:tc>
        <w:tc>
          <w:tcPr>
            <w:tcW w:w="220" w:type="dxa"/>
            <w:vAlign w:val="bottom"/>
            <w:gridSpan w:val="2"/>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40" w:type="dxa"/>
            <w:vAlign w:val="bottom"/>
          </w:tcPr>
          <w:p>
            <w:pPr>
              <w:spacing w:after="0"/>
              <w:rPr>
                <w:sz w:val="24"/>
                <w:szCs w:val="24"/>
                <w:color w:val="auto"/>
              </w:rPr>
            </w:pPr>
          </w:p>
        </w:tc>
        <w:tc>
          <w:tcPr>
            <w:tcW w:w="2680" w:type="dxa"/>
            <w:vAlign w:val="bottom"/>
            <w:gridSpan w:val="2"/>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30"/>
        </w:trPr>
        <w:tc>
          <w:tcPr>
            <w:tcW w:w="6800" w:type="dxa"/>
            <w:vAlign w:val="bottom"/>
            <w:gridSpan w:val="8"/>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gridSpan w:val="2"/>
          </w:tcPr>
          <w:p>
            <w:pPr>
              <w:spacing w:after="0"/>
              <w:rPr>
                <w:sz w:val="20"/>
                <w:szCs w:val="20"/>
                <w:color w:val="auto"/>
              </w:rPr>
            </w:pPr>
            <w:r>
              <w:rPr>
                <w:rFonts w:ascii="Arial" w:cs="Arial" w:eastAsia="Arial" w:hAnsi="Arial"/>
                <w:sz w:val="14"/>
                <w:szCs w:val="14"/>
                <w:color w:val="auto"/>
              </w:rPr>
              <w:t>No</w:t>
            </w:r>
          </w:p>
        </w:tc>
        <w:tc>
          <w:tcPr>
            <w:tcW w:w="2720" w:type="dxa"/>
            <w:vAlign w:val="bottom"/>
            <w:gridSpan w:val="3"/>
          </w:tcPr>
          <w:p>
            <w:pPr>
              <w:ind w:left="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8" w:lineRule="exact"/>
        <w:rPr>
          <w:sz w:val="24"/>
          <w:szCs w:val="24"/>
          <w:color w:val="auto"/>
        </w:rPr>
      </w:pPr>
    </w:p>
    <w:p>
      <w:pPr>
        <w:ind w:left="314"/>
        <w:spacing w:after="0" w:line="18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left="314" w:right="360"/>
        <w:spacing w:after="0" w:line="187"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left="314" w:right="60"/>
        <w:spacing w:after="0" w:line="18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left="314" w:right="22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450850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14"/>
          </w:cols>
          <w:pgMar w:left="346" w:top="1030" w:right="439" w:bottom="1440" w:gutter="0" w:footer="0" w:header="0"/>
        </w:sectPr>
      </w:pPr>
    </w:p>
    <w:bookmarkStart w:id="1" w:name="page2"/>
    <w:bookmarkEnd w:id="1"/>
    <w:tbl>
      <w:tblPr>
        <w:tblLayout w:type="fixed"/>
        <w:tblInd w:w="186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96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96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9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99" w:lineRule="exact"/>
        <w:rPr>
          <w:sz w:val="20"/>
          <w:szCs w:val="20"/>
          <w:color w:val="auto"/>
        </w:rPr>
      </w:pPr>
    </w:p>
    <w:p>
      <w:pPr>
        <w:ind w:right="16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0"/>
          <w:szCs w:val="20"/>
          <w:color w:val="auto"/>
        </w:rPr>
      </w:pPr>
    </w:p>
    <w:p>
      <w:pPr>
        <w:spacing w:after="0" w:line="161" w:lineRule="exact"/>
        <w:tabs>
          <w:tab w:leader="none" w:pos="6640" w:val="left"/>
          <w:tab w:leader="none" w:pos="72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79" w:lineRule="exact"/>
        <w:rPr>
          <w:sz w:val="20"/>
          <w:szCs w:val="20"/>
          <w:color w:val="auto"/>
        </w:rPr>
      </w:pPr>
    </w:p>
    <w:p>
      <w:pPr>
        <w:ind w:right="100"/>
        <w:spacing w:after="0" w:line="312" w:lineRule="auto"/>
        <w:rPr>
          <w:sz w:val="20"/>
          <w:szCs w:val="20"/>
          <w:color w:val="auto"/>
        </w:rPr>
      </w:pPr>
      <w:r>
        <w:rPr>
          <w:rFonts w:ascii="Arial" w:cs="Arial" w:eastAsia="Arial" w:hAnsi="Arial"/>
          <w:sz w:val="13"/>
          <w:szCs w:val="13"/>
          <w:color w:val="auto"/>
        </w:rPr>
        <w:t>As of November 30, 2019, the last business day of the registrant’s most recently completed second fiscal quarter, the aggregate market value of the registrant’s common stock held by non-affiliates was approximately $531,215,389 computed by reference to the last sale price of the common stock on that date as reported by The NASDAQ Global Select Market.</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As of August 5, 2020 there were 37,869,430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information required for Part III of this Annual Report on Form 10-K is incorporated by reference to the registrant’s Proxy Statement for its 2020 Annual Meeting of Stockholders to be filed within 120 days of the registrant's fiscal year ended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464820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660" w:top="971" w:right="3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Part I:</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Item 1A.</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1B.</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2.</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3.</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6.</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Item 7A.</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8.</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Item 9A.</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9B.</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Part III:</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10.</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11.</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12.</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13.</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14.</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Part IV:</w:t>
      </w:r>
    </w:p>
    <w:p>
      <w:pPr>
        <w:spacing w:after="0" w:line="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Item 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jc w:val="center"/>
              <w:ind w:right="830"/>
              <w:spacing w:after="0"/>
              <w:rPr>
                <w:sz w:val="20"/>
                <w:szCs w:val="20"/>
                <w:color w:val="auto"/>
              </w:rPr>
            </w:pPr>
            <w:r>
              <w:rPr>
                <w:rFonts w:ascii="Arial" w:cs="Arial" w:eastAsia="Arial" w:hAnsi="Arial"/>
                <w:sz w:val="18"/>
                <w:szCs w:val="18"/>
                <w:b w:val="1"/>
                <w:bCs w:val="1"/>
                <w:color w:val="auto"/>
                <w:w w:val="89"/>
              </w:rPr>
              <w:t>AngioDynamics, Inc. and Subsidiaries</w:t>
            </w:r>
          </w:p>
        </w:tc>
        <w:tc>
          <w:tcPr>
            <w:tcW w:w="560" w:type="dxa"/>
            <w:vAlign w:val="bottom"/>
          </w:tcPr>
          <w:p>
            <w:pPr>
              <w:spacing w:after="0"/>
              <w:rPr>
                <w:sz w:val="20"/>
                <w:szCs w:val="20"/>
                <w:color w:val="auto"/>
              </w:rPr>
            </w:pPr>
          </w:p>
        </w:tc>
      </w:tr>
      <w:tr>
        <w:trPr>
          <w:trHeight w:val="310"/>
        </w:trPr>
        <w:tc>
          <w:tcPr>
            <w:tcW w:w="9160" w:type="dxa"/>
            <w:vAlign w:val="bottom"/>
          </w:tcPr>
          <w:p>
            <w:pPr>
              <w:jc w:val="center"/>
              <w:ind w:right="810"/>
              <w:spacing w:after="0"/>
              <w:rPr>
                <w:sz w:val="20"/>
                <w:szCs w:val="20"/>
                <w:color w:val="auto"/>
              </w:rPr>
            </w:pPr>
            <w:r>
              <w:rPr>
                <w:rFonts w:ascii="Arial" w:cs="Arial" w:eastAsia="Arial" w:hAnsi="Arial"/>
                <w:sz w:val="18"/>
                <w:szCs w:val="18"/>
                <w:b w:val="1"/>
                <w:bCs w:val="1"/>
                <w:color w:val="auto"/>
              </w:rPr>
              <w:t>INDEX</w:t>
            </w:r>
          </w:p>
        </w:tc>
        <w:tc>
          <w:tcPr>
            <w:tcW w:w="560" w:type="dxa"/>
            <w:vAlign w:val="bottom"/>
          </w:tcPr>
          <w:p>
            <w:pPr>
              <w:spacing w:after="0"/>
              <w:rPr>
                <w:sz w:val="24"/>
                <w:szCs w:val="24"/>
                <w:color w:val="auto"/>
              </w:rPr>
            </w:pPr>
          </w:p>
        </w:tc>
      </w:tr>
      <w:tr>
        <w:trPr>
          <w:trHeight w:val="413"/>
        </w:trPr>
        <w:tc>
          <w:tcPr>
            <w:tcW w:w="916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526"/>
        </w:trPr>
        <w:tc>
          <w:tcPr>
            <w:tcW w:w="916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5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Risk Factors</w:t>
              </w:r>
            </w:hyperlink>
          </w:p>
        </w:tc>
        <w:tc>
          <w:tcPr>
            <w:tcW w:w="56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15</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Unresolved Staff Comments</w:t>
              </w:r>
            </w:hyperlink>
          </w:p>
        </w:tc>
        <w:tc>
          <w:tcPr>
            <w:tcW w:w="56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Properties</w:t>
              </w:r>
            </w:hyperlink>
          </w:p>
        </w:tc>
        <w:tc>
          <w:tcPr>
            <w:tcW w:w="56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37</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Legal Proceedings</w:t>
              </w:r>
            </w:hyperlink>
          </w:p>
        </w:tc>
        <w:tc>
          <w:tcPr>
            <w:tcW w:w="5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Mine Safety Disclosures</w:t>
              </w:r>
            </w:hyperlink>
          </w:p>
        </w:tc>
        <w:tc>
          <w:tcPr>
            <w:tcW w:w="56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r>
      <w:tr>
        <w:trPr>
          <w:trHeight w:val="540"/>
        </w:trPr>
        <w:tc>
          <w:tcPr>
            <w:tcW w:w="916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Market for Registrant’s Common Equity, Related Stockholder Matters and Issuer Purchases of Equity</w:t>
              </w:r>
            </w:hyperlink>
          </w:p>
        </w:tc>
        <w:tc>
          <w:tcPr>
            <w:tcW w:w="56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40</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Selected Financial Data</w:t>
              </w:r>
            </w:hyperlink>
          </w:p>
        </w:tc>
        <w:tc>
          <w:tcPr>
            <w:tcW w:w="56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42</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43</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Quantitative and Qualitative Disclosures About Market Risk</w:t>
              </w:r>
            </w:hyperlink>
          </w:p>
        </w:tc>
        <w:tc>
          <w:tcPr>
            <w:tcW w:w="56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59</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Financial Statements and Supplementary Data</w:t>
              </w:r>
            </w:hyperlink>
          </w:p>
        </w:tc>
        <w:tc>
          <w:tcPr>
            <w:tcW w:w="56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59</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Changes in and Disagreements with Accountants on Accounting and Financial Disclosure</w:t>
              </w:r>
            </w:hyperlink>
          </w:p>
        </w:tc>
        <w:tc>
          <w:tcPr>
            <w:tcW w:w="56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59</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Controls and Procedures</w:t>
              </w:r>
            </w:hyperlink>
          </w:p>
        </w:tc>
        <w:tc>
          <w:tcPr>
            <w:tcW w:w="56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60</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Other Information</w:t>
              </w:r>
            </w:hyperlink>
          </w:p>
        </w:tc>
        <w:tc>
          <w:tcPr>
            <w:tcW w:w="56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62</w:t>
              </w:r>
            </w:hyperlink>
          </w:p>
        </w:tc>
      </w:tr>
      <w:tr>
        <w:trPr>
          <w:trHeight w:val="540"/>
        </w:trPr>
        <w:tc>
          <w:tcPr>
            <w:tcW w:w="916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Directors, Executive Officers and Corporate Governance</w:t>
              </w:r>
            </w:hyperlink>
          </w:p>
        </w:tc>
        <w:tc>
          <w:tcPr>
            <w:tcW w:w="56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63</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Executive Compensation</w:t>
              </w:r>
            </w:hyperlink>
          </w:p>
        </w:tc>
        <w:tc>
          <w:tcPr>
            <w:tcW w:w="56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63</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Security Ownership of Certain Beneficial Owners and Management and Related Stockholder Matters</w:t>
              </w:r>
            </w:hyperlink>
          </w:p>
        </w:tc>
        <w:tc>
          <w:tcPr>
            <w:tcW w:w="56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63</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Certain Relationships and Related Transactions, and Director Independence</w:t>
              </w:r>
            </w:hyperlink>
          </w:p>
        </w:tc>
        <w:tc>
          <w:tcPr>
            <w:tcW w:w="56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63</w:t>
              </w:r>
            </w:hyperlink>
          </w:p>
        </w:tc>
      </w:tr>
      <w:tr>
        <w:trPr>
          <w:trHeight w:val="270"/>
        </w:trPr>
        <w:tc>
          <w:tcPr>
            <w:tcW w:w="916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Principal Accounting Fees and Services</w:t>
              </w:r>
            </w:hyperlink>
          </w:p>
        </w:tc>
        <w:tc>
          <w:tcPr>
            <w:tcW w:w="56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63</w:t>
              </w:r>
            </w:hyperlink>
          </w:p>
        </w:tc>
      </w:tr>
      <w:tr>
        <w:trPr>
          <w:trHeight w:val="540"/>
        </w:trPr>
        <w:tc>
          <w:tcPr>
            <w:tcW w:w="9160" w:type="dxa"/>
            <w:vAlign w:val="bottom"/>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Exhibits, Financial Statement Schedules</w:t>
              </w:r>
            </w:hyperlink>
          </w:p>
        </w:tc>
        <w:tc>
          <w:tcPr>
            <w:tcW w:w="56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64</w:t>
              </w:r>
            </w:hyperlink>
          </w:p>
        </w:tc>
      </w:tr>
      <w:tr>
        <w:trPr>
          <w:trHeight w:val="878"/>
        </w:trPr>
        <w:tc>
          <w:tcPr>
            <w:tcW w:w="9160" w:type="dxa"/>
            <w:vAlign w:val="bottom"/>
          </w:tcPr>
          <w:p>
            <w:pPr>
              <w:jc w:val="center"/>
              <w:ind w:right="830"/>
              <w:spacing w:after="0"/>
              <w:rPr>
                <w:sz w:val="20"/>
                <w:szCs w:val="20"/>
                <w:color w:val="auto"/>
              </w:rPr>
            </w:pPr>
            <w:r>
              <w:rPr>
                <w:rFonts w:ascii="Arial" w:cs="Arial" w:eastAsia="Arial" w:hAnsi="Arial"/>
                <w:sz w:val="18"/>
                <w:szCs w:val="18"/>
                <w:color w:val="auto"/>
                <w:w w:val="79"/>
              </w:rPr>
              <w:t>1</w:t>
            </w: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080" w:space="400"/>
            <w:col w:w="9720"/>
          </w:cols>
          <w:pgMar w:left="340" w:top="1053" w:right="3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6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89"/>
        <w:spacing w:after="0" w:line="286" w:lineRule="auto"/>
        <w:rPr>
          <w:sz w:val="20"/>
          <w:szCs w:val="20"/>
          <w:color w:val="auto"/>
        </w:rPr>
      </w:pPr>
      <w:r>
        <w:rPr>
          <w:rFonts w:ascii="Arial" w:cs="Arial" w:eastAsia="Arial" w:hAnsi="Arial"/>
          <w:sz w:val="17"/>
          <w:szCs w:val="17"/>
          <w:color w:val="auto"/>
        </w:rPr>
        <w:t>AngioDynamics, Inc. (together with its subsidiaries, "AngioDynamics," the "Company," "we," "our" or "us") designs, manufactures and sells a wide range of medical, surgical and diagnostic devices used by professional healthcare providers for the treatment of peripheral vascular disease, vascular access and for use in oncology and surgical settings. Our devices are generally used in minimally invasive, image-guided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75" w:lineRule="exact"/>
        <w:rPr>
          <w:sz w:val="20"/>
          <w:szCs w:val="20"/>
          <w:color w:val="auto"/>
        </w:rPr>
      </w:pPr>
    </w:p>
    <w:p>
      <w:pPr>
        <w:ind w:firstLine="389"/>
        <w:spacing w:after="0" w:line="301" w:lineRule="auto"/>
        <w:rPr>
          <w:sz w:val="20"/>
          <w:szCs w:val="20"/>
          <w:color w:val="auto"/>
        </w:rPr>
      </w:pPr>
      <w:r>
        <w:rPr>
          <w:rFonts w:ascii="Arial" w:cs="Arial" w:eastAsia="Arial" w:hAnsi="Arial"/>
          <w:sz w:val="16"/>
          <w:szCs w:val="16"/>
          <w:color w:val="auto"/>
        </w:rPr>
        <w:t>AngioDynamics was founded in Queensbury, N.Y., U.S., in 1988. Queensbury was chosen due to its location in the heart of "Catheter Valley," an area in New York's Adirondack Region named for its long history of catheter and other medical device manufacturing. Initially dedicated to the research and development of products used in interventional radiology, AngioDynamics began manufacturing and shipping product in the early 1990s. The Company soon became well established as a producer of diagnostic catheters for non-coronary angiography and thrombolytic delivery systems.</w:t>
      </w:r>
    </w:p>
    <w:p>
      <w:pPr>
        <w:spacing w:after="0" w:line="103" w:lineRule="exact"/>
        <w:rPr>
          <w:sz w:val="20"/>
          <w:szCs w:val="20"/>
          <w:color w:val="auto"/>
        </w:rPr>
      </w:pPr>
    </w:p>
    <w:p>
      <w:pPr>
        <w:ind w:right="20" w:firstLine="389"/>
        <w:spacing w:after="0" w:line="293" w:lineRule="auto"/>
        <w:rPr>
          <w:sz w:val="20"/>
          <w:szCs w:val="20"/>
          <w:color w:val="auto"/>
        </w:rPr>
      </w:pPr>
      <w:r>
        <w:rPr>
          <w:rFonts w:ascii="Arial" w:cs="Arial" w:eastAsia="Arial" w:hAnsi="Arial"/>
          <w:sz w:val="16"/>
          <w:szCs w:val="16"/>
          <w:color w:val="auto"/>
        </w:rPr>
        <w:t>The Company grew over the following years as a result of acquisitions of companies including RITA Medical Systems in January 2007, Oncobionic in May 2008, Vortex Medical, Inc. in October 2012, Clinical Devices in August 2013, the assets of Diomed in June 2008 and the assets of Microsulis Medical Limited in January 2013. These acquisitions added product lines including market-leading ablation and NanoKnife systems, vascular access products, angiographic products and accessories, dialysis products, drainage products, thrombolytic products, embolization products and venous products. In May 2012, AngioDynamics acquired Navilyst Medical, bringing market-leading Fluid Management systems into our portfolio. The acquisition significantly expanded the Company's scale, doubling its share of the vascular access market while building critical mass in the peripheral vascular market.</w:t>
      </w:r>
    </w:p>
    <w:p>
      <w:pPr>
        <w:spacing w:after="0" w:line="110" w:lineRule="exact"/>
        <w:rPr>
          <w:sz w:val="20"/>
          <w:szCs w:val="20"/>
          <w:color w:val="auto"/>
        </w:rPr>
      </w:pPr>
    </w:p>
    <w:p>
      <w:pPr>
        <w:ind w:right="540" w:firstLine="389"/>
        <w:spacing w:after="0" w:line="308" w:lineRule="auto"/>
        <w:rPr>
          <w:sz w:val="20"/>
          <w:szCs w:val="20"/>
          <w:color w:val="auto"/>
        </w:rPr>
      </w:pPr>
      <w:r>
        <w:rPr>
          <w:rFonts w:ascii="Arial" w:cs="Arial" w:eastAsia="Arial" w:hAnsi="Arial"/>
          <w:sz w:val="17"/>
          <w:szCs w:val="17"/>
          <w:color w:val="auto"/>
        </w:rPr>
        <w:t>In August 2018, the Company acquired the BioSentry product line from Surgical Specialties, LLC. In September 2018, the Company acquired RadiaDyne, which consisted of the OARtrac dose monitoring technology along with endorectal and vaginal balloons.</w:t>
      </w:r>
    </w:p>
    <w:p>
      <w:pPr>
        <w:spacing w:after="0" w:line="92" w:lineRule="exact"/>
        <w:rPr>
          <w:sz w:val="20"/>
          <w:szCs w:val="20"/>
          <w:color w:val="auto"/>
        </w:rPr>
      </w:pPr>
    </w:p>
    <w:p>
      <w:pPr>
        <w:ind w:right="380" w:firstLine="389"/>
        <w:spacing w:after="0" w:line="308" w:lineRule="auto"/>
        <w:rPr>
          <w:sz w:val="20"/>
          <w:szCs w:val="20"/>
          <w:color w:val="auto"/>
        </w:rPr>
      </w:pPr>
      <w:r>
        <w:rPr>
          <w:rFonts w:ascii="Arial" w:cs="Arial" w:eastAsia="Arial" w:hAnsi="Arial"/>
          <w:sz w:val="17"/>
          <w:szCs w:val="17"/>
          <w:color w:val="auto"/>
        </w:rPr>
        <w:t>On May 31, 2019, the Company completed the sale of the Fluid Management business and all of the assets used primarily in connection with the Fluid Management business to Medline Industries, Inc. pursuant to an asset purchase agreement dated April 17, 2019.</w:t>
      </w:r>
    </w:p>
    <w:p>
      <w:pPr>
        <w:spacing w:after="0" w:line="92" w:lineRule="exact"/>
        <w:rPr>
          <w:sz w:val="20"/>
          <w:szCs w:val="20"/>
          <w:color w:val="auto"/>
        </w:rPr>
      </w:pPr>
    </w:p>
    <w:p>
      <w:pPr>
        <w:ind w:right="220" w:firstLine="389"/>
        <w:spacing w:after="0" w:line="277" w:lineRule="auto"/>
        <w:rPr>
          <w:sz w:val="20"/>
          <w:szCs w:val="20"/>
          <w:color w:val="auto"/>
        </w:rPr>
      </w:pPr>
      <w:r>
        <w:rPr>
          <w:rFonts w:ascii="Arial" w:cs="Arial" w:eastAsia="Arial" w:hAnsi="Arial"/>
          <w:sz w:val="18"/>
          <w:szCs w:val="18"/>
          <w:color w:val="auto"/>
        </w:rPr>
        <w:t>On October 2, 2019, the Company acquired Eximo Medical, Ltd., a pre-commercial stage medical device company and its proprietary 355nm laser atherectomy technology, which treats Peripheral Artery Disease. This product has been renamed Auryon.</w:t>
      </w:r>
    </w:p>
    <w:p>
      <w:pPr>
        <w:spacing w:after="0" w:line="116" w:lineRule="exact"/>
        <w:rPr>
          <w:sz w:val="20"/>
          <w:szCs w:val="20"/>
          <w:color w:val="auto"/>
        </w:rPr>
      </w:pPr>
    </w:p>
    <w:p>
      <w:pPr>
        <w:ind w:right="480" w:firstLine="389"/>
        <w:spacing w:after="0" w:line="277" w:lineRule="auto"/>
        <w:rPr>
          <w:sz w:val="20"/>
          <w:szCs w:val="20"/>
          <w:color w:val="auto"/>
        </w:rPr>
      </w:pPr>
      <w:r>
        <w:rPr>
          <w:rFonts w:ascii="Arial" w:cs="Arial" w:eastAsia="Arial" w:hAnsi="Arial"/>
          <w:sz w:val="18"/>
          <w:szCs w:val="18"/>
          <w:color w:val="auto"/>
        </w:rPr>
        <w:t>On December 17, 2019, the Company acquired the C3 Wave tip location asset from Medical Components Inc. This acquisition fills a gap in the Vascular Access portfolio.</w:t>
      </w:r>
    </w:p>
    <w:p>
      <w:pPr>
        <w:spacing w:after="0" w:line="116" w:lineRule="exact"/>
        <w:rPr>
          <w:sz w:val="20"/>
          <w:szCs w:val="20"/>
          <w:color w:val="auto"/>
        </w:rPr>
      </w:pPr>
    </w:p>
    <w:p>
      <w:pPr>
        <w:ind w:right="280" w:firstLine="389"/>
        <w:spacing w:after="0" w:line="277" w:lineRule="auto"/>
        <w:rPr>
          <w:sz w:val="20"/>
          <w:szCs w:val="20"/>
          <w:color w:val="auto"/>
        </w:rPr>
      </w:pPr>
      <w:r>
        <w:rPr>
          <w:rFonts w:ascii="Arial" w:cs="Arial" w:eastAsia="Arial" w:hAnsi="Arial"/>
          <w:sz w:val="18"/>
          <w:szCs w:val="18"/>
          <w:color w:val="auto"/>
        </w:rPr>
        <w:t>Headquartered in Latham, N.Y., with manufacturing primarily out of the Queensbury facility, AngioDynamics is publicly traded on the NASDAQ stock exchange under the symbol ANGO.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75" w:lineRule="exact"/>
        <w:rPr>
          <w:sz w:val="20"/>
          <w:szCs w:val="20"/>
          <w:color w:val="auto"/>
        </w:rPr>
      </w:pPr>
    </w:p>
    <w:p>
      <w:pPr>
        <w:jc w:val="both"/>
        <w:ind w:right="120" w:firstLine="389"/>
        <w:spacing w:after="0" w:line="263" w:lineRule="auto"/>
        <w:rPr>
          <w:sz w:val="20"/>
          <w:szCs w:val="20"/>
          <w:color w:val="auto"/>
        </w:rPr>
      </w:pPr>
      <w:r>
        <w:rPr>
          <w:rFonts w:ascii="Arial" w:cs="Arial" w:eastAsia="Arial" w:hAnsi="Arial"/>
          <w:sz w:val="18"/>
          <w:szCs w:val="18"/>
          <w:color w:val="auto"/>
        </w:rPr>
        <w:t>Our product offerings fall within three Global Business Units (GBUs): Oncology/Surgery ("OS"), Vascular Interventions and Therapies ("VIT") and Vascular Access ("VA"). All products discussed below have been cleared for sale in the United States by the Food and Drug Administration. International regulatory clearances vary by product and jurisdiction.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Oncology/Surgery Products</w:t>
      </w:r>
    </w:p>
    <w:p>
      <w:pPr>
        <w:spacing w:after="0" w:line="175" w:lineRule="exact"/>
        <w:rPr>
          <w:sz w:val="20"/>
          <w:szCs w:val="20"/>
          <w:color w:val="auto"/>
        </w:rPr>
      </w:pPr>
    </w:p>
    <w:p>
      <w:pPr>
        <w:ind w:right="880" w:firstLine="389"/>
        <w:spacing w:after="0" w:line="308" w:lineRule="auto"/>
        <w:rPr>
          <w:sz w:val="20"/>
          <w:szCs w:val="20"/>
          <w:color w:val="auto"/>
        </w:rPr>
      </w:pPr>
      <w:r>
        <w:rPr>
          <w:rFonts w:ascii="Arial" w:cs="Arial" w:eastAsia="Arial" w:hAnsi="Arial"/>
          <w:sz w:val="17"/>
          <w:szCs w:val="17"/>
          <w:color w:val="auto"/>
        </w:rPr>
        <w:t>AngioDynamics offers a range of comprehensive ablation technologies, including thermal tissue ablation systems (microwave energy and radiofrequency energy), surgical resection and the NanoKnife System, an innovative alternative to thermal ablation.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50"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IRE Ablation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NanoKnife</w:t>
      </w:r>
      <w:r>
        <w:rPr>
          <w:rFonts w:ascii="Arial" w:cs="Arial" w:eastAsia="Arial" w:hAnsi="Arial"/>
          <w:sz w:val="23"/>
          <w:szCs w:val="23"/>
          <w:i w:val="1"/>
          <w:iCs w:val="1"/>
          <w:color w:val="auto"/>
          <w:vertAlign w:val="superscript"/>
        </w:rPr>
        <w:t>®</w:t>
      </w:r>
    </w:p>
    <w:p>
      <w:pPr>
        <w:spacing w:after="0" w:line="114" w:lineRule="exact"/>
        <w:rPr>
          <w:sz w:val="20"/>
          <w:szCs w:val="20"/>
          <w:color w:val="auto"/>
        </w:rPr>
      </w:pPr>
    </w:p>
    <w:p>
      <w:pPr>
        <w:ind w:right="5680" w:firstLine="389"/>
        <w:spacing w:after="0" w:line="245" w:lineRule="auto"/>
        <w:rPr>
          <w:sz w:val="20"/>
          <w:szCs w:val="20"/>
          <w:color w:val="auto"/>
        </w:rPr>
      </w:pPr>
      <w:r>
        <w:rPr>
          <w:rFonts w:ascii="Arial" w:cs="Arial" w:eastAsia="Arial" w:hAnsi="Arial"/>
          <w:sz w:val="18"/>
          <w:szCs w:val="18"/>
          <w:color w:val="auto"/>
        </w:rPr>
        <w:t>The NanoKnife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is an alternative to traditional thermal ablation that has received 510(k) clearance from the Food and Drug Administration for the surgical ablation of soft tissue. The NanoKnife Ablation System utilizes low energy direct current electrical pulses to permanently open pores in target cell membranes. These permanent pores or nano-scale defects in the cell membranes result in cell death. The treated tissue is then removed by the body’s natural processes in a matter of weeks, mimicking natural cell death. Unlike other ablation technologies, NanoKnife Ablation System does not achieve tissue ablation using thermal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-1266190</wp:posOffset>
            </wp:positionV>
            <wp:extent cx="2820035" cy="1405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0035" cy="1405890"/>
                    </a:xfrm>
                    <a:prstGeom prst="rect">
                      <a:avLst/>
                    </a:prstGeom>
                    <a:noFill/>
                  </pic:spPr>
                </pic:pic>
              </a:graphicData>
            </a:graphic>
          </wp:anchor>
        </w:drawing>
      </w:r>
    </w:p>
    <w:p>
      <w:pPr>
        <w:spacing w:after="0" w:line="346" w:lineRule="exact"/>
        <w:rPr>
          <w:sz w:val="20"/>
          <w:szCs w:val="20"/>
          <w:color w:val="auto"/>
        </w:rPr>
      </w:pPr>
    </w:p>
    <w:p>
      <w:pPr>
        <w:jc w:val="both"/>
        <w:ind w:right="240" w:firstLine="389"/>
        <w:spacing w:after="0" w:line="301" w:lineRule="auto"/>
        <w:rPr>
          <w:sz w:val="20"/>
          <w:szCs w:val="20"/>
          <w:color w:val="auto"/>
        </w:rPr>
      </w:pPr>
      <w:r>
        <w:rPr>
          <w:rFonts w:ascii="Arial" w:cs="Arial" w:eastAsia="Arial" w:hAnsi="Arial"/>
          <w:sz w:val="16"/>
          <w:szCs w:val="16"/>
          <w:color w:val="auto"/>
        </w:rPr>
        <w:t>The NanoKnife Ablation System consists of two major components: a Low Energy Direct Current, or LEDC Generator and needle-like electrode probes. Up to six (6) electrode probes can be placed into or around the targeted soft tissue. Once the probes are in place, the user enters the appropriate parameters for voltage, number of pulses, interval between pulses, and the pulse length into the generator user interface. The generator then delivers a series of short electric pulses between each electrode probe. The energy delivery is hyperechoic and can be monitored under real-time ultrasound.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Microwave Ablation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Solero Microwave Tissue Ablation (MTA) System</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Solero MTA System features the Solero Microwave (MW)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Generator and the specially designed Solero MW Applicators. The solid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Solero MW Generator with a 2.45 GHz operating frequency can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up to 140W for optimized power delivery and fast ablations.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Solero MW Applicator’s optimized ceramic tip diffuses MW energy nearly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spherically, and its patented cooling channel with thermocouple provides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real-time monitoring to help protect non-targeted tissue during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ablation. In addition, the Solero MTA System offers physicians scalability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single applicator designed for multiple, predictable ablation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volumes by varying time and wattage. Solero is a single applicator system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able to complete up to a 5 cm ablation in six (6) minutes at maximum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w:t>
      </w:r>
    </w:p>
    <w:p>
      <w:pPr>
        <w:spacing w:after="0" w:line="346"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The Solero MTA System and Accessories are indicated in the U.S. for the ablation of soft tissue during open procedures. The Solero MTA System is not intended for cardiac use.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Radiofrequency Ablation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StarBurst Radiofrequency Ablation Devices</w:t>
      </w:r>
    </w:p>
    <w:p>
      <w:pPr>
        <w:spacing w:after="0" w:line="171" w:lineRule="exact"/>
        <w:rPr>
          <w:sz w:val="20"/>
          <w:szCs w:val="20"/>
          <w:color w:val="auto"/>
        </w:rPr>
      </w:pPr>
    </w:p>
    <w:p>
      <w:pPr>
        <w:ind w:right="20" w:firstLine="389"/>
        <w:spacing w:after="0" w:line="259" w:lineRule="auto"/>
        <w:rPr>
          <w:sz w:val="20"/>
          <w:szCs w:val="20"/>
          <w:color w:val="auto"/>
        </w:rPr>
      </w:pPr>
      <w:r>
        <w:rPr>
          <w:rFonts w:ascii="Arial" w:cs="Arial" w:eastAsia="Arial" w:hAnsi="Arial"/>
          <w:sz w:val="18"/>
          <w:szCs w:val="18"/>
          <w:color w:val="auto"/>
        </w:rPr>
        <w:t>Radiofrequency Ablation (RFA) products use radiofrequency energy to provide a minimally invasive approach to ablating solid cancerous or benign tumors. Our StarBurst Radiofrequency Ablation devices deliver radiofrequency energy to raise the temperature of cells above 45-50°C, causing cellular death. The physician inserts the disposable needle electrode device into the targeted body tissue, typically under ultrasound, CT or Magnetic Resonance Imaging (MRI) guidance.</w:t>
      </w:r>
    </w:p>
    <w:p>
      <w:pPr>
        <w:spacing w:after="0" w:line="133" w:lineRule="exact"/>
        <w:rPr>
          <w:sz w:val="20"/>
          <w:szCs w:val="20"/>
          <w:color w:val="auto"/>
        </w:rPr>
      </w:pPr>
    </w:p>
    <w:p>
      <w:pPr>
        <w:jc w:val="both"/>
        <w:ind w:right="120" w:firstLine="389"/>
        <w:spacing w:after="0" w:line="234" w:lineRule="auto"/>
        <w:rPr>
          <w:sz w:val="20"/>
          <w:szCs w:val="20"/>
          <w:color w:val="auto"/>
        </w:rPr>
      </w:pPr>
      <w:r>
        <w:rPr>
          <w:rFonts w:ascii="Arial" w:cs="Arial" w:eastAsia="Arial" w:hAnsi="Arial"/>
          <w:sz w:val="18"/>
          <w:szCs w:val="18"/>
          <w:color w:val="auto"/>
        </w:rPr>
        <w:t xml:space="preserve">During the procedure, our system automatically adjusts the amount of energy delivered in order to maintain the temperature necessary to ablate the targeted tissue. For a typical 5 cm ablation using our StarBurst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Xli-enhanced disposable device, the ablation process takes approximately ten minutes. The RFA system consists of a radiofrequency generator and a family of disposable devices.</w:t>
      </w:r>
    </w:p>
    <w:p>
      <w:pPr>
        <w:spacing w:after="0" w:line="149" w:lineRule="exact"/>
        <w:rPr>
          <w:sz w:val="20"/>
          <w:szCs w:val="20"/>
          <w:color w:val="auto"/>
        </w:rPr>
      </w:pPr>
    </w:p>
    <w:p>
      <w:pPr>
        <w:ind w:right="40" w:firstLine="389"/>
        <w:spacing w:after="0" w:line="311" w:lineRule="auto"/>
        <w:rPr>
          <w:sz w:val="20"/>
          <w:szCs w:val="20"/>
          <w:color w:val="auto"/>
        </w:rPr>
      </w:pPr>
      <w:r>
        <w:rPr>
          <w:rFonts w:ascii="Arial" w:cs="Arial" w:eastAsia="Arial" w:hAnsi="Arial"/>
          <w:sz w:val="16"/>
          <w:szCs w:val="16"/>
          <w:color w:val="auto"/>
        </w:rPr>
        <w:t>In addition to thermal ablation systems and NanoKnife, AngioDynamics also offers Habib 4X Surgical Resection devices that are used in minimally invasive laparoscopic surgery procedures in surgical specialties such as Hepato-Biliary, GI, Surgical Oncology, Transplant Surgery and Urology (Partial Nephrectomy Resections). It is clinically indicated to assist in coagulation of tissue during intraoperative and laparoscopic procedures.</w:t>
      </w: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5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BioSentry Tract Sealant System</w:t>
      </w:r>
    </w:p>
    <w:p>
      <w:pPr>
        <w:spacing w:after="0" w:line="171" w:lineRule="exact"/>
        <w:rPr>
          <w:sz w:val="20"/>
          <w:szCs w:val="20"/>
          <w:color w:val="auto"/>
        </w:rPr>
      </w:pPr>
    </w:p>
    <w:p>
      <w:pPr>
        <w:jc w:val="both"/>
        <w:ind w:right="220" w:firstLine="389"/>
        <w:spacing w:after="0" w:line="263" w:lineRule="auto"/>
        <w:rPr>
          <w:sz w:val="20"/>
          <w:szCs w:val="20"/>
          <w:color w:val="auto"/>
        </w:rPr>
      </w:pPr>
      <w:r>
        <w:rPr>
          <w:rFonts w:ascii="Arial" w:cs="Arial" w:eastAsia="Arial" w:hAnsi="Arial"/>
          <w:sz w:val="18"/>
          <w:szCs w:val="18"/>
          <w:color w:val="auto"/>
        </w:rPr>
        <w:t>The BioSentry tract sealant system deploys a self-expanding hydrogel plug into the pleural space following a percutaneous lung biopsy, creating an airtight seal that closes the pleural puncture. Depth markings provide accurate and consistent placement based on CT-guided measurements, while depth adjustment wheel and locking mechanisms ensure proper plug deployment.</w:t>
      </w:r>
    </w:p>
    <w:p>
      <w:pPr>
        <w:spacing w:after="0" w:line="130" w:lineRule="exact"/>
        <w:rPr>
          <w:sz w:val="20"/>
          <w:szCs w:val="20"/>
          <w:color w:val="auto"/>
        </w:rPr>
      </w:pPr>
    </w:p>
    <w:p>
      <w:pPr>
        <w:ind w:right="300" w:firstLine="389"/>
        <w:spacing w:after="0" w:line="277" w:lineRule="auto"/>
        <w:rPr>
          <w:sz w:val="20"/>
          <w:szCs w:val="20"/>
          <w:color w:val="auto"/>
        </w:rPr>
      </w:pPr>
      <w:r>
        <w:rPr>
          <w:rFonts w:ascii="Arial" w:cs="Arial" w:eastAsia="Arial" w:hAnsi="Arial"/>
          <w:sz w:val="18"/>
          <w:szCs w:val="18"/>
          <w:color w:val="auto"/>
        </w:rPr>
        <w:t>The hydrogel plug is made from a synthetic tissue-friendly polymer that fully reabsorbs into the body and the coaxial adapter mates with a coaxial needle to ensure a proper fit and delivery of the plug.</w:t>
      </w:r>
    </w:p>
    <w:p>
      <w:pPr>
        <w:spacing w:after="0" w:line="116" w:lineRule="exact"/>
        <w:rPr>
          <w:sz w:val="20"/>
          <w:szCs w:val="20"/>
          <w:color w:val="auto"/>
        </w:rPr>
      </w:pPr>
    </w:p>
    <w:p>
      <w:pPr>
        <w:ind w:right="20" w:firstLine="389"/>
        <w:spacing w:after="0" w:line="342" w:lineRule="auto"/>
        <w:rPr>
          <w:sz w:val="20"/>
          <w:szCs w:val="20"/>
          <w:color w:val="auto"/>
        </w:rPr>
      </w:pPr>
      <w:r>
        <w:rPr>
          <w:rFonts w:ascii="Arial" w:cs="Arial" w:eastAsia="Arial" w:hAnsi="Arial"/>
          <w:sz w:val="16"/>
          <w:szCs w:val="16"/>
          <w:color w:val="auto"/>
        </w:rPr>
        <w:t>The BioSentry Tract Sealant System is indicated for sealing pleural punctures to significantly reduce the risk of pneumothoraxes (air leaks) associated with percutaneous, transthoracic needle lung biopsies and to provide accuracy in marking a biopsy location for visualization during surgical resection.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IsoLoc Endorectal Balloon</w:t>
      </w:r>
    </w:p>
    <w:p>
      <w:pPr>
        <w:spacing w:after="0" w:line="171" w:lineRule="exact"/>
        <w:rPr>
          <w:sz w:val="20"/>
          <w:szCs w:val="20"/>
          <w:color w:val="auto"/>
        </w:rPr>
      </w:pPr>
    </w:p>
    <w:p>
      <w:pPr>
        <w:ind w:right="80" w:firstLine="389"/>
        <w:spacing w:after="0" w:line="277" w:lineRule="auto"/>
        <w:rPr>
          <w:sz w:val="20"/>
          <w:szCs w:val="20"/>
          <w:color w:val="auto"/>
        </w:rPr>
      </w:pPr>
      <w:r>
        <w:rPr>
          <w:rFonts w:ascii="Arial" w:cs="Arial" w:eastAsia="Arial" w:hAnsi="Arial"/>
          <w:sz w:val="18"/>
          <w:szCs w:val="18"/>
          <w:color w:val="auto"/>
        </w:rPr>
        <w:t>The IsoLoc Endorectal Balloon's unique, customer-driven design is the result of collaborations with Radiation Oncologists, Therapists and Physicists with one goal in mind - to create a new standard for endorectal balloons (ERB) in the oncology space.</w:t>
      </w:r>
    </w:p>
    <w:p>
      <w:pPr>
        <w:spacing w:after="0" w:line="116" w:lineRule="exact"/>
        <w:rPr>
          <w:sz w:val="20"/>
          <w:szCs w:val="20"/>
          <w:color w:val="auto"/>
        </w:rPr>
      </w:pPr>
    </w:p>
    <w:p>
      <w:pPr>
        <w:ind w:firstLine="389"/>
        <w:spacing w:after="0" w:line="259" w:lineRule="auto"/>
        <w:rPr>
          <w:sz w:val="20"/>
          <w:szCs w:val="20"/>
          <w:color w:val="auto"/>
        </w:rPr>
      </w:pPr>
      <w:r>
        <w:rPr>
          <w:rFonts w:ascii="Arial" w:cs="Arial" w:eastAsia="Arial" w:hAnsi="Arial"/>
          <w:sz w:val="18"/>
          <w:szCs w:val="18"/>
          <w:color w:val="auto"/>
        </w:rPr>
        <w:t>The design of IsoLoc not only addresses patient comfort, but also simplifies three challenging clinical scenarios that many physicians face when using radiation therapy for and/or in relation to the prostate. First, it's gas-release tip removes rectal gas and reduces prostate motion for gaseous patients. Secondly, the structure of the ERB aids in defining the anatomy for difficult planning scenarios with post-radical patients. Lastly, IsoLoc repositions and lifts the bowel in patients that have a low-lying bowel.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Alatus Vaginal Balloon Packing System</w:t>
      </w:r>
    </w:p>
    <w:p>
      <w:pPr>
        <w:spacing w:after="0" w:line="171" w:lineRule="exact"/>
        <w:rPr>
          <w:sz w:val="20"/>
          <w:szCs w:val="20"/>
          <w:color w:val="auto"/>
        </w:rPr>
      </w:pPr>
    </w:p>
    <w:p>
      <w:pPr>
        <w:ind w:right="60" w:firstLine="389"/>
        <w:spacing w:after="0" w:line="286" w:lineRule="auto"/>
        <w:rPr>
          <w:sz w:val="20"/>
          <w:szCs w:val="20"/>
          <w:color w:val="auto"/>
        </w:rPr>
      </w:pPr>
      <w:r>
        <w:rPr>
          <w:rFonts w:ascii="Arial" w:cs="Arial" w:eastAsia="Arial" w:hAnsi="Arial"/>
          <w:sz w:val="17"/>
          <w:szCs w:val="17"/>
          <w:color w:val="auto"/>
        </w:rPr>
        <w:t>Alatus was developed with the patient's comfort in mind and to assist the physician to move healthy tissue away from the radiation treatment field. Prior to Alatus, the clinician would push gauze into the vagina to move the bladder and bowel away from the radiation treatment field. Inserting gauze into the vagina can be uncomfortable before treatment and unpleasant at the end of treatment as it tends to dry out before removing.</w:t>
      </w:r>
    </w:p>
    <w:p>
      <w:pPr>
        <w:spacing w:after="0" w:line="111" w:lineRule="exact"/>
        <w:rPr>
          <w:sz w:val="20"/>
          <w:szCs w:val="20"/>
          <w:color w:val="auto"/>
        </w:rPr>
      </w:pPr>
    </w:p>
    <w:p>
      <w:pPr>
        <w:ind w:right="480" w:firstLine="389"/>
        <w:spacing w:after="0" w:line="277" w:lineRule="auto"/>
        <w:rPr>
          <w:sz w:val="20"/>
          <w:szCs w:val="20"/>
          <w:color w:val="auto"/>
        </w:rPr>
      </w:pPr>
      <w:r>
        <w:rPr>
          <w:rFonts w:ascii="Arial" w:cs="Arial" w:eastAsia="Arial" w:hAnsi="Arial"/>
          <w:sz w:val="18"/>
          <w:szCs w:val="18"/>
          <w:color w:val="auto"/>
        </w:rPr>
        <w:t>Studies have shown, relative to traditional gauze packing, Alatus offers a more comfortable procedure for the patient, reduces the need for post-procedural pain medication and moves healthy tissue away from the radiation field.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Vascular Interventions and Therapies Products</w:t>
      </w:r>
    </w:p>
    <w:p>
      <w:pPr>
        <w:spacing w:after="0" w:line="175" w:lineRule="exact"/>
        <w:rPr>
          <w:sz w:val="20"/>
          <w:szCs w:val="20"/>
          <w:color w:val="auto"/>
        </w:rPr>
      </w:pPr>
    </w:p>
    <w:p>
      <w:pPr>
        <w:ind w:right="680" w:firstLine="389"/>
        <w:spacing w:after="0" w:line="277" w:lineRule="auto"/>
        <w:rPr>
          <w:sz w:val="20"/>
          <w:szCs w:val="20"/>
          <w:color w:val="auto"/>
        </w:rPr>
      </w:pPr>
      <w:r>
        <w:rPr>
          <w:rFonts w:ascii="Arial" w:cs="Arial" w:eastAsia="Arial" w:hAnsi="Arial"/>
          <w:sz w:val="18"/>
          <w:szCs w:val="18"/>
          <w:color w:val="auto"/>
        </w:rPr>
        <w:t>AngioDynamics’ Vascular Interventions and Therapies product offerings support the medical areas of Thrombus Management, Atherectomy, Peripheral Products (Core) and Venous Insufficiency.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Thrombus Management</w:t>
      </w:r>
    </w:p>
    <w:p>
      <w:pPr>
        <w:spacing w:after="0" w:line="171" w:lineRule="exact"/>
        <w:rPr>
          <w:sz w:val="20"/>
          <w:szCs w:val="20"/>
          <w:color w:val="auto"/>
        </w:rPr>
      </w:pPr>
    </w:p>
    <w:p>
      <w:pPr>
        <w:ind w:right="400" w:firstLine="389"/>
        <w:spacing w:after="0" w:line="263" w:lineRule="auto"/>
        <w:rPr>
          <w:sz w:val="20"/>
          <w:szCs w:val="20"/>
          <w:color w:val="auto"/>
        </w:rPr>
      </w:pPr>
      <w:r>
        <w:rPr>
          <w:rFonts w:ascii="Arial" w:cs="Arial" w:eastAsia="Arial" w:hAnsi="Arial"/>
          <w:sz w:val="18"/>
          <w:szCs w:val="18"/>
          <w:color w:val="auto"/>
        </w:rPr>
        <w:t>Our Thrombus Management portfolio includes the proprietary AngioVac venous drainage cannula and circuit, as well as catheter directed thrombolytic devices, including the Uni-Fuse, Pulse Spray and SpeedLyser infusion catheters. AngioDynamics offers a range of options when treating thrombus and removing fresh, soft thrombi or emboli.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AngioVac</w:t>
      </w:r>
    </w:p>
    <w:p>
      <w:pPr>
        <w:spacing w:after="0" w:line="171" w:lineRule="exact"/>
        <w:rPr>
          <w:sz w:val="20"/>
          <w:szCs w:val="20"/>
          <w:color w:val="auto"/>
        </w:rPr>
      </w:pPr>
    </w:p>
    <w:p>
      <w:pPr>
        <w:ind w:right="6080" w:firstLine="389"/>
        <w:spacing w:after="0" w:line="253" w:lineRule="auto"/>
        <w:rPr>
          <w:sz w:val="20"/>
          <w:szCs w:val="20"/>
          <w:color w:val="auto"/>
        </w:rPr>
      </w:pPr>
      <w:r>
        <w:rPr>
          <w:rFonts w:ascii="Arial" w:cs="Arial" w:eastAsia="Arial" w:hAnsi="Arial"/>
          <w:sz w:val="18"/>
          <w:szCs w:val="18"/>
          <w:color w:val="auto"/>
        </w:rPr>
        <w:t>Our AngioVac venous drainage system includes a Venous Drainage Cannula and Extracorporeal Circuit. The cannula is indicated for use as a venous drainage cannula and for removal of fresh, soft thrombi or emboli during extracorporeal bypass. The AngioVac circuit is indicated for use in procedures requiring extracorporeal circulatory support for periods of up to six hours. AngioVac devices are for use with other manufacturers’ off-the-shelf pump, filter and reinfusion cannula, to facilitate venous drainage as part of an extracorporeal bypass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-1236980</wp:posOffset>
            </wp:positionV>
            <wp:extent cx="1791335" cy="1543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133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firstLine="389"/>
        <w:spacing w:after="0" w:line="311" w:lineRule="auto"/>
        <w:rPr>
          <w:sz w:val="20"/>
          <w:szCs w:val="20"/>
          <w:color w:val="auto"/>
        </w:rPr>
      </w:pPr>
      <w:r>
        <w:rPr>
          <w:rFonts w:ascii="Arial" w:cs="Arial" w:eastAsia="Arial" w:hAnsi="Arial"/>
          <w:sz w:val="16"/>
          <w:szCs w:val="16"/>
          <w:color w:val="auto"/>
        </w:rPr>
        <w:t>The AngioVac venous drainage cannula is a 22 French flat coil-reinforced cannula designed with a self-expanding nitinol reinforced funnel shaped distal tip. The proprietary funnel shaped tip enhances venous drainage flow when the distal tip is exposed by retracting the sheath and prevents clogging of the cannula with commonly encountered undesirable intravascular material, and facilitates embolic removal of such extraneous material.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Auryon</w:t>
      </w:r>
    </w:p>
    <w:p>
      <w:pPr>
        <w:spacing w:after="0" w:line="171" w:lineRule="exact"/>
        <w:rPr>
          <w:sz w:val="20"/>
          <w:szCs w:val="20"/>
          <w:color w:val="auto"/>
        </w:rPr>
      </w:pPr>
    </w:p>
    <w:p>
      <w:pPr>
        <w:ind w:right="5800" w:firstLine="389"/>
        <w:spacing w:after="0" w:line="289" w:lineRule="auto"/>
        <w:rPr>
          <w:sz w:val="20"/>
          <w:szCs w:val="20"/>
          <w:color w:val="auto"/>
        </w:rPr>
      </w:pPr>
      <w:r>
        <w:rPr>
          <w:rFonts w:ascii="Arial" w:cs="Arial" w:eastAsia="Arial" w:hAnsi="Arial"/>
          <w:sz w:val="16"/>
          <w:szCs w:val="16"/>
          <w:color w:val="auto"/>
        </w:rPr>
        <w:t>The Auryon Atherectomy system is the latest advancement in peripheral arterial disease. Auryon System is designed to deliver an optimized wavelength, pulse width, and amplitude to remove lesions while preserving vessel wall endothelium. Additionally, the Auryon system includes aspiration which enhances the safety of the procedure. Regardless of lesion type, Auryon has been shown to provide exceptional safety and efficacy. The Auryon Atherectomy System is indicated for use in the treatment, including atherectomy, of infrainguinal stenoses and occlusions, including in-stent restenosis (ISR).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-1256665</wp:posOffset>
            </wp:positionV>
            <wp:extent cx="2434590" cy="1568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3459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Thrombolytic Catheters</w:t>
      </w:r>
    </w:p>
    <w:p>
      <w:pPr>
        <w:spacing w:after="0" w:line="171" w:lineRule="exact"/>
        <w:rPr>
          <w:sz w:val="20"/>
          <w:szCs w:val="20"/>
          <w:color w:val="auto"/>
        </w:rPr>
      </w:pPr>
    </w:p>
    <w:p>
      <w:pPr>
        <w:ind w:right="20" w:firstLine="389"/>
        <w:spacing w:after="0" w:line="259" w:lineRule="auto"/>
        <w:rPr>
          <w:sz w:val="20"/>
          <w:szCs w:val="20"/>
          <w:color w:val="auto"/>
        </w:rPr>
      </w:pPr>
      <w:r>
        <w:rPr>
          <w:rFonts w:ascii="Arial" w:cs="Arial" w:eastAsia="Arial" w:hAnsi="Arial"/>
          <w:sz w:val="18"/>
          <w:szCs w:val="18"/>
          <w:color w:val="auto"/>
        </w:rPr>
        <w:t>Thrombolytic catheters are used to deliver thrombolytic agents, which are drugs that dissolve blood clots in hemodialysis access grafts, arteries, veins and surgical bypass grafts. AngioDynamics’ Uni-Fuse infusion catheter features pressure response outlets, a patented, time-tested slit technology that provides a consistent, even distribution of fluid volume along the entire length of the infusion pattern, resulting in a 12-fold advantage over standard side-hole catheters.¹</w:t>
      </w:r>
    </w:p>
    <w:p>
      <w:pPr>
        <w:spacing w:after="0" w:line="133"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We also offer the Pulse-Spray infusion system for high pressure, pulsed delivery of lytic agent to shorten treatment time, and the SpeedLyser infusion system built for dialysis grafts and fistulas.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Peripheral Products (Core)</w:t>
      </w:r>
    </w:p>
    <w:p>
      <w:pPr>
        <w:spacing w:after="0" w:line="171"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We offer a comprehensive portfolio for minimally invasive peripheral products. Product categories include an extensive line of angiographic catheters and diagnostic and interventional guidewires, percutaneous drainage catheters and coaxial micro-introducer kits.</w:t>
      </w:r>
    </w:p>
    <w:p>
      <w:pPr>
        <w:spacing w:after="0" w:line="134" w:lineRule="exact"/>
        <w:rPr>
          <w:sz w:val="20"/>
          <w:szCs w:val="20"/>
          <w:color w:val="auto"/>
        </w:rPr>
      </w:pPr>
    </w:p>
    <w:p>
      <w:pPr>
        <w:ind w:left="500" w:hanging="103"/>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5"/>
          <w:szCs w:val="15"/>
          <w:color w:val="auto"/>
        </w:rPr>
        <w:t>Yusuf SW, et al. Immediate and Early Follow-up Results of Pulse Spray Thrombolysis in Patients with Peripheral Ischaemia. British Journal of Surgery 1995;</w:t>
      </w:r>
    </w:p>
    <w:p>
      <w:pPr>
        <w:spacing w:after="0" w:line="1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82:338-340.</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Angiographic Products and Accessories</w:t>
      </w:r>
    </w:p>
    <w:p>
      <w:pPr>
        <w:spacing w:after="0" w:line="171" w:lineRule="exact"/>
        <w:rPr>
          <w:sz w:val="20"/>
          <w:szCs w:val="20"/>
          <w:color w:val="auto"/>
        </w:rPr>
      </w:pPr>
    </w:p>
    <w:p>
      <w:pPr>
        <w:ind w:firstLine="389"/>
        <w:spacing w:after="0" w:line="263" w:lineRule="auto"/>
        <w:rPr>
          <w:sz w:val="20"/>
          <w:szCs w:val="20"/>
          <w:color w:val="auto"/>
        </w:rPr>
      </w:pPr>
      <w:r>
        <w:rPr>
          <w:rFonts w:ascii="Arial" w:cs="Arial" w:eastAsia="Arial" w:hAnsi="Arial"/>
          <w:sz w:val="18"/>
          <w:szCs w:val="18"/>
          <w:color w:val="auto"/>
        </w:rPr>
        <w:t>Angiographic products and accessories are used during peripheral diagnostic and interventional procedures. These products permit physicians to reach targeted locations to deliver contrast media for visualization purposes and therapeutic agents and devices, such as percutaneous transluminal angioplasty (PTA) balloons. Angiographic products consist of angiographic catheters and guidewires.</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angiographic catheter line includes the following brands, all with radiopaque tips to assure excellent visibility under fluoroscopy:</w:t>
      </w:r>
    </w:p>
    <w:p>
      <w:pPr>
        <w:spacing w:after="0" w:line="171" w:lineRule="exact"/>
        <w:rPr>
          <w:sz w:val="20"/>
          <w:szCs w:val="20"/>
          <w:color w:val="auto"/>
        </w:rPr>
      </w:pPr>
    </w:p>
    <w:p>
      <w:pPr>
        <w:ind w:left="660" w:right="60" w:hanging="328"/>
        <w:spacing w:after="0" w:line="287"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Soft-Vu flush catheters are available in flush and selective varieties. Flush catheters are used in procedures where a high flow of contrast is required for “big picture” diagnostics. Anomalies discovered through a flush angiogram may require further investigation into a vessel of interest. Soft-Vu selective catheters are used to gain access to smaller or more distal vessels and advance the catheter or wire into the diseased section.</w:t>
      </w:r>
    </w:p>
    <w:p>
      <w:pPr>
        <w:spacing w:after="0" w:line="2" w:lineRule="exact"/>
        <w:rPr>
          <w:rFonts w:ascii="Arial" w:cs="Arial" w:eastAsia="Arial" w:hAnsi="Arial"/>
          <w:sz w:val="16"/>
          <w:szCs w:val="16"/>
          <w:color w:val="auto"/>
        </w:rPr>
      </w:pPr>
    </w:p>
    <w:p>
      <w:pPr>
        <w:ind w:left="660" w:right="660" w:hanging="328"/>
        <w:spacing w:after="0" w:line="26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Accu-Vu sizing catheters feature radiopaque marker bands at the distal (farthest away) portion of the catheter to provide a highly accurate measurement of the patient’s anatomy. This enables precise measurement for interventional devices (stents, filters, etc.)</w:t>
      </w:r>
    </w:p>
    <w:p>
      <w:pPr>
        <w:ind w:left="660" w:right="3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AngiOptic catheters have total catheter radiopacity, ensuring tip-to-hub visibility. This catheter is also constructed with a firm tip material that enhances stability during high-flow injections, providing excellent pushability.</w:t>
      </w:r>
    </w:p>
    <w:p>
      <w:pPr>
        <w:ind w:left="660" w:right="20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Mariner catheters have a hydrophilic coating that, when combined with water, reduces friction. This makes insertion potentially easier and more comfortable for the patient, and can also be used for advancing through tortuous anatomy.</w:t>
      </w:r>
    </w:p>
    <w:p>
      <w:pPr>
        <w:spacing w:after="0" w:line="131"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AngioDynamics guidewires include Nit-Vu (featuring a kink-resistant NiTi alloy core facilitating smooth navigation through tortuous vasculature and accurate wire control) and PTFE (Polytetrafluoroethylene) Coated (fixed core and movable core) diagnostic guidewires.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AngioDynamics catheters and guidewires are available in more than 500 tip configurations and lengths.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Drainage Products</w:t>
      </w:r>
    </w:p>
    <w:p>
      <w:pPr>
        <w:spacing w:after="0" w:line="171" w:lineRule="exact"/>
        <w:rPr>
          <w:sz w:val="20"/>
          <w:szCs w:val="20"/>
          <w:color w:val="auto"/>
        </w:rPr>
      </w:pPr>
    </w:p>
    <w:p>
      <w:pPr>
        <w:ind w:right="220" w:firstLine="389"/>
        <w:spacing w:after="0" w:line="263" w:lineRule="auto"/>
        <w:rPr>
          <w:sz w:val="20"/>
          <w:szCs w:val="20"/>
          <w:color w:val="auto"/>
        </w:rPr>
      </w:pPr>
      <w:r>
        <w:rPr>
          <w:rFonts w:ascii="Arial" w:cs="Arial" w:eastAsia="Arial" w:hAnsi="Arial"/>
          <w:sz w:val="18"/>
          <w:szCs w:val="18"/>
          <w:color w:val="auto"/>
        </w:rPr>
        <w:t>Drainage products percutaneously drain abscesses and other fluid pockets. An abscess is a tender inflamed mass that typically must be drained by a physician. AngioDynamics offers two brands of drainage catheters for multi-purpose/general, nephrostomy and biliary drainage: Total Abscession and Exodus. Each offer features and benefits depending on case presentation and physician preferences.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 Access Kits</w:t>
      </w:r>
    </w:p>
    <w:p>
      <w:pPr>
        <w:spacing w:after="0" w:line="171" w:lineRule="exact"/>
        <w:rPr>
          <w:sz w:val="20"/>
          <w:szCs w:val="20"/>
          <w:color w:val="auto"/>
        </w:rPr>
      </w:pPr>
    </w:p>
    <w:p>
      <w:pPr>
        <w:ind w:right="40" w:firstLine="389"/>
        <w:spacing w:after="0" w:line="311" w:lineRule="auto"/>
        <w:rPr>
          <w:sz w:val="20"/>
          <w:szCs w:val="20"/>
          <w:color w:val="auto"/>
        </w:rPr>
      </w:pPr>
      <w:r>
        <w:rPr>
          <w:rFonts w:ascii="Arial" w:cs="Arial" w:eastAsia="Arial" w:hAnsi="Arial"/>
          <w:sz w:val="16"/>
          <w:szCs w:val="16"/>
          <w:color w:val="auto"/>
        </w:rPr>
        <w:t>Our Micro Access sets provide interventional physicians a smaller introducer system for minimally-invasive procedures. Our Micro Access product line provides physicians with the means to choose from the wide selection of configurations, including guidewire, needle and introducer options. Two lines are available in stiff/standard, 10cm or 15cm and echogenic for visibility under ultrasound guidance: Micro Introducer Kit and Ministick Max.</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Venous Insufficiency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VenaCure EVLT laser system</w:t>
      </w:r>
    </w:p>
    <w:p>
      <w:pPr>
        <w:spacing w:after="0" w:line="171" w:lineRule="exact"/>
        <w:rPr>
          <w:sz w:val="20"/>
          <w:szCs w:val="20"/>
          <w:color w:val="auto"/>
        </w:rPr>
      </w:pPr>
    </w:p>
    <w:p>
      <w:pPr>
        <w:ind w:right="5800" w:firstLine="389"/>
        <w:spacing w:after="0" w:line="290" w:lineRule="auto"/>
        <w:rPr>
          <w:sz w:val="20"/>
          <w:szCs w:val="20"/>
          <w:color w:val="auto"/>
        </w:rPr>
      </w:pPr>
      <w:r>
        <w:rPr>
          <w:rFonts w:ascii="Arial" w:cs="Arial" w:eastAsia="Arial" w:hAnsi="Arial"/>
          <w:sz w:val="16"/>
          <w:szCs w:val="16"/>
          <w:color w:val="auto"/>
        </w:rPr>
        <w:t>Our VenaCure EVLT (endovenous laser treatment) system products are used in endovascular laser procedures to treat superficial venous disease (varicose veins). Superficial venous disease is a malfunction of one or more valves in the leg veins whereby blood refluxes or does not return to the heart, thereby pooling in the legs and leading to symptoms such as pain, swelling and ulcerations. VenaCure EVLT uses laser energy to stop the reflux by ablating (collapsing and destroying) the affected vein. Blood is then re-routed to other healthy veins.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-1119505</wp:posOffset>
            </wp:positionV>
            <wp:extent cx="2760345" cy="13544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0345" cy="13544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0" w:firstLine="389"/>
        <w:spacing w:after="0" w:line="277" w:lineRule="auto"/>
        <w:rPr>
          <w:sz w:val="20"/>
          <w:szCs w:val="20"/>
          <w:color w:val="auto"/>
        </w:rPr>
      </w:pPr>
      <w:r>
        <w:rPr>
          <w:rFonts w:ascii="Arial" w:cs="Arial" w:eastAsia="Arial" w:hAnsi="Arial"/>
          <w:sz w:val="18"/>
          <w:szCs w:val="18"/>
          <w:color w:val="auto"/>
        </w:rPr>
        <w:t>The procedure is minimally invasive and generally takes less than an hour, allowing the patient to quickly return to normal activities with minimal post-operative pain.</w:t>
      </w:r>
    </w:p>
    <w:p>
      <w:pPr>
        <w:spacing w:after="0" w:line="116" w:lineRule="exact"/>
        <w:rPr>
          <w:sz w:val="20"/>
          <w:szCs w:val="20"/>
          <w:color w:val="auto"/>
        </w:rPr>
      </w:pPr>
    </w:p>
    <w:p>
      <w:pPr>
        <w:ind w:right="60" w:firstLine="389"/>
        <w:spacing w:after="0" w:line="259" w:lineRule="auto"/>
        <w:rPr>
          <w:sz w:val="20"/>
          <w:szCs w:val="20"/>
          <w:color w:val="auto"/>
        </w:rPr>
      </w:pPr>
      <w:r>
        <w:rPr>
          <w:rFonts w:ascii="Arial" w:cs="Arial" w:eastAsia="Arial" w:hAnsi="Arial"/>
          <w:sz w:val="18"/>
          <w:szCs w:val="18"/>
          <w:color w:val="auto"/>
        </w:rPr>
        <w:t>VenaCure EVLT is sold as a system that includes diode laser hardware and procedure kits which include disposable laser fiber components, an access sheath, access wires and needles. Our VenaCure EVLT 1470 nanometer wavelength laser allows physicians to more efficiently heat the vein wall using lower power settings thereby reducing the risk of collateral damage. The NeverTouch tip fiber eliminates laser tip contact with the vein wall, which in turn minimizes perforations of the vein wall that</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8" w:name="page9"/>
    <w:bookmarkEnd w:id="8"/>
    <w:p>
      <w:pPr>
        <w:spacing w:after="0" w:line="308" w:lineRule="auto"/>
        <w:rPr>
          <w:sz w:val="20"/>
          <w:szCs w:val="20"/>
          <w:color w:val="auto"/>
        </w:rPr>
      </w:pPr>
      <w:r>
        <w:rPr>
          <w:rFonts w:ascii="Arial" w:cs="Arial" w:eastAsia="Arial" w:hAnsi="Arial"/>
          <w:sz w:val="17"/>
          <w:szCs w:val="17"/>
          <w:color w:val="auto"/>
        </w:rPr>
        <w:t>typically result in less pain and bruising as compared to traditional bare-tip fibers. The NeverTouch tip also maximizes ultrasonic visibility, making it easier for physicians to use. Procedure kits are available in a variety of lengths and configurations to accommodate varied patient anatomies.</w:t>
      </w:r>
    </w:p>
    <w:p>
      <w:pPr>
        <w:spacing w:after="0" w:line="92" w:lineRule="exact"/>
        <w:rPr>
          <w:sz w:val="20"/>
          <w:szCs w:val="20"/>
          <w:color w:val="auto"/>
        </w:rPr>
      </w:pPr>
    </w:p>
    <w:p>
      <w:pPr>
        <w:ind w:right="2200" w:firstLine="389"/>
        <w:spacing w:after="0" w:line="438" w:lineRule="auto"/>
        <w:rPr>
          <w:sz w:val="20"/>
          <w:szCs w:val="20"/>
          <w:color w:val="auto"/>
        </w:rPr>
      </w:pPr>
      <w:r>
        <w:rPr>
          <w:rFonts w:ascii="Arial" w:cs="Arial" w:eastAsia="Arial" w:hAnsi="Arial"/>
          <w:sz w:val="18"/>
          <w:szCs w:val="18"/>
          <w:color w:val="auto"/>
        </w:rPr>
        <w:t xml:space="preserve">The VenaCure EVLT system comes with a comprehensive physician training program and extensive marketing support. </w:t>
      </w:r>
      <w:r>
        <w:rPr>
          <w:rFonts w:ascii="Arial" w:cs="Arial" w:eastAsia="Arial" w:hAnsi="Arial"/>
          <w:sz w:val="18"/>
          <w:szCs w:val="18"/>
          <w:b w:val="1"/>
          <w:bCs w:val="1"/>
          <w:color w:val="auto"/>
        </w:rPr>
        <w:t>Vascular Access Products</w:t>
      </w:r>
    </w:p>
    <w:p>
      <w:pPr>
        <w:spacing w:after="0" w:line="1" w:lineRule="exact"/>
        <w:rPr>
          <w:sz w:val="20"/>
          <w:szCs w:val="20"/>
          <w:color w:val="auto"/>
        </w:rPr>
      </w:pPr>
    </w:p>
    <w:p>
      <w:pPr>
        <w:ind w:right="80" w:firstLine="389"/>
        <w:spacing w:after="0" w:line="257" w:lineRule="auto"/>
        <w:rPr>
          <w:sz w:val="20"/>
          <w:szCs w:val="20"/>
          <w:color w:val="auto"/>
        </w:rPr>
      </w:pPr>
      <w:r>
        <w:rPr>
          <w:rFonts w:ascii="Arial" w:cs="Arial" w:eastAsia="Arial" w:hAnsi="Arial"/>
          <w:sz w:val="18"/>
          <w:szCs w:val="18"/>
          <w:color w:val="auto"/>
        </w:rPr>
        <w:t>Our portfolio of Vascular Access products includes a broad offering of peripherally inserted central catheters (PICCs), midline catheters, implantable ports, dialysis catheters and related accessories and supplies. These products are used to deliver, primarily, short-term drug therapies, such as chemotherapeutic agents and antibiotics, into the central venous system. Delivery to the circulatory system allows drugs to mix with a large volume of blood as compared to intravenous drug delivery into a superficial vessel. Our Vascular Access product family also includes the proprietary BioFlo catheter and C3 Wave tip location.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BioFlo</w:t>
      </w:r>
      <w:r>
        <w:rPr>
          <w:rFonts w:ascii="Arial" w:cs="Arial" w:eastAsia="Arial" w:hAnsi="Arial"/>
          <w:sz w:val="23"/>
          <w:szCs w:val="23"/>
          <w:color w:val="auto"/>
          <w:vertAlign w:val="superscript"/>
        </w:rPr>
        <w:t>®</w:t>
      </w:r>
    </w:p>
    <w:p>
      <w:pPr>
        <w:spacing w:after="0" w:line="114" w:lineRule="exact"/>
        <w:rPr>
          <w:sz w:val="20"/>
          <w:szCs w:val="20"/>
          <w:color w:val="auto"/>
        </w:rPr>
      </w:pPr>
    </w:p>
    <w:p>
      <w:pPr>
        <w:ind w:right="5800" w:firstLine="389"/>
        <w:spacing w:after="0" w:line="287" w:lineRule="auto"/>
        <w:rPr>
          <w:sz w:val="20"/>
          <w:szCs w:val="20"/>
          <w:color w:val="auto"/>
        </w:rPr>
      </w:pPr>
      <w:r>
        <w:rPr>
          <w:rFonts w:ascii="Arial" w:cs="Arial" w:eastAsia="Arial" w:hAnsi="Arial"/>
          <w:sz w:val="16"/>
          <w:szCs w:val="16"/>
          <w:color w:val="auto"/>
        </w:rPr>
        <w:t>AngioDynamics offers BioFlo, the only catheter on the market with Endexo Technology, a material more resistant to thrombus accumulation, in vitro (based on platelet count). Endexo Technology is a permanent and non-eluting polymer that is “blended” into the polyurethane from which the catheter is made. It is present throughout the catheter, including the extraluminal, intraluminal and cut catheter surface of the tip. Endexo Technology remains present for the life of the catheter. BioFlo’s long-term durability and efficacy is intended to provide clinicians a high degree of safety and confidence in providing better patient care and improved patient outcomes. BioFlo catheters are available across the Vascular Access family of products, including PICCs, midlines, ports and dialysis catheters.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-1424305</wp:posOffset>
            </wp:positionV>
            <wp:extent cx="2820035" cy="1405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0035" cy="1405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Midlines</w:t>
      </w:r>
    </w:p>
    <w:p>
      <w:pPr>
        <w:spacing w:after="0" w:line="171" w:lineRule="exact"/>
        <w:rPr>
          <w:sz w:val="20"/>
          <w:szCs w:val="20"/>
          <w:color w:val="auto"/>
        </w:rPr>
      </w:pPr>
    </w:p>
    <w:p>
      <w:pPr>
        <w:ind w:right="460" w:firstLine="389"/>
        <w:spacing w:after="0" w:line="342" w:lineRule="auto"/>
        <w:rPr>
          <w:sz w:val="20"/>
          <w:szCs w:val="20"/>
          <w:color w:val="auto"/>
        </w:rPr>
      </w:pPr>
      <w:r>
        <w:rPr>
          <w:rFonts w:ascii="Arial" w:cs="Arial" w:eastAsia="Arial" w:hAnsi="Arial"/>
          <w:sz w:val="16"/>
          <w:szCs w:val="16"/>
          <w:color w:val="auto"/>
        </w:rPr>
        <w:t>Midline catheters are inserted via the same veins used for PICC placement in the middle third of the upper arm; however, the midline catheter is advanced and placed so that the catheter tip is level or near the level of the axilla and distal to the shoulder. Our Midline product offerings include:</w:t>
      </w:r>
    </w:p>
    <w:p>
      <w:pPr>
        <w:spacing w:after="0" w:line="70" w:lineRule="exact"/>
        <w:rPr>
          <w:sz w:val="20"/>
          <w:szCs w:val="20"/>
          <w:color w:val="auto"/>
        </w:rPr>
      </w:pPr>
    </w:p>
    <w:p>
      <w:pPr>
        <w:ind w:left="660" w:right="20" w:hanging="328"/>
        <w:spacing w:after="0" w:line="23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BioFlo</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Midline</w:t>
      </w:r>
      <w:r>
        <w:rPr>
          <w:rFonts w:ascii="Arial" w:cs="Arial" w:eastAsia="Arial" w:hAnsi="Arial"/>
          <w:sz w:val="17"/>
          <w:szCs w:val="17"/>
          <w:color w:val="auto"/>
        </w:rPr>
        <w:t>: Our BioFlo Midline Catheter which incorporates Endexo Technology, is an effective solution to preserving a patient’s peripheral</w:t>
      </w:r>
      <w:r>
        <w:rPr>
          <w:rFonts w:ascii="Arial" w:cs="Arial" w:eastAsia="Arial" w:hAnsi="Arial"/>
          <w:sz w:val="17"/>
          <w:szCs w:val="17"/>
          <w:i w:val="1"/>
          <w:iCs w:val="1"/>
          <w:color w:val="auto"/>
        </w:rPr>
        <w:t xml:space="preserve"> </w:t>
      </w:r>
      <w:r>
        <w:rPr>
          <w:rFonts w:ascii="Arial" w:cs="Arial" w:eastAsia="Arial" w:hAnsi="Arial"/>
          <w:sz w:val="17"/>
          <w:szCs w:val="17"/>
          <w:color w:val="auto"/>
        </w:rPr>
        <w:t>access . It provides a cost-effective alternative to multiple IV site rotations for patients who need short-term venous access.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PICCs</w:t>
      </w:r>
    </w:p>
    <w:p>
      <w:pPr>
        <w:spacing w:after="0" w:line="171"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8"/>
          <w:szCs w:val="18"/>
          <w:color w:val="auto"/>
        </w:rPr>
        <w:t>A peripherally inserted central catheter, or PICC, is a long thin catheter that is inserted into a peripheral vein, typically in the upper arm, and advanced until the catheter tip terminates in a large vein in the chest near the heart to obtain intravenous access. PICCs can typically be used for prolonged periods of time and provide an alternative to central venous catheters. Our PICC product offerings include:</w:t>
      </w:r>
    </w:p>
    <w:p>
      <w:pPr>
        <w:spacing w:after="0" w:line="130" w:lineRule="exact"/>
        <w:rPr>
          <w:sz w:val="20"/>
          <w:szCs w:val="20"/>
          <w:color w:val="auto"/>
        </w:rPr>
      </w:pPr>
    </w:p>
    <w:p>
      <w:pPr>
        <w:ind w:left="660" w:right="40" w:hanging="328"/>
        <w:spacing w:after="0" w:line="22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BioFlo</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PICC</w:t>
      </w:r>
      <w:r>
        <w:rPr>
          <w:rFonts w:ascii="Arial" w:cs="Arial" w:eastAsia="Arial" w:hAnsi="Arial"/>
          <w:sz w:val="17"/>
          <w:szCs w:val="17"/>
          <w:color w:val="auto"/>
        </w:rPr>
        <w:t>: Our BioFlo line is the only power injectable PICC available that incorporates Endexo Technology into the manufacturing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design of the catheter. Advanced features such as large lumen diameters allow the BioFlo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PICC to deliver the power injection flow rates required for contrast-enhanced Computed Tomography (CT) scans compatible with up to 325 psi CT injections.</w:t>
      </w:r>
    </w:p>
    <w:p>
      <w:pPr>
        <w:spacing w:after="0" w:line="1" w:lineRule="exact"/>
        <w:rPr>
          <w:rFonts w:ascii="Arial" w:cs="Arial" w:eastAsia="Arial" w:hAnsi="Arial"/>
          <w:sz w:val="17"/>
          <w:szCs w:val="17"/>
          <w:color w:val="auto"/>
        </w:rPr>
      </w:pPr>
    </w:p>
    <w:p>
      <w:pPr>
        <w:jc w:val="both"/>
        <w:ind w:left="660" w:right="100" w:hanging="328"/>
        <w:spacing w:after="0" w:line="21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Xcela PICC</w:t>
      </w:r>
      <w:r>
        <w:rPr>
          <w:rFonts w:ascii="Arial" w:cs="Arial" w:eastAsia="Arial" w:hAnsi="Arial"/>
          <w:sz w:val="18"/>
          <w:szCs w:val="18"/>
          <w:color w:val="auto"/>
        </w:rPr>
        <w:t>: The Xcela</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PICC line is designed to provide a high degree of safety, ease and confidence in patient care. Advanced features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large lumen diameters allow the Xcela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PICC to deliver the power injection flow rates required for contrast-enhanced CTs compatible with up to 325 psi CT injections.</w:t>
      </w:r>
    </w:p>
    <w:p>
      <w:pPr>
        <w:ind w:left="660" w:right="580" w:hanging="328"/>
        <w:spacing w:after="0" w:line="21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PASV</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Valve Technology: </w:t>
      </w:r>
      <w:r>
        <w:rPr>
          <w:rFonts w:ascii="Arial" w:cs="Arial" w:eastAsia="Arial" w:hAnsi="Arial"/>
          <w:sz w:val="18"/>
          <w:szCs w:val="18"/>
          <w:color w:val="auto"/>
        </w:rPr>
        <w:t>The PASV</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Valve Technology is available in both BioFlo and Xcela lines and is designed to automatically resist</w:t>
      </w:r>
      <w:r>
        <w:rPr>
          <w:rFonts w:ascii="Arial" w:cs="Arial" w:eastAsia="Arial" w:hAnsi="Arial"/>
          <w:sz w:val="18"/>
          <w:szCs w:val="18"/>
          <w:i w:val="1"/>
          <w:iCs w:val="1"/>
          <w:color w:val="auto"/>
        </w:rPr>
        <w:t xml:space="preserve"> </w:t>
      </w:r>
      <w:r>
        <w:rPr>
          <w:rFonts w:ascii="Arial" w:cs="Arial" w:eastAsia="Arial" w:hAnsi="Arial"/>
          <w:sz w:val="18"/>
          <w:szCs w:val="18"/>
          <w:color w:val="auto"/>
        </w:rPr>
        <w:t>backflow and reduce blood reflux that could lead to catheter-related complications.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C3 Wave PICC tip location system</w:t>
      </w:r>
    </w:p>
    <w:p>
      <w:pPr>
        <w:spacing w:after="0" w:line="171" w:lineRule="exact"/>
        <w:rPr>
          <w:sz w:val="20"/>
          <w:szCs w:val="20"/>
          <w:color w:val="auto"/>
        </w:rPr>
      </w:pPr>
    </w:p>
    <w:p>
      <w:pPr>
        <w:ind w:right="200" w:firstLine="389"/>
        <w:spacing w:after="0" w:line="277" w:lineRule="auto"/>
        <w:rPr>
          <w:sz w:val="20"/>
          <w:szCs w:val="20"/>
          <w:color w:val="auto"/>
        </w:rPr>
      </w:pPr>
      <w:r>
        <w:rPr>
          <w:rFonts w:ascii="Arial" w:cs="Arial" w:eastAsia="Arial" w:hAnsi="Arial"/>
          <w:sz w:val="18"/>
          <w:szCs w:val="18"/>
          <w:color w:val="auto"/>
        </w:rPr>
        <w:t>Our innovative, wireless, app-based ECG system eliminates the need for a confirmatory chest x-ray of PICC tip placement, allowing greater patient access to the Company’s proprietary BioFlo PICCs.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Ports</w:t>
      </w:r>
    </w:p>
    <w:p>
      <w:pPr>
        <w:spacing w:after="0" w:line="171" w:lineRule="exact"/>
        <w:rPr>
          <w:sz w:val="20"/>
          <w:szCs w:val="20"/>
          <w:color w:val="auto"/>
        </w:rPr>
      </w:pPr>
    </w:p>
    <w:p>
      <w:pPr>
        <w:ind w:right="40" w:firstLine="389"/>
        <w:spacing w:after="0" w:line="273" w:lineRule="auto"/>
        <w:rPr>
          <w:sz w:val="20"/>
          <w:szCs w:val="20"/>
          <w:color w:val="auto"/>
        </w:rPr>
      </w:pPr>
      <w:r>
        <w:rPr>
          <w:rFonts w:ascii="Arial" w:cs="Arial" w:eastAsia="Arial" w:hAnsi="Arial"/>
          <w:sz w:val="17"/>
          <w:szCs w:val="17"/>
          <w:color w:val="auto"/>
        </w:rPr>
        <w:t>Ports are implantable devices utilized for the central venous administration of a variety of medical therapies and for blood sampling and diagnostic purposes. Central venous access facilitates a more systemic delivery of treatment agents, while mitigating certain harsh side effects of certain treatment protocols and eliminating the need for repeated access to peripheral veins. Depending upon needle gauge size and the port size, a port can be utilized for up to approximately 2,000 accesses once implanted in the body. Our ports are used primarily in systemic or regional short- and long-term cancer treatment protocols that require frequent infusions of highly concentrated or toxic medications (such as chemotherapy agents, antibiotics or analgesics) and frequent blood samplings. Our port products and accessories include:</w:t>
      </w:r>
    </w:p>
    <w:p>
      <w:pPr>
        <w:spacing w:after="0" w:line="124" w:lineRule="exact"/>
        <w:rPr>
          <w:sz w:val="20"/>
          <w:szCs w:val="20"/>
          <w:color w:val="auto"/>
        </w:rPr>
      </w:pPr>
    </w:p>
    <w:p>
      <w:pPr>
        <w:jc w:val="both"/>
        <w:ind w:left="660" w:right="240" w:hanging="328"/>
        <w:spacing w:after="0" w:line="23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BioFlo</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Port</w:t>
      </w:r>
      <w:r>
        <w:rPr>
          <w:rFonts w:ascii="Arial" w:cs="Arial" w:eastAsia="Arial" w:hAnsi="Arial"/>
          <w:sz w:val="18"/>
          <w:szCs w:val="18"/>
          <w:color w:val="auto"/>
        </w:rPr>
        <w:t>: Our BioFlo Port is the only port available that features a catheter with Endexo Technology. Advanced features of the BioFlo Port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multiple profile and catheter options, a large septum area for ease of access and the ability to administer contrast through a CT injection for purposes of imaging.</w:t>
      </w:r>
    </w:p>
    <w:p>
      <w:pPr>
        <w:ind w:left="660" w:right="20" w:hanging="328"/>
        <w:spacing w:after="0" w:line="23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SmartPort</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The Smart Port power-injectable port with Vortex technology offers the ability for a clinician to access a vein for both the delivery of</w:t>
      </w:r>
      <w:r>
        <w:rPr>
          <w:rFonts w:ascii="Arial" w:cs="Arial" w:eastAsia="Arial" w:hAnsi="Arial"/>
          <w:sz w:val="18"/>
          <w:szCs w:val="18"/>
          <w:i w:val="1"/>
          <w:iCs w:val="1"/>
          <w:color w:val="auto"/>
        </w:rPr>
        <w:t xml:space="preserve"> </w:t>
      </w:r>
      <w:r>
        <w:rPr>
          <w:rFonts w:ascii="Arial" w:cs="Arial" w:eastAsia="Arial" w:hAnsi="Arial"/>
          <w:sz w:val="18"/>
          <w:szCs w:val="18"/>
          <w:color w:val="auto"/>
        </w:rPr>
        <w:t>medications or fluids and for administering power-injected contrast to perform a (CT) scan. The ability to access a port for power-injected contrast studies eliminates the need for additional needle sticks in the patient’s arm and wrist veins. Once implanted, repeated access to the bloodstream can be accomplished with greater ease and less discomfort. Our Smart Port is available in mini and low-profiles to accommodate more patient anatomies.</w:t>
      </w:r>
    </w:p>
    <w:p>
      <w:pPr>
        <w:spacing w:after="0" w:line="1" w:lineRule="exact"/>
        <w:rPr>
          <w:rFonts w:ascii="Arial" w:cs="Arial" w:eastAsia="Arial" w:hAnsi="Arial"/>
          <w:sz w:val="18"/>
          <w:szCs w:val="18"/>
          <w:color w:val="auto"/>
        </w:rPr>
      </w:pPr>
    </w:p>
    <w:p>
      <w:pPr>
        <w:ind w:left="660" w:right="160" w:hanging="328"/>
        <w:spacing w:after="0" w:line="22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Vortex</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Vortex port technology line of ports is a clear-flow port technology that, we believe, revolutionized port design. With its rounded</w:t>
      </w:r>
      <w:r>
        <w:rPr>
          <w:rFonts w:ascii="Arial" w:cs="Arial" w:eastAsia="Arial" w:hAnsi="Arial"/>
          <w:sz w:val="18"/>
          <w:szCs w:val="18"/>
          <w:i w:val="1"/>
          <w:iCs w:val="1"/>
          <w:color w:val="auto"/>
        </w:rPr>
        <w:t xml:space="preserve"> </w:t>
      </w:r>
      <w:r>
        <w:rPr>
          <w:rFonts w:ascii="Arial" w:cs="Arial" w:eastAsia="Arial" w:hAnsi="Arial"/>
          <w:sz w:val="18"/>
          <w:szCs w:val="18"/>
          <w:color w:val="auto"/>
        </w:rPr>
        <w:t>chamber, the Vortex port is designed to have no sludge-harboring corners or dead spaces. This product line consists of titanium, plastic and dual-lumen offerings.</w:t>
      </w:r>
    </w:p>
    <w:p>
      <w:pPr>
        <w:ind w:left="660" w:right="240" w:hanging="328"/>
        <w:spacing w:after="0" w:line="21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PASV</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Valve Technology: </w:t>
      </w:r>
      <w:r>
        <w:rPr>
          <w:rFonts w:ascii="Arial" w:cs="Arial" w:eastAsia="Arial" w:hAnsi="Arial"/>
          <w:sz w:val="18"/>
          <w:szCs w:val="18"/>
          <w:color w:val="auto"/>
        </w:rPr>
        <w:t>The PASV</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Valve Technology is designed to automatically resist backflow and reduce blood reflux that could lead to</w:t>
      </w:r>
      <w:r>
        <w:rPr>
          <w:rFonts w:ascii="Arial" w:cs="Arial" w:eastAsia="Arial" w:hAnsi="Arial"/>
          <w:sz w:val="18"/>
          <w:szCs w:val="18"/>
          <w:i w:val="1"/>
          <w:iCs w:val="1"/>
          <w:color w:val="auto"/>
        </w:rPr>
        <w:t xml:space="preserve"> </w:t>
      </w:r>
      <w:r>
        <w:rPr>
          <w:rFonts w:ascii="Arial" w:cs="Arial" w:eastAsia="Arial" w:hAnsi="Arial"/>
          <w:sz w:val="18"/>
          <w:szCs w:val="18"/>
          <w:color w:val="auto"/>
        </w:rPr>
        <w:t>catheter-related complications.</w:t>
      </w:r>
    </w:p>
    <w:p>
      <w:pPr>
        <w:spacing w:after="0" w:line="1" w:lineRule="exact"/>
        <w:rPr>
          <w:rFonts w:ascii="Arial" w:cs="Arial" w:eastAsia="Arial" w:hAnsi="Arial"/>
          <w:sz w:val="18"/>
          <w:szCs w:val="18"/>
          <w:color w:val="auto"/>
        </w:rPr>
      </w:pPr>
    </w:p>
    <w:p>
      <w:pPr>
        <w:ind w:left="660" w:right="400" w:hanging="328"/>
        <w:spacing w:after="0" w:line="21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LifeGuard</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LifeGuard Safety Infusion Set and The LifeGuard Vision are used to infuse our ports and complement our port and vascular</w:t>
      </w:r>
      <w:r>
        <w:rPr>
          <w:rFonts w:ascii="Arial" w:cs="Arial" w:eastAsia="Arial" w:hAnsi="Arial"/>
          <w:sz w:val="18"/>
          <w:szCs w:val="18"/>
          <w:i w:val="1"/>
          <w:iCs w:val="1"/>
          <w:color w:val="auto"/>
        </w:rPr>
        <w:t xml:space="preserve"> </w:t>
      </w:r>
      <w:r>
        <w:rPr>
          <w:rFonts w:ascii="Arial" w:cs="Arial" w:eastAsia="Arial" w:hAnsi="Arial"/>
          <w:sz w:val="18"/>
          <w:szCs w:val="18"/>
          <w:color w:val="auto"/>
        </w:rPr>
        <w:t>access catheters. The needles’ low profile design is intended to allow clinicians to easily dress the site.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Dialysis Products</w:t>
      </w:r>
    </w:p>
    <w:p>
      <w:pPr>
        <w:spacing w:after="0" w:line="171" w:lineRule="exact"/>
        <w:rPr>
          <w:sz w:val="20"/>
          <w:szCs w:val="20"/>
          <w:color w:val="auto"/>
        </w:rPr>
      </w:pPr>
    </w:p>
    <w:p>
      <w:pPr>
        <w:jc w:val="both"/>
        <w:ind w:right="460" w:firstLine="389"/>
        <w:spacing w:after="0" w:line="263" w:lineRule="auto"/>
        <w:rPr>
          <w:sz w:val="20"/>
          <w:szCs w:val="20"/>
          <w:color w:val="auto"/>
        </w:rPr>
      </w:pPr>
      <w:r>
        <w:rPr>
          <w:rFonts w:ascii="Arial" w:cs="Arial" w:eastAsia="Arial" w:hAnsi="Arial"/>
          <w:sz w:val="18"/>
          <w:szCs w:val="18"/>
          <w:color w:val="auto"/>
        </w:rPr>
        <w:t>We market a complete line of dialysis products that provide short and long-term vascular access for dialysis patients. Dialysis, or cleaning of the blood, is necessary in conditions such as acute renal failure, chronic renal failure and end-stage renal disease (ESRD). We currently offer a variety of dialysis catheters, including:</w:t>
      </w:r>
    </w:p>
    <w:p>
      <w:pPr>
        <w:spacing w:after="0" w:line="130" w:lineRule="exact"/>
        <w:rPr>
          <w:sz w:val="20"/>
          <w:szCs w:val="20"/>
          <w:color w:val="auto"/>
        </w:rPr>
      </w:pPr>
    </w:p>
    <w:p>
      <w:pPr>
        <w:ind w:left="660" w:hanging="328"/>
        <w:spacing w:after="0" w:line="23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BioFlo</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DuraMax</w:t>
      </w:r>
      <w:r>
        <w:rPr>
          <w:rFonts w:ascii="Arial" w:cs="Arial" w:eastAsia="Arial" w:hAnsi="Arial"/>
          <w:sz w:val="18"/>
          <w:szCs w:val="18"/>
          <w:color w:val="auto"/>
        </w:rPr>
        <w:t>: Our BioFlo DuraMax is the only dialysis catheter with Endexo Technology. Advanced features of the BioFlo DuraMax dialysis</w:t>
      </w:r>
      <w:r>
        <w:rPr>
          <w:rFonts w:ascii="Arial" w:cs="Arial" w:eastAsia="Arial" w:hAnsi="Arial"/>
          <w:sz w:val="18"/>
          <w:szCs w:val="18"/>
          <w:i w:val="1"/>
          <w:iCs w:val="1"/>
          <w:color w:val="auto"/>
        </w:rPr>
        <w:t xml:space="preserve"> </w:t>
      </w:r>
      <w:r>
        <w:rPr>
          <w:rFonts w:ascii="Arial" w:cs="Arial" w:eastAsia="Arial" w:hAnsi="Arial"/>
          <w:sz w:val="18"/>
          <w:szCs w:val="18"/>
          <w:color w:val="auto"/>
        </w:rPr>
        <w:t>catheter include large inner diameter lumens designed for long term patency, a proprietary guidewire lumen to facilitate catheter exchanges and Curved Tip Technology that allows the catheter to self-center in the Superior Vena Cava (SVC).</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DuraMax</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DuraMax catheter is a stepped-tip catheter designed to improve ease of use, dialysis efficiency and overall patient outcomes.</w:t>
      </w:r>
    </w:p>
    <w:p>
      <w:pPr>
        <w:spacing w:after="0" w:line="134" w:lineRule="exact"/>
        <w:rPr>
          <w:sz w:val="20"/>
          <w:szCs w:val="20"/>
          <w:color w:val="auto"/>
        </w:rPr>
      </w:pPr>
    </w:p>
    <w:p>
      <w:pPr>
        <w:ind w:right="180" w:firstLine="389"/>
        <w:spacing w:after="0" w:line="342" w:lineRule="auto"/>
        <w:rPr>
          <w:sz w:val="20"/>
          <w:szCs w:val="20"/>
          <w:color w:val="auto"/>
        </w:rPr>
      </w:pPr>
      <w:r>
        <w:rPr>
          <w:rFonts w:ascii="Arial" w:cs="Arial" w:eastAsia="Arial" w:hAnsi="Arial"/>
          <w:sz w:val="16"/>
          <w:szCs w:val="16"/>
          <w:color w:val="auto"/>
        </w:rPr>
        <w:t>In addition, AngioDynamics also offers other renal therapies, including DuraFlow™ Chronic Hemodialysis Catheter, Schon Chronic Hemodialysis Catheter, EVENMORE Chronic Hemodialysis Catheter, EMBOSAFE™ Valved, Splitable Sheath Dilator and Perchik™ Button Suture Retention Device.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175" w:lineRule="exact"/>
        <w:rPr>
          <w:sz w:val="20"/>
          <w:szCs w:val="20"/>
          <w:color w:val="auto"/>
        </w:rPr>
      </w:pPr>
    </w:p>
    <w:p>
      <w:pPr>
        <w:ind w:right="80" w:firstLine="389"/>
        <w:spacing w:after="0" w:line="263" w:lineRule="auto"/>
        <w:rPr>
          <w:sz w:val="20"/>
          <w:szCs w:val="20"/>
          <w:color w:val="auto"/>
        </w:rPr>
      </w:pPr>
      <w:r>
        <w:rPr>
          <w:rFonts w:ascii="Arial" w:cs="Arial" w:eastAsia="Arial" w:hAnsi="Arial"/>
          <w:sz w:val="18"/>
          <w:szCs w:val="18"/>
          <w:color w:val="auto"/>
        </w:rPr>
        <w:t>Our growth depends in large part on the continuous introduction of new and innovative products, together with ongoing enhancements to our existing products. This happens through internal product development, technology licensing and strategic alliances. We recognize the importance of, and intend to continue to make investments in, research and development (R&amp;D).</w:t>
      </w:r>
    </w:p>
    <w:p>
      <w:pPr>
        <w:spacing w:after="0" w:line="130" w:lineRule="exact"/>
        <w:rPr>
          <w:sz w:val="20"/>
          <w:szCs w:val="20"/>
          <w:color w:val="auto"/>
        </w:rPr>
      </w:pPr>
    </w:p>
    <w:p>
      <w:pPr>
        <w:ind w:right="160" w:firstLine="389"/>
        <w:spacing w:after="0" w:line="259" w:lineRule="auto"/>
        <w:rPr>
          <w:sz w:val="20"/>
          <w:szCs w:val="20"/>
          <w:color w:val="auto"/>
        </w:rPr>
      </w:pPr>
      <w:r>
        <w:rPr>
          <w:rFonts w:ascii="Arial" w:cs="Arial" w:eastAsia="Arial" w:hAnsi="Arial"/>
          <w:sz w:val="18"/>
          <w:szCs w:val="18"/>
          <w:color w:val="auto"/>
        </w:rPr>
        <w:t>Our R&amp;D teams work closely with our marketing teams, sales force and regulatory and compliance teams to incorporate customer feedback into our development and design process. We believe that we have a reputation among interventional physicians as a strong partner for developing high quality products because of our tradition of close physician collaboration, dedicated market focus, responsiveness and execution capabilities for product development and commercialization.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20" w:firstLine="389"/>
        <w:spacing w:after="0" w:line="286" w:lineRule="auto"/>
        <w:rPr>
          <w:sz w:val="20"/>
          <w:szCs w:val="20"/>
          <w:color w:val="auto"/>
        </w:rPr>
      </w:pPr>
      <w:r>
        <w:rPr>
          <w:rFonts w:ascii="Arial" w:cs="Arial" w:eastAsia="Arial" w:hAnsi="Arial"/>
          <w:sz w:val="17"/>
          <w:szCs w:val="17"/>
          <w:color w:val="auto"/>
        </w:rPr>
        <w:t>We encounter significant competition across our product lines and in each market in which our products are sold. These markets are characterized by rapid change resulting from technological advances, scientific discoveries and changing customer needs and expectations. We face competitors, ranging from large manufacturers with multiple business lines, to small manufacturers that offer a limited selection of products.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 w:name="page11"/>
    <w:bookmarkEnd w:id="10"/>
    <w:p>
      <w:pPr>
        <w:ind w:right="200" w:firstLine="389"/>
        <w:spacing w:after="0" w:line="263" w:lineRule="auto"/>
        <w:rPr>
          <w:sz w:val="20"/>
          <w:szCs w:val="20"/>
          <w:color w:val="auto"/>
        </w:rPr>
      </w:pPr>
      <w:r>
        <w:rPr>
          <w:rFonts w:ascii="Arial" w:cs="Arial" w:eastAsia="Arial" w:hAnsi="Arial"/>
          <w:sz w:val="18"/>
          <w:szCs w:val="18"/>
          <w:color w:val="auto"/>
        </w:rPr>
        <w:t>Our primary device competitors include: Boston Scientific Corporation; Cook Medical; Medical Components, Inc. (MedComp); TeleFlex Medical; BD Medical Technology; Smiths Medical, a subsidiary of Smiths Group plc; Medtronic; Merit Medical; Terumo Medical Corporation; Johnson and Johnson; Varian Medical Systems and Total Vein Systems.</w:t>
      </w:r>
    </w:p>
    <w:p>
      <w:pPr>
        <w:spacing w:after="0" w:line="130" w:lineRule="exact"/>
        <w:rPr>
          <w:sz w:val="20"/>
          <w:szCs w:val="20"/>
          <w:color w:val="auto"/>
        </w:rPr>
      </w:pPr>
    </w:p>
    <w:p>
      <w:pPr>
        <w:ind w:right="140" w:firstLine="389"/>
        <w:spacing w:after="0" w:line="254" w:lineRule="auto"/>
        <w:rPr>
          <w:sz w:val="20"/>
          <w:szCs w:val="20"/>
          <w:color w:val="auto"/>
        </w:rPr>
      </w:pPr>
      <w:r>
        <w:rPr>
          <w:rFonts w:ascii="Arial" w:cs="Arial" w:eastAsia="Arial" w:hAnsi="Arial"/>
          <w:sz w:val="18"/>
          <w:szCs w:val="18"/>
          <w:color w:val="auto"/>
        </w:rPr>
        <w:t>We believe our products compete primarily based on their quality, clinical outcomes, ease of use, reliability, physician familiarity and cost-effectiveness. In the current environment of managed care, which is characterized by economically motivated buyers, consolidation among health 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attract and retain skilled personnel, obtain patent or other protection for our products, obtain required regulatory and reimbursement approvals, manufacture and successfully market our products either directly or through outside parties, and maintain sufficient inventory to meet customer demand.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firstLine="389"/>
        <w:spacing w:after="0" w:line="263" w:lineRule="auto"/>
        <w:rPr>
          <w:sz w:val="20"/>
          <w:szCs w:val="20"/>
          <w:color w:val="auto"/>
        </w:rPr>
      </w:pPr>
      <w:r>
        <w:rPr>
          <w:rFonts w:ascii="Arial" w:cs="Arial" w:eastAsia="Arial" w:hAnsi="Arial"/>
          <w:sz w:val="18"/>
          <w:szCs w:val="18"/>
          <w:color w:val="auto"/>
        </w:rPr>
        <w:t>We sell our broad line of quality devices in the United States primarily through a direct sales force and internationally through a combination of direct sales and distributor relationships. We support our customers and sales organization with a marketing staff that includes product managers, customer service representatives and other marketing specialists.</w:t>
      </w:r>
    </w:p>
    <w:p>
      <w:pPr>
        <w:spacing w:after="0" w:line="130" w:lineRule="exact"/>
        <w:rPr>
          <w:sz w:val="20"/>
          <w:szCs w:val="20"/>
          <w:color w:val="auto"/>
        </w:rPr>
      </w:pPr>
    </w:p>
    <w:p>
      <w:pPr>
        <w:ind w:right="100" w:firstLine="389"/>
        <w:spacing w:after="0" w:line="277" w:lineRule="auto"/>
        <w:rPr>
          <w:sz w:val="20"/>
          <w:szCs w:val="20"/>
          <w:color w:val="auto"/>
        </w:rPr>
      </w:pPr>
      <w:r>
        <w:rPr>
          <w:rFonts w:ascii="Arial" w:cs="Arial" w:eastAsia="Arial" w:hAnsi="Arial"/>
          <w:sz w:val="18"/>
          <w:szCs w:val="18"/>
          <w:color w:val="auto"/>
        </w:rPr>
        <w:t>We focus our sales and marketing efforts on interventional radiologists, interventional cardiologists, vascular surgeons, urologists, interventional and surgical oncologists and critical care nurses.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ind w:right="80" w:firstLine="389"/>
        <w:spacing w:after="0" w:line="257" w:lineRule="auto"/>
        <w:rPr>
          <w:sz w:val="20"/>
          <w:szCs w:val="20"/>
          <w:color w:val="auto"/>
        </w:rPr>
      </w:pPr>
      <w:r>
        <w:rPr>
          <w:rFonts w:ascii="Arial" w:cs="Arial" w:eastAsia="Arial" w:hAnsi="Arial"/>
          <w:sz w:val="18"/>
          <w:szCs w:val="18"/>
          <w:color w:val="auto"/>
        </w:rPr>
        <w:t>We manufacture certain proprietary components and products and then assemble, inspect, test and package our finished products. By designing and manufacturing many of our products from raw materials, and assembling and testing our subassemblies and products, we believe that we are able to maintain better quality control, ensure compliance with applicable regulatory standards and our internal specifications, and limit outside access to our proprietary technology. We have custom-designed proprietary manufacturing and processing equipment and have developed proprietary enhancements for existing production machinery.</w:t>
      </w:r>
    </w:p>
    <w:p>
      <w:pPr>
        <w:spacing w:after="0" w:line="134" w:lineRule="exact"/>
        <w:rPr>
          <w:sz w:val="20"/>
          <w:szCs w:val="20"/>
          <w:color w:val="auto"/>
        </w:rPr>
      </w:pPr>
    </w:p>
    <w:p>
      <w:pPr>
        <w:ind w:firstLine="389"/>
        <w:spacing w:after="0" w:line="255" w:lineRule="auto"/>
        <w:rPr>
          <w:sz w:val="20"/>
          <w:szCs w:val="20"/>
          <w:color w:val="auto"/>
        </w:rPr>
      </w:pPr>
      <w:r>
        <w:rPr>
          <w:rFonts w:ascii="Arial" w:cs="Arial" w:eastAsia="Arial" w:hAnsi="Arial"/>
          <w:sz w:val="18"/>
          <w:szCs w:val="18"/>
          <w:color w:val="auto"/>
        </w:rPr>
        <w:t>We own two primary manufacturing properties providing capabilities which include manufacturing, service, engineering and research, distribution warehouses and offices. These facilities are registered with the FDA and have been certified to ISO 13485 standards, as well as the CMD/CAS Canadian Medical Device Regulations. ISO 13485 is a quality system standard that satisfies European Union regulatory requirements, thus allowing us to market and sell our products in European Union countries. Our manufacturing facilities are subject to periodic inspections by regulatory authorities to ensure compliance with domestic and non-U.S. regulatory requirements. See “Government Regulation” section of this report for additional information. See Item 2 "Properties" for details on each manufacturing location.</w:t>
      </w:r>
    </w:p>
    <w:p>
      <w:pPr>
        <w:spacing w:after="0" w:line="138" w:lineRule="exact"/>
        <w:rPr>
          <w:sz w:val="20"/>
          <w:szCs w:val="20"/>
          <w:color w:val="auto"/>
        </w:rPr>
      </w:pPr>
    </w:p>
    <w:p>
      <w:pPr>
        <w:ind w:right="40" w:firstLine="389"/>
        <w:spacing w:after="0" w:line="342" w:lineRule="auto"/>
        <w:rPr>
          <w:sz w:val="20"/>
          <w:szCs w:val="20"/>
          <w:color w:val="auto"/>
        </w:rPr>
      </w:pPr>
      <w:r>
        <w:rPr>
          <w:rFonts w:ascii="Arial" w:cs="Arial" w:eastAsia="Arial" w:hAnsi="Arial"/>
          <w:sz w:val="16"/>
          <w:szCs w:val="16"/>
          <w:color w:val="auto"/>
        </w:rPr>
        <w:t>On May 31, 2019, the Company completed the sale of the Fluid Management business which included one of the two Glens Falls, NY manufacturing facilities. As of June 1, 2019, the Company manufactures most of its product from the Queensbury, NY facility and one small facility in Glens Falls, 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Historically, we ship the majority of products within 24-48 hours of receiving an order, and accordingly our backlog is not significant.</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20" w:firstLine="389"/>
        <w:spacing w:after="0" w:line="259" w:lineRule="auto"/>
        <w:rPr>
          <w:sz w:val="20"/>
          <w:szCs w:val="20"/>
          <w:color w:val="auto"/>
        </w:rPr>
      </w:pPr>
      <w:r>
        <w:rPr>
          <w:rFonts w:ascii="Arial" w:cs="Arial" w:eastAsia="Arial" w:hAnsi="Arial"/>
          <w:sz w:val="18"/>
          <w:szCs w:val="18"/>
          <w:color w:val="auto"/>
        </w:rPr>
        <w:t>Patents, trademarks and other proprietary rights are very important to our business. We also rely upon trade secrets, manufacturing know-how, technological innovations and licensing opportunities to maintain and improve our competitive position. We regularly monitor and review third-party proprietary rights, including patents and patent applications, as available, to aid in the development of our intellectual property strategy, avoid infringement of third-party proprietary rights, and identify licensing opportunities.</w:t>
      </w:r>
    </w:p>
    <w:p>
      <w:pPr>
        <w:spacing w:after="0" w:line="133" w:lineRule="exact"/>
        <w:rPr>
          <w:sz w:val="20"/>
          <w:szCs w:val="20"/>
          <w:color w:val="auto"/>
        </w:rPr>
      </w:pPr>
    </w:p>
    <w:p>
      <w:pPr>
        <w:ind w:right="160" w:firstLine="389"/>
        <w:spacing w:after="0" w:line="277" w:lineRule="auto"/>
        <w:rPr>
          <w:sz w:val="20"/>
          <w:szCs w:val="20"/>
          <w:color w:val="auto"/>
        </w:rPr>
      </w:pPr>
      <w:r>
        <w:rPr>
          <w:rFonts w:ascii="Arial" w:cs="Arial" w:eastAsia="Arial" w:hAnsi="Arial"/>
          <w:sz w:val="18"/>
          <w:szCs w:val="18"/>
          <w:color w:val="auto"/>
        </w:rPr>
        <w:t>The Company owns an extensive portfolio of patents and patent applications in the United States and in certain foreign countries. The portfolio also includes exclusive licenses to third party patents and applications.</w:t>
      </w:r>
    </w:p>
    <w:p>
      <w:pPr>
        <w:spacing w:after="0" w:line="116" w:lineRule="exact"/>
        <w:rPr>
          <w:sz w:val="20"/>
          <w:szCs w:val="20"/>
          <w:color w:val="auto"/>
        </w:rPr>
      </w:pPr>
    </w:p>
    <w:p>
      <w:pPr>
        <w:ind w:right="220" w:firstLine="389"/>
        <w:spacing w:after="0" w:line="263" w:lineRule="auto"/>
        <w:rPr>
          <w:sz w:val="20"/>
          <w:szCs w:val="20"/>
          <w:color w:val="auto"/>
        </w:rPr>
      </w:pPr>
      <w:r>
        <w:rPr>
          <w:rFonts w:ascii="Arial" w:cs="Arial" w:eastAsia="Arial" w:hAnsi="Arial"/>
          <w:sz w:val="18"/>
          <w:szCs w:val="18"/>
          <w:color w:val="auto"/>
        </w:rPr>
        <w:t>Most of our products are sold under the AngioDynamics trade name or trademark. Additionally, products are sold under product trademarks and/or registered product trademarks owned by AngioDynamics, Inc., or an affiliate or subsidiary. Some products contain trademarks of companies other than AngioDynamics.</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Part I. Item 3 of this report for additional details on litigation regarding proprietary technology.</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ind w:right="40" w:firstLine="389"/>
        <w:spacing w:after="0" w:line="273" w:lineRule="auto"/>
        <w:rPr>
          <w:sz w:val="20"/>
          <w:szCs w:val="20"/>
          <w:color w:val="auto"/>
        </w:rPr>
      </w:pPr>
      <w:r>
        <w:rPr>
          <w:rFonts w:ascii="Arial" w:cs="Arial" w:eastAsia="Arial" w:hAnsi="Arial"/>
          <w:sz w:val="17"/>
          <w:szCs w:val="17"/>
          <w:color w:val="auto"/>
        </w:rPr>
        <w:t>We operate in an industry characterized by extensive patent litigation. Patent litigation can result in significant damage awards and injunctions that could prevent the manufacture and sale of affected products, or result in significant royalty payments in order to continue selling those products. The medical device industry is also susceptible to significant product liability claims. These claims may be brought by individuals seeking relief on their own behalf or purporting to represent a class. In addition, product liability claims may be asserted against us in the future based on events we are not aware of at the present time. At any given time, we are involved in a number of product liability actions. For additional information, see both Part I. Item 3 of this report and Note 17 to the consolidated financial statements in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260" w:firstLine="389"/>
        <w:spacing w:after="0" w:line="277" w:lineRule="auto"/>
        <w:rPr>
          <w:sz w:val="20"/>
          <w:szCs w:val="20"/>
          <w:color w:val="auto"/>
        </w:rPr>
      </w:pPr>
      <w:r>
        <w:rPr>
          <w:rFonts w:ascii="Arial" w:cs="Arial" w:eastAsia="Arial" w:hAnsi="Arial"/>
          <w:sz w:val="18"/>
          <w:szCs w:val="18"/>
          <w:color w:val="auto"/>
        </w:rPr>
        <w:t>The products we manufacture and market are subject to regulation by the Food and Drug Administration (FDA) under the Federal Food, Drug, and Cosmetic Act, or FDCA, and international regulations to our specific target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 FDA Regulation</w:t>
      </w:r>
    </w:p>
    <w:p>
      <w:pPr>
        <w:spacing w:after="0" w:line="175" w:lineRule="exact"/>
        <w:rPr>
          <w:sz w:val="20"/>
          <w:szCs w:val="20"/>
          <w:color w:val="auto"/>
        </w:rPr>
      </w:pPr>
    </w:p>
    <w:p>
      <w:pPr>
        <w:ind w:right="80" w:firstLine="389"/>
        <w:spacing w:after="0" w:line="277" w:lineRule="auto"/>
        <w:rPr>
          <w:sz w:val="20"/>
          <w:szCs w:val="20"/>
          <w:color w:val="auto"/>
        </w:rPr>
      </w:pPr>
      <w:r>
        <w:rPr>
          <w:rFonts w:ascii="Arial" w:cs="Arial" w:eastAsia="Arial" w:hAnsi="Arial"/>
          <w:sz w:val="18"/>
          <w:szCs w:val="18"/>
          <w:color w:val="auto"/>
        </w:rPr>
        <w:t>Before a new medical device can be introduced into the market, a manufacturer generally must obtain marketing clearance or approval from the FDA through either a 510(k) submission (a premarket notification) or a premarket approval application (PMA).</w:t>
      </w:r>
    </w:p>
    <w:p>
      <w:pPr>
        <w:spacing w:after="0" w:line="116" w:lineRule="exact"/>
        <w:rPr>
          <w:sz w:val="20"/>
          <w:szCs w:val="20"/>
          <w:color w:val="auto"/>
        </w:rPr>
      </w:pPr>
    </w:p>
    <w:p>
      <w:pPr>
        <w:ind w:right="140" w:firstLine="389"/>
        <w:spacing w:after="0" w:line="290" w:lineRule="auto"/>
        <w:rPr>
          <w:sz w:val="20"/>
          <w:szCs w:val="20"/>
          <w:color w:val="auto"/>
        </w:rPr>
      </w:pPr>
      <w:r>
        <w:rPr>
          <w:rFonts w:ascii="Arial" w:cs="Arial" w:eastAsia="Arial" w:hAnsi="Arial"/>
          <w:sz w:val="16"/>
          <w:szCs w:val="16"/>
          <w:color w:val="auto"/>
        </w:rPr>
        <w:t>The 510(k) procedure is available only in particular circumstances. The 510(k) clearance procedure is available only if a manufacturer can establish that its device is “substantially equivalent” in intended use and in safety and effectiveness to a “predicate device,” which is a legally marketed device with 510(k) clearance in class I or II or preamendment status based upon products commercially distributed on or before May 28, 1976. After a device receives 510(k) clearance, any modification that could significantly affect its safety or effectiveness, or that would constitute a major change in its intended use, requires a new 510(k) clearance. The 510(k) clearance procedure including questions and responses may take up to 12 months. In some cases, supporting clinical data may be required.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new or modified device products. If a device cannot demonstrate substantial equivalence, it may be subject to either a de novo submission or a PMA.</w:t>
      </w:r>
    </w:p>
    <w:p>
      <w:pPr>
        <w:spacing w:after="0" w:line="111" w:lineRule="exact"/>
        <w:rPr>
          <w:sz w:val="20"/>
          <w:szCs w:val="20"/>
          <w:color w:val="auto"/>
        </w:rPr>
      </w:pPr>
    </w:p>
    <w:p>
      <w:pPr>
        <w:ind w:right="60" w:firstLine="389"/>
        <w:spacing w:after="0" w:line="270" w:lineRule="auto"/>
        <w:rPr>
          <w:sz w:val="20"/>
          <w:szCs w:val="20"/>
          <w:color w:val="auto"/>
        </w:rPr>
      </w:pPr>
      <w:r>
        <w:rPr>
          <w:rFonts w:ascii="Arial" w:cs="Arial" w:eastAsia="Arial" w:hAnsi="Arial"/>
          <w:sz w:val="17"/>
          <w:szCs w:val="17"/>
          <w:color w:val="auto"/>
        </w:rPr>
        <w:t>The PMA application procedure is more comprehensive than the 510(k) procedure and typically takes more time to complete. The PMA application must be supported by scientific evidence providing pre-clinical and clinical data relating to the safety and efficacy of the device and must include other information about the device and its components, design, manufacturing and labeling. The FDA will approve a PMA application only if reasonable assurance that the device is safe and effective for its intended use can be provided. As part of the PMA application review, the FDA will inspect the manufacturer’s facilities for compliance with its Quality System Regulation, or QSR. As part of the PMA approval the FDA may place 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significant changes are made to a device, its manufacturing or labeling, a PMA supplement containing additional information must be filed for prior FDA approval.</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Historically, our products have been introduced into the market using the 510(k) procedure.</w:t>
      </w:r>
    </w:p>
    <w:p>
      <w:pPr>
        <w:spacing w:after="0" w:line="171" w:lineRule="exact"/>
        <w:rPr>
          <w:sz w:val="20"/>
          <w:szCs w:val="20"/>
          <w:color w:val="auto"/>
        </w:rPr>
      </w:pPr>
    </w:p>
    <w:p>
      <w:pPr>
        <w:ind w:right="200" w:firstLine="389"/>
        <w:spacing w:after="0" w:line="255" w:lineRule="auto"/>
        <w:rPr>
          <w:sz w:val="20"/>
          <w:szCs w:val="20"/>
          <w:color w:val="auto"/>
        </w:rPr>
      </w:pPr>
      <w:r>
        <w:rPr>
          <w:rFonts w:ascii="Arial" w:cs="Arial" w:eastAsia="Arial" w:hAnsi="Arial"/>
          <w:sz w:val="18"/>
          <w:szCs w:val="18"/>
          <w:color w:val="auto"/>
        </w:rPr>
        <w:t>The process of FDA submissions requires extensive and expensive validations and testing. The financial outlay for this is large and requires a significant amount of time. Recent changes in both regulations and FDA perspectives have increased both time and testing requirements, which have caused significant delays and increased costs for approvals. The parameters for increased testing have and will continue to cause severe delays. The increased focus by the FDA on such issues as chemical identification of all colorants, non-acceptance of certain colorants (certain forms of carbon black) and other concerns, continue to cause problems and delays. In addition, changes to existing products call into question previously approved devices and result in additional costs for testing and material analysis.</w:t>
      </w:r>
    </w:p>
    <w:p>
      <w:pPr>
        <w:spacing w:after="0" w:line="138" w:lineRule="exact"/>
        <w:rPr>
          <w:sz w:val="20"/>
          <w:szCs w:val="20"/>
          <w:color w:val="auto"/>
        </w:rPr>
      </w:pPr>
    </w:p>
    <w:p>
      <w:pPr>
        <w:ind w:firstLine="389"/>
        <w:spacing w:after="0" w:line="254" w:lineRule="auto"/>
        <w:rPr>
          <w:sz w:val="20"/>
          <w:szCs w:val="20"/>
          <w:color w:val="auto"/>
        </w:rPr>
      </w:pPr>
      <w:r>
        <w:rPr>
          <w:rFonts w:ascii="Arial" w:cs="Arial" w:eastAsia="Arial" w:hAnsi="Arial"/>
          <w:sz w:val="18"/>
          <w:szCs w:val="18"/>
          <w:color w:val="auto"/>
        </w:rPr>
        <w:t>The devices manufactured by us are also subject to the QSR, which imposes elaborate testing, control, documentation and other quality assurance procedures. Every phase of production, including raw materials, components and subassembly, manufacturing, testing, quality control, labeling, tracing of consignees after distribution and follow-up and reporting of complaint information is governed by the FDA’s QSR. Device manufacturers are required to register their facilities and list their products with the FDA and certain state agencies. The FDA periodically inspects manufacturing facilities and, if there are alleged violations, the operator of a facility must correct them or satisfactorily demonstrate the absence of the violations or face regulatory action. Penalties for failure to maintain compliance to the QSR include warning letters and potentially consent decrees. Failure to maintain the QSR appropriately could result in the development of further warning letters. In addition, non-compliance with applicable FDA requirements can result in, among other things, fines, injunctions, civil penalties, recall or</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2" w:name="page13"/>
    <w:bookmarkEnd w:id="12"/>
    <w:p>
      <w:pPr>
        <w:spacing w:after="0" w:line="263" w:lineRule="auto"/>
        <w:rPr>
          <w:sz w:val="20"/>
          <w:szCs w:val="20"/>
          <w:color w:val="auto"/>
        </w:rPr>
      </w:pPr>
      <w:r>
        <w:rPr>
          <w:rFonts w:ascii="Arial" w:cs="Arial" w:eastAsia="Arial" w:hAnsi="Arial"/>
          <w:sz w:val="18"/>
          <w:szCs w:val="18"/>
          <w:color w:val="auto"/>
        </w:rPr>
        <w:t>seizure of products, total or partial suspension of production, failure of the FDA to grant marketing approvals, withdrawal of marketing approvals, a recommendation by the FDA to disallow us to enter into government contracts, and criminal prosecutions. The FDA also has the authority to request repair, replacement or refund of the cost of any device manufactured or distributed by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U.S. Regulatory Bodies</w:t>
      </w:r>
    </w:p>
    <w:p>
      <w:pPr>
        <w:spacing w:after="0" w:line="175" w:lineRule="exact"/>
        <w:rPr>
          <w:sz w:val="20"/>
          <w:szCs w:val="20"/>
          <w:color w:val="auto"/>
        </w:rPr>
      </w:pPr>
    </w:p>
    <w:p>
      <w:pPr>
        <w:ind w:right="180" w:firstLine="389"/>
        <w:spacing w:after="0" w:line="291" w:lineRule="auto"/>
        <w:rPr>
          <w:sz w:val="20"/>
          <w:szCs w:val="20"/>
          <w:color w:val="auto"/>
        </w:rPr>
      </w:pPr>
      <w:r>
        <w:rPr>
          <w:rFonts w:ascii="Arial" w:cs="Arial" w:eastAsia="Arial" w:hAnsi="Arial"/>
          <w:sz w:val="16"/>
          <w:szCs w:val="16"/>
          <w:color w:val="auto"/>
        </w:rPr>
        <w:t>We and our products are subject to a variety of state and local laws in those jurisdictions where our products are, or will be, marketed. We and our products are also subject to a variety of federal, state and local laws relating to matters such as safe working conditions, manufacturing practices, environmental protection, fire hazard control and disposal of hazardous or potentially hazardous substances. In addition,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 Regulation</w:t>
      </w:r>
    </w:p>
    <w:p>
      <w:pPr>
        <w:spacing w:after="0" w:line="175" w:lineRule="exact"/>
        <w:rPr>
          <w:sz w:val="20"/>
          <w:szCs w:val="20"/>
          <w:color w:val="auto"/>
        </w:rPr>
      </w:pPr>
    </w:p>
    <w:p>
      <w:pPr>
        <w:ind w:firstLine="389"/>
        <w:spacing w:after="0" w:line="293" w:lineRule="auto"/>
        <w:rPr>
          <w:sz w:val="20"/>
          <w:szCs w:val="20"/>
          <w:color w:val="auto"/>
        </w:rPr>
      </w:pPr>
      <w:r>
        <w:rPr>
          <w:rFonts w:ascii="Arial" w:cs="Arial" w:eastAsia="Arial" w:hAnsi="Arial"/>
          <w:sz w:val="16"/>
          <w:szCs w:val="16"/>
          <w:color w:val="auto"/>
        </w:rPr>
        <w:t>Internationally, all of our current products are considered medical devices under applicable regulatory regimes, and we anticipate that this will be true for all of our future products. Sales of medical devices are subject to regulatory requirements in many countries. The regulatory review process may vary greatly from country to country. For example, the European Union has a dedicated set of regulations regarding medical devices, specifically regulating their design, manufacturing, clinical trials, labeling and adverse event reporting. Devices that comply with those requirements are entitled to bear a Conformité Européenne, or CE Mark, indicating that the device conforms to the essential requirements of the applicable directives and can be commercially distributed in countries that are members of the European Union. Similar regulations are in place for Canada, Japan, China and most other countries.</w:t>
      </w:r>
    </w:p>
    <w:p>
      <w:pPr>
        <w:spacing w:after="0" w:line="110" w:lineRule="exact"/>
        <w:rPr>
          <w:sz w:val="20"/>
          <w:szCs w:val="20"/>
          <w:color w:val="auto"/>
        </w:rPr>
      </w:pPr>
    </w:p>
    <w:p>
      <w:pPr>
        <w:ind w:right="480" w:firstLine="389"/>
        <w:spacing w:after="0" w:line="277" w:lineRule="auto"/>
        <w:rPr>
          <w:sz w:val="20"/>
          <w:szCs w:val="20"/>
          <w:color w:val="auto"/>
        </w:rPr>
      </w:pPr>
      <w:r>
        <w:rPr>
          <w:rFonts w:ascii="Arial" w:cs="Arial" w:eastAsia="Arial" w:hAnsi="Arial"/>
          <w:sz w:val="18"/>
          <w:szCs w:val="18"/>
          <w:color w:val="auto"/>
        </w:rPr>
        <w:t>In some cases, we rely on our international distributors to obtain regulatory approvals, complete product registrations, comply with clinical trial requirements and complete those steps that are customarily taken in the applicable jurisdictions.</w:t>
      </w:r>
    </w:p>
    <w:p>
      <w:pPr>
        <w:spacing w:after="0" w:line="116" w:lineRule="exact"/>
        <w:rPr>
          <w:sz w:val="20"/>
          <w:szCs w:val="20"/>
          <w:color w:val="auto"/>
        </w:rPr>
      </w:pPr>
    </w:p>
    <w:p>
      <w:pPr>
        <w:ind w:right="40" w:firstLine="389"/>
        <w:spacing w:after="0" w:line="263" w:lineRule="auto"/>
        <w:rPr>
          <w:sz w:val="20"/>
          <w:szCs w:val="20"/>
          <w:color w:val="auto"/>
        </w:rPr>
      </w:pPr>
      <w:r>
        <w:rPr>
          <w:rFonts w:ascii="Arial" w:cs="Arial" w:eastAsia="Arial" w:hAnsi="Arial"/>
          <w:sz w:val="18"/>
          <w:szCs w:val="18"/>
          <w:color w:val="auto"/>
        </w:rPr>
        <w:t>International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spacing w:after="0" w:line="130" w:lineRule="exact"/>
        <w:rPr>
          <w:sz w:val="20"/>
          <w:szCs w:val="20"/>
          <w:color w:val="auto"/>
        </w:rPr>
      </w:pPr>
    </w:p>
    <w:p>
      <w:pPr>
        <w:ind w:firstLine="389"/>
        <w:spacing w:after="0" w:line="259" w:lineRule="auto"/>
        <w:rPr>
          <w:sz w:val="20"/>
          <w:szCs w:val="20"/>
          <w:color w:val="auto"/>
        </w:rPr>
      </w:pPr>
      <w:r>
        <w:rPr>
          <w:rFonts w:ascii="Arial" w:cs="Arial" w:eastAsia="Arial" w:hAnsi="Arial"/>
          <w:sz w:val="18"/>
          <w:szCs w:val="18"/>
          <w:color w:val="auto"/>
        </w:rPr>
        <w:t>The process of obtaining approval to distribute medical products is costly and time-consuming in virtually all the major markets where we sell medical devices. We cannot assure that any new medical devices we develop will be approved in a timely or cost-effective manner or approved at all. There can be no assurance that new laws or regulations regarding the release or sale of medical devices will not delay or prevent sale of our current or future products.</w:t>
      </w:r>
    </w:p>
    <w:p>
      <w:pPr>
        <w:spacing w:after="0" w:line="129" w:lineRule="exact"/>
        <w:rPr>
          <w:sz w:val="20"/>
          <w:szCs w:val="20"/>
          <w:color w:val="auto"/>
        </w:rPr>
      </w:pPr>
    </w:p>
    <w:p>
      <w:pPr>
        <w:ind w:right="2960"/>
        <w:spacing w:after="0" w:line="440" w:lineRule="auto"/>
        <w:rPr>
          <w:sz w:val="20"/>
          <w:szCs w:val="20"/>
          <w:color w:val="auto"/>
        </w:rPr>
      </w:pPr>
      <w:r>
        <w:rPr>
          <w:rFonts w:ascii="Arial" w:cs="Arial" w:eastAsia="Arial" w:hAnsi="Arial"/>
          <w:sz w:val="18"/>
          <w:szCs w:val="18"/>
          <w:b w:val="1"/>
          <w:bCs w:val="1"/>
          <w:color w:val="auto"/>
        </w:rPr>
        <w:t xml:space="preserve">THIRD-PARTY REIMBURSEMENT AND ANTI-FRAUD AND CORRUPT PRACTICES REGULATION </w:t>
      </w:r>
      <w:r>
        <w:rPr>
          <w:rFonts w:ascii="Arial" w:cs="Arial" w:eastAsia="Arial" w:hAnsi="Arial"/>
          <w:sz w:val="18"/>
          <w:szCs w:val="18"/>
          <w:b w:val="1"/>
          <w:bCs w:val="1"/>
          <w:u w:val="single" w:color="auto"/>
          <w:color w:val="auto"/>
        </w:rPr>
        <w:t>United States</w:t>
      </w:r>
    </w:p>
    <w:p>
      <w:pPr>
        <w:spacing w:after="0" w:line="1" w:lineRule="exact"/>
        <w:rPr>
          <w:sz w:val="20"/>
          <w:szCs w:val="20"/>
          <w:color w:val="auto"/>
        </w:rPr>
      </w:pPr>
    </w:p>
    <w:p>
      <w:pPr>
        <w:ind w:right="100" w:firstLine="389"/>
        <w:spacing w:after="0" w:line="301" w:lineRule="auto"/>
        <w:rPr>
          <w:sz w:val="20"/>
          <w:szCs w:val="20"/>
          <w:color w:val="auto"/>
        </w:rPr>
      </w:pPr>
      <w:r>
        <w:rPr>
          <w:rFonts w:ascii="Arial" w:cs="Arial" w:eastAsia="Arial" w:hAnsi="Arial"/>
          <w:sz w:val="16"/>
          <w:szCs w:val="16"/>
          <w:color w:val="auto"/>
        </w:rPr>
        <w:t>The delivery of our devices is subject to regulation by the Department of Health and Human Services (HHS) and comparable state and non-U.S. agencies responsible for reimbursement and regulation of health care items and services. U.S. laws and regulations are imposed primarily in conjunction with the Medicare and Medicaid programs, as well as the government’s interest in regulating the quality and cost of health care. Foreign governments also impose regulations in conjunction with their health care reimbursement programs and the delivery of health care items and services.</w:t>
      </w:r>
    </w:p>
    <w:p>
      <w:pPr>
        <w:spacing w:after="0" w:line="103" w:lineRule="exact"/>
        <w:rPr>
          <w:sz w:val="20"/>
          <w:szCs w:val="20"/>
          <w:color w:val="auto"/>
        </w:rPr>
      </w:pPr>
    </w:p>
    <w:p>
      <w:pPr>
        <w:ind w:firstLine="389"/>
        <w:spacing w:after="0" w:line="289" w:lineRule="auto"/>
        <w:rPr>
          <w:sz w:val="20"/>
          <w:szCs w:val="20"/>
          <w:color w:val="auto"/>
        </w:rPr>
      </w:pPr>
      <w:r>
        <w:rPr>
          <w:rFonts w:ascii="Arial" w:cs="Arial" w:eastAsia="Arial" w:hAnsi="Arial"/>
          <w:sz w:val="16"/>
          <w:szCs w:val="16"/>
          <w:color w:val="auto"/>
        </w:rPr>
        <w:t>U.S. federal health care laws apply when we or customers submit claims for items or services that are reimbursed under Medicare, Medicaid, or other federally-funded health care programs. The principal U.S. federal laws include: (1) the Anti-kickback Statute which prohibits offers to pay or receive remuneration of any kind for the purpose of including or rewarding referrals of items or services reimbursable by a federal health care program; (2) the False Claims Act which prohibits the submission of false or otherwise improper claims for payment to a federally-funded health care program, including claims resulting from a violation of the Anti-kickback Statute; (3) the Stark law which prohibits physicians from referring Medicare or Medicaid patients to a provider that bills these programs for the provision of certain designated health services if the physician (or a member of the physician’s immediate family) has a financial relationship with that provider; and (4) health care fraud statutes that prohibit false statements and improper claims to any third-party payer. There are often similar state false claims, anti-kickback, and anti-self-referral and insurance laws that apply to state-funded Medicaid and other health care programs and private third-party payers. In addition, the U.S. Foreign Corrupt Practices Act (FCPA) can be used to prosecute companies in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13" w:name="page14"/>
    <w:bookmarkEnd w:id="13"/>
    <w:p>
      <w:pPr>
        <w:ind w:right="340"/>
        <w:spacing w:after="0" w:line="277" w:lineRule="auto"/>
        <w:rPr>
          <w:sz w:val="20"/>
          <w:szCs w:val="20"/>
          <w:color w:val="auto"/>
        </w:rPr>
      </w:pPr>
      <w:r>
        <w:rPr>
          <w:rFonts w:ascii="Arial" w:cs="Arial" w:eastAsia="Arial" w:hAnsi="Arial"/>
          <w:sz w:val="18"/>
          <w:szCs w:val="18"/>
          <w:color w:val="auto"/>
        </w:rPr>
        <w:t>the U.S. for arrangements with physicians or other parties outside the U.S. if the physician or party is a government official of another country and the arrangement violates the law of that country.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w:t>
      </w:r>
    </w:p>
    <w:p>
      <w:pPr>
        <w:spacing w:after="0" w:line="175" w:lineRule="exact"/>
        <w:rPr>
          <w:sz w:val="20"/>
          <w:szCs w:val="20"/>
          <w:color w:val="auto"/>
        </w:rPr>
      </w:pPr>
    </w:p>
    <w:p>
      <w:pPr>
        <w:jc w:val="both"/>
        <w:ind w:firstLine="389"/>
        <w:spacing w:after="0" w:line="275" w:lineRule="auto"/>
        <w:rPr>
          <w:sz w:val="20"/>
          <w:szCs w:val="20"/>
          <w:color w:val="auto"/>
        </w:rPr>
      </w:pPr>
      <w:r>
        <w:rPr>
          <w:rFonts w:ascii="Arial" w:cs="Arial" w:eastAsia="Arial" w:hAnsi="Arial"/>
          <w:sz w:val="17"/>
          <w:szCs w:val="17"/>
          <w:color w:val="auto"/>
        </w:rPr>
        <w:t>Our success in international markets will depend largely upon the availability of reimbursement from the third-party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U.S., we generally rely on our distributors to obtain reimbursement approval in the countries in which they will sell our products. There can be no assurance that reimbursement approvals will be received.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ind w:right="60" w:firstLine="389"/>
        <w:spacing w:after="0" w:line="263" w:lineRule="auto"/>
        <w:rPr>
          <w:sz w:val="20"/>
          <w:szCs w:val="20"/>
          <w:color w:val="auto"/>
        </w:rPr>
      </w:pPr>
      <w:r>
        <w:rPr>
          <w:rFonts w:ascii="Arial" w:cs="Arial" w:eastAsia="Arial" w:hAnsi="Arial"/>
          <w:sz w:val="18"/>
          <w:szCs w:val="18"/>
          <w:color w:val="auto"/>
        </w:rPr>
        <w:t>Our product liability insurance coverage is limited to a maximum of $10 million per product liability claim and an annual aggregate policy limit of $10 million, subject to a self-insured retention of $500,000 per occurrence and $2 million in the aggregate. The policy covers, subject to policy conditions and exclusions, claims of bodily injury and property damage from any product sold or manufactured by us.</w:t>
      </w:r>
    </w:p>
    <w:p>
      <w:pPr>
        <w:spacing w:after="0" w:line="130" w:lineRule="exact"/>
        <w:rPr>
          <w:sz w:val="20"/>
          <w:szCs w:val="20"/>
          <w:color w:val="auto"/>
        </w:rPr>
      </w:pPr>
    </w:p>
    <w:p>
      <w:pPr>
        <w:ind w:right="120" w:firstLine="389"/>
        <w:spacing w:after="0" w:line="286" w:lineRule="auto"/>
        <w:rPr>
          <w:sz w:val="20"/>
          <w:szCs w:val="20"/>
          <w:color w:val="auto"/>
        </w:rPr>
      </w:pPr>
      <w:r>
        <w:rPr>
          <w:rFonts w:ascii="Arial" w:cs="Arial" w:eastAsia="Arial" w:hAnsi="Arial"/>
          <w:sz w:val="17"/>
          <w:szCs w:val="17"/>
          <w:color w:val="auto"/>
        </w:rPr>
        <w:t>There is no assurance that this level of coverage is adequate. We may not be able to sustain or maintain this level of coverage and cannot assure you that adequate insurance coverage will continue to be available on commercially reasonable terms, or at all. A successful product liability claim or other claim, with respect to uninsured or underinsured liabilities, could have a material adverse effect on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w:t>
      </w:r>
    </w:p>
    <w:p>
      <w:pPr>
        <w:spacing w:after="0" w:line="175" w:lineRule="exact"/>
        <w:rPr>
          <w:sz w:val="20"/>
          <w:szCs w:val="20"/>
          <w:color w:val="auto"/>
        </w:rPr>
      </w:pPr>
    </w:p>
    <w:p>
      <w:pPr>
        <w:ind w:firstLine="389"/>
        <w:spacing w:after="0" w:line="259" w:lineRule="auto"/>
        <w:rPr>
          <w:sz w:val="20"/>
          <w:szCs w:val="20"/>
          <w:color w:val="auto"/>
        </w:rPr>
      </w:pPr>
      <w:r>
        <w:rPr>
          <w:rFonts w:ascii="Arial" w:cs="Arial" w:eastAsia="Arial" w:hAnsi="Arial"/>
          <w:sz w:val="18"/>
          <w:szCs w:val="18"/>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Our operations are also subject to laws and regulations related to occupational health and safety. We maintain safety, training and maintenance programs as part of our ongoing efforts to ensure compliance with applicable laws and regulations.</w:t>
      </w:r>
    </w:p>
    <w:p>
      <w:pPr>
        <w:spacing w:after="0" w:line="133" w:lineRule="exact"/>
        <w:rPr>
          <w:sz w:val="20"/>
          <w:szCs w:val="20"/>
          <w:color w:val="auto"/>
        </w:rPr>
      </w:pPr>
    </w:p>
    <w:p>
      <w:pPr>
        <w:jc w:val="both"/>
        <w:ind w:right="60" w:firstLine="389"/>
        <w:spacing w:after="0" w:line="263" w:lineRule="auto"/>
        <w:rPr>
          <w:sz w:val="20"/>
          <w:szCs w:val="20"/>
          <w:color w:val="auto"/>
        </w:rPr>
      </w:pPr>
      <w:r>
        <w:rPr>
          <w:rFonts w:ascii="Arial" w:cs="Arial" w:eastAsia="Arial" w:hAnsi="Arial"/>
          <w:sz w:val="18"/>
          <w:szCs w:val="18"/>
          <w:color w:val="auto"/>
        </w:rPr>
        <w:t>Although we believe that we have complied with environmental, health and safety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320" w:firstLine="389"/>
        <w:spacing w:after="0" w:line="277" w:lineRule="auto"/>
        <w:rPr>
          <w:sz w:val="20"/>
          <w:szCs w:val="20"/>
          <w:color w:val="auto"/>
        </w:rPr>
      </w:pPr>
      <w:r>
        <w:rPr>
          <w:rFonts w:ascii="Arial" w:cs="Arial" w:eastAsia="Arial" w:hAnsi="Arial"/>
          <w:sz w:val="18"/>
          <w:szCs w:val="18"/>
          <w:color w:val="auto"/>
        </w:rPr>
        <w:t>As of May 31, 2020, we had approximately 800 full time employees. None of our employees are represented by a labor union and we have never experienced a work stoppage.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Company</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certain information with respect to our executive officers.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0"/>
              </w:rPr>
              <w:t>Age</w:t>
            </w: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64"/>
        </w:trPr>
        <w:tc>
          <w:tcPr>
            <w:tcW w:w="2180" w:type="dxa"/>
            <w:vAlign w:val="bottom"/>
            <w:gridSpan w:val="2"/>
          </w:tcPr>
          <w:p>
            <w:pPr>
              <w:spacing w:after="0"/>
              <w:rPr>
                <w:sz w:val="20"/>
                <w:szCs w:val="20"/>
                <w:color w:val="auto"/>
              </w:rPr>
            </w:pPr>
            <w:r>
              <w:rPr>
                <w:rFonts w:ascii="Arial" w:cs="Arial" w:eastAsia="Arial" w:hAnsi="Arial"/>
                <w:sz w:val="18"/>
                <w:szCs w:val="18"/>
                <w:color w:val="auto"/>
              </w:rPr>
              <w:t>James C. Clemmer</w:t>
            </w:r>
          </w:p>
        </w:tc>
        <w:tc>
          <w:tcPr>
            <w:tcW w:w="72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56</w:t>
            </w:r>
          </w:p>
        </w:tc>
        <w:tc>
          <w:tcPr>
            <w:tcW w:w="380" w:type="dxa"/>
            <w:vAlign w:val="bottom"/>
          </w:tcPr>
          <w:p>
            <w:pPr>
              <w:spacing w:after="0"/>
              <w:rPr>
                <w:sz w:val="22"/>
                <w:szCs w:val="22"/>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Stephen A. Trowbridge</w:t>
            </w:r>
          </w:p>
        </w:tc>
        <w:tc>
          <w:tcPr>
            <w:tcW w:w="72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46</w:t>
            </w:r>
          </w:p>
        </w:tc>
        <w:tc>
          <w:tcPr>
            <w:tcW w:w="380" w:type="dxa"/>
            <w:vAlign w:val="bottom"/>
          </w:tcPr>
          <w:p>
            <w:pPr>
              <w:spacing w:after="0"/>
              <w:rPr>
                <w:sz w:val="23"/>
                <w:szCs w:val="23"/>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Brent J. Boucher</w:t>
            </w:r>
          </w:p>
        </w:tc>
        <w:tc>
          <w:tcPr>
            <w:tcW w:w="72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53</w:t>
            </w:r>
          </w:p>
        </w:tc>
        <w:tc>
          <w:tcPr>
            <w:tcW w:w="380" w:type="dxa"/>
            <w:vAlign w:val="bottom"/>
          </w:tcPr>
          <w:p>
            <w:pPr>
              <w:spacing w:after="0"/>
              <w:rPr>
                <w:sz w:val="23"/>
                <w:szCs w:val="23"/>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w w:val="89"/>
              </w:rPr>
              <w:t>Senior Vice President and General Manager, Oncology/Surgery</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Marna Bronfen-Moore</w:t>
            </w:r>
          </w:p>
        </w:tc>
        <w:tc>
          <w:tcPr>
            <w:tcW w:w="72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53</w:t>
            </w:r>
          </w:p>
        </w:tc>
        <w:tc>
          <w:tcPr>
            <w:tcW w:w="380" w:type="dxa"/>
            <w:vAlign w:val="bottom"/>
          </w:tcPr>
          <w:p>
            <w:pPr>
              <w:spacing w:after="0"/>
              <w:rPr>
                <w:sz w:val="23"/>
                <w:szCs w:val="23"/>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Senior Vice President, Human Resources</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Chad T. Campbell</w:t>
            </w:r>
          </w:p>
        </w:tc>
        <w:tc>
          <w:tcPr>
            <w:tcW w:w="72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49</w:t>
            </w:r>
          </w:p>
        </w:tc>
        <w:tc>
          <w:tcPr>
            <w:tcW w:w="380" w:type="dxa"/>
            <w:vAlign w:val="bottom"/>
          </w:tcPr>
          <w:p>
            <w:pPr>
              <w:spacing w:after="0"/>
              <w:rPr>
                <w:sz w:val="23"/>
                <w:szCs w:val="23"/>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w w:val="91"/>
              </w:rPr>
              <w:t>Senior Vice President and General Manager, Vascular Access</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Scott Centea</w:t>
            </w:r>
          </w:p>
        </w:tc>
        <w:tc>
          <w:tcPr>
            <w:tcW w:w="72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42</w:t>
            </w:r>
          </w:p>
        </w:tc>
        <w:tc>
          <w:tcPr>
            <w:tcW w:w="380" w:type="dxa"/>
            <w:vAlign w:val="bottom"/>
          </w:tcPr>
          <w:p>
            <w:pPr>
              <w:spacing w:after="0"/>
              <w:rPr>
                <w:sz w:val="23"/>
                <w:szCs w:val="23"/>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Senior Vice President and General Manager, VIT</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Benjamin H. Davis</w:t>
            </w:r>
          </w:p>
        </w:tc>
        <w:tc>
          <w:tcPr>
            <w:tcW w:w="72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55</w:t>
            </w:r>
          </w:p>
        </w:tc>
        <w:tc>
          <w:tcPr>
            <w:tcW w:w="380" w:type="dxa"/>
            <w:vAlign w:val="bottom"/>
          </w:tcPr>
          <w:p>
            <w:pPr>
              <w:spacing w:after="0"/>
              <w:rPr>
                <w:sz w:val="23"/>
                <w:szCs w:val="23"/>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Senior Vice President Business Development</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David D. Helsel</w:t>
            </w:r>
          </w:p>
        </w:tc>
        <w:tc>
          <w:tcPr>
            <w:tcW w:w="72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56</w:t>
            </w:r>
          </w:p>
        </w:tc>
        <w:tc>
          <w:tcPr>
            <w:tcW w:w="380" w:type="dxa"/>
            <w:vAlign w:val="bottom"/>
          </w:tcPr>
          <w:p>
            <w:pPr>
              <w:spacing w:after="0"/>
              <w:rPr>
                <w:sz w:val="23"/>
                <w:szCs w:val="23"/>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Senior Vice President Global Operations</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Warren G. Nighan</w:t>
            </w:r>
          </w:p>
        </w:tc>
        <w:tc>
          <w:tcPr>
            <w:tcW w:w="72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51</w:t>
            </w:r>
          </w:p>
        </w:tc>
        <w:tc>
          <w:tcPr>
            <w:tcW w:w="380" w:type="dxa"/>
            <w:vAlign w:val="bottom"/>
          </w:tcPr>
          <w:p>
            <w:pPr>
              <w:spacing w:after="0"/>
              <w:rPr>
                <w:sz w:val="23"/>
                <w:szCs w:val="23"/>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Senior Vice President Quality and Regulatory Affairs</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Kim L. Seabury</w:t>
            </w:r>
          </w:p>
        </w:tc>
        <w:tc>
          <w:tcPr>
            <w:tcW w:w="72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53</w:t>
            </w:r>
          </w:p>
        </w:tc>
        <w:tc>
          <w:tcPr>
            <w:tcW w:w="380" w:type="dxa"/>
            <w:vAlign w:val="bottom"/>
          </w:tcPr>
          <w:p>
            <w:pPr>
              <w:spacing w:after="0"/>
              <w:rPr>
                <w:sz w:val="23"/>
                <w:szCs w:val="23"/>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Senior Vice President, Information Technology</w:t>
            </w:r>
          </w:p>
        </w:tc>
      </w:tr>
    </w:tbl>
    <w:p>
      <w:pPr>
        <w:spacing w:after="0" w:line="175" w:lineRule="exact"/>
        <w:rPr>
          <w:sz w:val="20"/>
          <w:szCs w:val="20"/>
          <w:color w:val="auto"/>
        </w:rPr>
      </w:pPr>
    </w:p>
    <w:p>
      <w:pPr>
        <w:jc w:val="both"/>
        <w:ind w:right="500" w:firstLine="389"/>
        <w:spacing w:after="0" w:line="259" w:lineRule="auto"/>
        <w:rPr>
          <w:sz w:val="20"/>
          <w:szCs w:val="20"/>
          <w:color w:val="auto"/>
        </w:rPr>
      </w:pPr>
      <w:r>
        <w:rPr>
          <w:rFonts w:ascii="Arial" w:cs="Arial" w:eastAsia="Arial" w:hAnsi="Arial"/>
          <w:sz w:val="18"/>
          <w:szCs w:val="18"/>
          <w:i w:val="1"/>
          <w:iCs w:val="1"/>
          <w:color w:val="auto"/>
        </w:rPr>
        <w:t xml:space="preserve">James C. Clemmer </w:t>
      </w:r>
      <w:r>
        <w:rPr>
          <w:rFonts w:ascii="Arial" w:cs="Arial" w:eastAsia="Arial" w:hAnsi="Arial"/>
          <w:sz w:val="18"/>
          <w:szCs w:val="18"/>
          <w:color w:val="auto"/>
        </w:rPr>
        <w:t>became our President and Chief Executive Officer in April 2016. Prior to joining AngioDynamics, Mr. Clemmer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the $1.8 billion medical supplies segment at Covidien plc. where he directed the strategic and day-to-day operations for global business divisions that collectively manufactured 23 different product categories. In addition, he managed global manufacturing, research and development, operational excellence, business development and all</w:t>
      </w:r>
    </w:p>
    <w:p>
      <w:pPr>
        <w:sectPr>
          <w:pgSz w:w="11900" w:h="16838" w:orient="portrait"/>
          <w:cols w:equalWidth="0" w:num="1">
            <w:col w:w="11160"/>
          </w:cols>
          <w:pgMar w:left="320" w:top="854" w:right="4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54" w:right="419" w:bottom="1440" w:gutter="0" w:footer="0" w:header="0"/>
          <w:type w:val="continuous"/>
        </w:sectPr>
      </w:pPr>
    </w:p>
    <w:bookmarkStart w:id="14" w:name="page15"/>
    <w:bookmarkEnd w:id="14"/>
    <w:p>
      <w:pPr>
        <w:ind w:right="20"/>
        <w:spacing w:after="0" w:line="257" w:lineRule="auto"/>
        <w:rPr>
          <w:sz w:val="20"/>
          <w:szCs w:val="20"/>
          <w:color w:val="auto"/>
        </w:rPr>
      </w:pPr>
      <w:r>
        <w:rPr>
          <w:rFonts w:ascii="Arial" w:cs="Arial" w:eastAsia="Arial" w:hAnsi="Arial"/>
          <w:sz w:val="18"/>
          <w:szCs w:val="18"/>
          <w:color w:val="auto"/>
        </w:rPr>
        <w:t>other functions associated with the medical supplies business. Prior to his role at Covidien, Mr. Clemmer served as Group President at Kendall Healthcare, where he managed the U.S. business across five divisions and built the strategic plan for the medical supplies segment before it was spun off from Tyco. Mr. Clemmer began his career at Sage Products, Inc. Mr. Clemmer currently serves on the Board of Directors for AngioDynamics and previously served on the Board of Directors for Lantheus Medical Imaging. Mr. Clemmer is a graduate of the Massachusetts College of Liberal Arts, where he served as interim president from August 2015 until March 2016.</w:t>
      </w:r>
    </w:p>
    <w:p>
      <w:pPr>
        <w:spacing w:after="0" w:line="134" w:lineRule="exact"/>
        <w:rPr>
          <w:sz w:val="20"/>
          <w:szCs w:val="20"/>
          <w:color w:val="auto"/>
        </w:rPr>
      </w:pPr>
    </w:p>
    <w:p>
      <w:pPr>
        <w:ind w:right="60" w:firstLine="389"/>
        <w:spacing w:after="0" w:line="290" w:lineRule="auto"/>
        <w:rPr>
          <w:sz w:val="20"/>
          <w:szCs w:val="20"/>
          <w:color w:val="auto"/>
        </w:rPr>
      </w:pPr>
      <w:r>
        <w:rPr>
          <w:rFonts w:ascii="Arial" w:cs="Arial" w:eastAsia="Arial" w:hAnsi="Arial"/>
          <w:sz w:val="16"/>
          <w:szCs w:val="16"/>
          <w:i w:val="1"/>
          <w:iCs w:val="1"/>
          <w:color w:val="auto"/>
        </w:rPr>
        <w:t xml:space="preserve">Stephen A. Trowbridge </w:t>
      </w:r>
      <w:r>
        <w:rPr>
          <w:rFonts w:ascii="Arial" w:cs="Arial" w:eastAsia="Arial" w:hAnsi="Arial"/>
          <w:sz w:val="16"/>
          <w:szCs w:val="16"/>
          <w:color w:val="auto"/>
        </w:rPr>
        <w:t>was appointed Executive Vice President and Chief Financial Officer in February 2020, having served as Interim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since October 2019. Prior to his appointment as Chief Financial Officer, he served as the Company’s Senior Vice President and General Counsel. He joined AngioDynamics in June 2008 as Corporate Counsel. In addition to serving as the Company’s CFO and managing the finance functions, Mr. Trowbridge also manages the Legal function on an interim basis. Mr. Trowbridge also oversees the Company’s clinical affairs, medical affairs and healthcare economics departments. Prior to AngioDynamics, Mr. Trowbridge served as Corporate Counsel at Philips Healthcare and Intermagnetics General Corporation. Mr. Trowbridge began his career with Cadwalader, Wickersham &amp; Taft LLP in the firm’s Mergers and Acquisitions and Securities Group. Mr. Trowbridge received a Bachelor of Science in Science and Technology Studies from Rensselaer Polytechnic Institute, a Juris Doctor from the University of Pennsylvania Law School, and a Master of Business Administration from Duke University’s Fuqua School of Business.</w:t>
      </w:r>
    </w:p>
    <w:p>
      <w:pPr>
        <w:spacing w:after="0" w:line="111" w:lineRule="exact"/>
        <w:rPr>
          <w:sz w:val="20"/>
          <w:szCs w:val="20"/>
          <w:color w:val="auto"/>
        </w:rPr>
      </w:pPr>
    </w:p>
    <w:p>
      <w:pPr>
        <w:ind w:right="220" w:firstLine="389"/>
        <w:spacing w:after="0" w:line="259" w:lineRule="auto"/>
        <w:rPr>
          <w:sz w:val="20"/>
          <w:szCs w:val="20"/>
          <w:color w:val="auto"/>
        </w:rPr>
      </w:pPr>
      <w:r>
        <w:rPr>
          <w:rFonts w:ascii="Arial" w:cs="Arial" w:eastAsia="Arial" w:hAnsi="Arial"/>
          <w:sz w:val="18"/>
          <w:szCs w:val="18"/>
          <w:i w:val="1"/>
          <w:iCs w:val="1"/>
          <w:color w:val="auto"/>
        </w:rPr>
        <w:t xml:space="preserve">Brent J. Boucher </w:t>
      </w:r>
      <w:r>
        <w:rPr>
          <w:rFonts w:ascii="Arial" w:cs="Arial" w:eastAsia="Arial" w:hAnsi="Arial"/>
          <w:sz w:val="18"/>
          <w:szCs w:val="18"/>
          <w:color w:val="auto"/>
        </w:rPr>
        <w:t>is our Senior Vice President and General Manager of our Oncology business. Prior to joining AngioDynamics in November 2017,</w:t>
      </w:r>
      <w:r>
        <w:rPr>
          <w:rFonts w:ascii="Arial" w:cs="Arial" w:eastAsia="Arial" w:hAnsi="Arial"/>
          <w:sz w:val="18"/>
          <w:szCs w:val="18"/>
          <w:i w:val="1"/>
          <w:iCs w:val="1"/>
          <w:color w:val="auto"/>
        </w:rPr>
        <w:t xml:space="preserve"> </w:t>
      </w:r>
      <w:r>
        <w:rPr>
          <w:rFonts w:ascii="Arial" w:cs="Arial" w:eastAsia="Arial" w:hAnsi="Arial"/>
          <w:sz w:val="18"/>
          <w:szCs w:val="18"/>
          <w:color w:val="auto"/>
        </w:rPr>
        <w:t>Mr. Boucher served as Executive in Residence for PDI's Infection Prevention business. Prior to that, he spent 20 years at Covidien where he served as General Manager for several global businesses, including Lung Solutions, Surgical Solutions and Respiratory Care. Mr. Boucher is a graduate of North Dakota State University. Mr. Boucher left the Company effective July 10, 2020.</w:t>
      </w:r>
    </w:p>
    <w:p>
      <w:pPr>
        <w:spacing w:after="0" w:line="133" w:lineRule="exact"/>
        <w:rPr>
          <w:sz w:val="20"/>
          <w:szCs w:val="20"/>
          <w:color w:val="auto"/>
        </w:rPr>
      </w:pPr>
    </w:p>
    <w:p>
      <w:pPr>
        <w:ind w:firstLine="389"/>
        <w:spacing w:after="0" w:line="254" w:lineRule="auto"/>
        <w:rPr>
          <w:sz w:val="20"/>
          <w:szCs w:val="20"/>
          <w:color w:val="auto"/>
        </w:rPr>
      </w:pPr>
      <w:r>
        <w:rPr>
          <w:rFonts w:ascii="Arial" w:cs="Arial" w:eastAsia="Arial" w:hAnsi="Arial"/>
          <w:sz w:val="18"/>
          <w:szCs w:val="18"/>
          <w:i w:val="1"/>
          <w:iCs w:val="1"/>
          <w:color w:val="auto"/>
        </w:rPr>
        <w:t xml:space="preserve">Marna I. Bronfen-Moore </w:t>
      </w:r>
      <w:r>
        <w:rPr>
          <w:rFonts w:ascii="Arial" w:cs="Arial" w:eastAsia="Arial" w:hAnsi="Arial"/>
          <w:sz w:val="18"/>
          <w:szCs w:val="18"/>
          <w:color w:val="auto"/>
        </w:rPr>
        <w:t>joined AngioDynamics as the Senior Vice President of Human Resources in September 2019 bringing with her over 20 years</w:t>
      </w:r>
      <w:r>
        <w:rPr>
          <w:rFonts w:ascii="Arial" w:cs="Arial" w:eastAsia="Arial" w:hAnsi="Arial"/>
          <w:sz w:val="18"/>
          <w:szCs w:val="18"/>
          <w:i w:val="1"/>
          <w:iCs w:val="1"/>
          <w:color w:val="auto"/>
        </w:rPr>
        <w:t xml:space="preserve"> </w:t>
      </w:r>
      <w:r>
        <w:rPr>
          <w:rFonts w:ascii="Arial" w:cs="Arial" w:eastAsia="Arial" w:hAnsi="Arial"/>
          <w:sz w:val="18"/>
          <w:szCs w:val="18"/>
          <w:color w:val="auto"/>
        </w:rPr>
        <w:t>of experience in the medical device industry. Prior to joining AngioDynamics, Ms. Bronfen-Moore spent almost 3 years at Hologic as the Vice President, Global Human Resources, for both the Corporate Functions and Asia Pacific. Before Hologic, Ms. Bronfen-Moore served as Vice President, Human Resources for Global Operations, Quality, and Regulatory at Haemonetics, Director, Human Resources for Boston Scientific, and in various leadership roles of increasing responsibility at CR. Bard, Inc. Ms. Bronfen-Moore began her professional career as the Head of Human Resources for Burrows Paper Corporation. Ms. Bronfen-Moore holds a Bachelor of Arts degree from Purdue University in Psychology, Master of Science in Industrial/Organizational Psychology from Rensselaer Polytechnic Institute, and completed all of the coursework requirements for a PhD in Management from Rensselaer Polytechnic Institute.</w:t>
      </w:r>
    </w:p>
    <w:p>
      <w:pPr>
        <w:spacing w:after="0" w:line="138" w:lineRule="exact"/>
        <w:rPr>
          <w:sz w:val="20"/>
          <w:szCs w:val="20"/>
          <w:color w:val="auto"/>
        </w:rPr>
      </w:pPr>
    </w:p>
    <w:p>
      <w:pPr>
        <w:ind w:right="120" w:firstLine="389"/>
        <w:spacing w:after="0" w:line="255" w:lineRule="auto"/>
        <w:rPr>
          <w:sz w:val="20"/>
          <w:szCs w:val="20"/>
          <w:color w:val="auto"/>
        </w:rPr>
      </w:pPr>
      <w:r>
        <w:rPr>
          <w:rFonts w:ascii="Arial" w:cs="Arial" w:eastAsia="Arial" w:hAnsi="Arial"/>
          <w:sz w:val="18"/>
          <w:szCs w:val="18"/>
          <w:i w:val="1"/>
          <w:iCs w:val="1"/>
          <w:color w:val="auto"/>
        </w:rPr>
        <w:t xml:space="preserve">Chad T. Campbell </w:t>
      </w:r>
      <w:r>
        <w:rPr>
          <w:rFonts w:ascii="Arial" w:cs="Arial" w:eastAsia="Arial" w:hAnsi="Arial"/>
          <w:sz w:val="18"/>
          <w:szCs w:val="18"/>
          <w:color w:val="auto"/>
        </w:rPr>
        <w:t>joined AngioDynamics in May 2016 as the Senior Vice President and General Manager for the Vascular Access Global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Unit. In his role, Mr. Campbell oversees research and development and global commercialization of the Global Business Unit’s portfolio. Mr. Campbell joined AngioDynamics from Medtronic where he served as the Vice President of Marketing for the Patient Care and Safety business after serving as the Vice President of Marketing for the SharpSafety business at Covidien (Medtronic). During his tenure at Covidien, Mr. Campbell also held roles including Director of Marketing, Area Vice President of Sales, Region Manager, Product Manager and Account Manager. Mr. Campbell received a Bachelor of Arts from the University of Kentucky.</w:t>
      </w:r>
    </w:p>
    <w:p>
      <w:pPr>
        <w:spacing w:after="0" w:line="138" w:lineRule="exact"/>
        <w:rPr>
          <w:sz w:val="20"/>
          <w:szCs w:val="20"/>
          <w:color w:val="auto"/>
        </w:rPr>
      </w:pPr>
    </w:p>
    <w:p>
      <w:pPr>
        <w:ind w:right="60" w:firstLine="389"/>
        <w:spacing w:after="0" w:line="255" w:lineRule="auto"/>
        <w:rPr>
          <w:sz w:val="20"/>
          <w:szCs w:val="20"/>
          <w:color w:val="auto"/>
        </w:rPr>
      </w:pPr>
      <w:r>
        <w:rPr>
          <w:rFonts w:ascii="Arial" w:cs="Arial" w:eastAsia="Arial" w:hAnsi="Arial"/>
          <w:sz w:val="18"/>
          <w:szCs w:val="18"/>
          <w:i w:val="1"/>
          <w:iCs w:val="1"/>
          <w:color w:val="auto"/>
        </w:rPr>
        <w:t xml:space="preserve">Scott Centea </w:t>
      </w:r>
      <w:r>
        <w:rPr>
          <w:rFonts w:ascii="Arial" w:cs="Arial" w:eastAsia="Arial" w:hAnsi="Arial"/>
          <w:sz w:val="18"/>
          <w:szCs w:val="18"/>
          <w:color w:val="auto"/>
        </w:rPr>
        <w:t>joined AngioDynamics in 2005 as a sales representative serving the Carolinas. During his tenure, he has served in a variety of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increased responsibility including VP of Corporate Accounts where he was in charge of leading a team of individuals to execute Health System Purchasing Contracts. From there Mr. Centea assumed the role VP of Marketing for Vascular Interventions and Therapies, before being promoted into his most recent and current role as Sr. Vice President/General Manager of Vascular Interventions and Therapies and Peripheral Artery Disease. Mr. Centea currently holds board positions with the American Venous Forum (AVF) and the Capital District American Heart Association. Mr. Centea holds a Bachelor of Arts in Communications from Newberry College.</w:t>
      </w:r>
    </w:p>
    <w:p>
      <w:pPr>
        <w:spacing w:after="0" w:line="138" w:lineRule="exact"/>
        <w:rPr>
          <w:sz w:val="20"/>
          <w:szCs w:val="20"/>
          <w:color w:val="auto"/>
        </w:rPr>
      </w:pPr>
    </w:p>
    <w:p>
      <w:pPr>
        <w:ind w:right="200" w:firstLine="389"/>
        <w:spacing w:after="0" w:line="257" w:lineRule="auto"/>
        <w:rPr>
          <w:sz w:val="20"/>
          <w:szCs w:val="20"/>
          <w:color w:val="auto"/>
        </w:rPr>
      </w:pPr>
      <w:r>
        <w:rPr>
          <w:rFonts w:ascii="Arial" w:cs="Arial" w:eastAsia="Arial" w:hAnsi="Arial"/>
          <w:sz w:val="18"/>
          <w:szCs w:val="18"/>
          <w:i w:val="1"/>
          <w:iCs w:val="1"/>
          <w:color w:val="auto"/>
        </w:rPr>
        <w:t xml:space="preserve">Benjamin H. Davis </w:t>
      </w:r>
      <w:r>
        <w:rPr>
          <w:rFonts w:ascii="Arial" w:cs="Arial" w:eastAsia="Arial" w:hAnsi="Arial"/>
          <w:sz w:val="18"/>
          <w:szCs w:val="18"/>
          <w:color w:val="auto"/>
        </w:rPr>
        <w:t>joined AngioDynamics as Senior Vice President of Business Development in March 2015. Prior to joining AngioDynamics, Mr.</w:t>
      </w:r>
      <w:r>
        <w:rPr>
          <w:rFonts w:ascii="Arial" w:cs="Arial" w:eastAsia="Arial" w:hAnsi="Arial"/>
          <w:sz w:val="18"/>
          <w:szCs w:val="18"/>
          <w:i w:val="1"/>
          <w:iCs w:val="1"/>
          <w:color w:val="auto"/>
        </w:rPr>
        <w:t xml:space="preserve"> </w:t>
      </w:r>
      <w:r>
        <w:rPr>
          <w:rFonts w:ascii="Arial" w:cs="Arial" w:eastAsia="Arial" w:hAnsi="Arial"/>
          <w:sz w:val="18"/>
          <w:szCs w:val="18"/>
          <w:color w:val="auto"/>
        </w:rPr>
        <w:t>Davis most recently was the Vice President of Business Integration at C.R. Bard, Inc. where he also served as the Divisional Head of Business Development from 2004-2013. Before joining C.R. Bard, Inc., Mr. Davis held the position of Chief Financial Officer and Treasurer at Axya Medical Inc. He holds a Bachelor of Science in Business Administration from Bryant College and Master in Business Administration in Finance from Bentley University Graduate School of Business.</w:t>
      </w:r>
    </w:p>
    <w:p>
      <w:pPr>
        <w:spacing w:after="0" w:line="134" w:lineRule="exact"/>
        <w:rPr>
          <w:sz w:val="20"/>
          <w:szCs w:val="20"/>
          <w:color w:val="auto"/>
        </w:rPr>
      </w:pPr>
    </w:p>
    <w:p>
      <w:pPr>
        <w:ind w:right="140" w:firstLine="389"/>
        <w:spacing w:after="0" w:line="257" w:lineRule="auto"/>
        <w:rPr>
          <w:sz w:val="20"/>
          <w:szCs w:val="20"/>
          <w:color w:val="auto"/>
        </w:rPr>
      </w:pPr>
      <w:r>
        <w:rPr>
          <w:rFonts w:ascii="Arial" w:cs="Arial" w:eastAsia="Arial" w:hAnsi="Arial"/>
          <w:sz w:val="18"/>
          <w:szCs w:val="18"/>
          <w:i w:val="1"/>
          <w:iCs w:val="1"/>
          <w:color w:val="auto"/>
        </w:rPr>
        <w:t xml:space="preserve">David D. Helsel </w:t>
      </w:r>
      <w:r>
        <w:rPr>
          <w:rFonts w:ascii="Arial" w:cs="Arial" w:eastAsia="Arial" w:hAnsi="Arial"/>
          <w:sz w:val="18"/>
          <w:szCs w:val="18"/>
          <w:color w:val="auto"/>
        </w:rPr>
        <w:t>currently services as Senior Vice President of Global Operations and has been with AngioDynamics since December 2017.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AngioDynamics he was Senior Vice President, Global Supply Chain, at Hill-Rom Holdings for almost three years. Before that, Mr. Helsel worked at Haemonetics for three years where he served as Executive Vice President for Global Manufacturing and also spent almost nineteen years in various positions with increasing responsibility at Covidien, including Vice President of Operations for the Surgical Solutions Division and Medical Supplies Division. An expert</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in Lean and Six Sigma, Mr. Helsel also served as Global Director of Operational Excellence, supporting sixty-three manufacturing facilities. Mr. Helsel holds a Bachelor of Science in Mechanical Engineering from LeTourneau University.</w:t>
      </w:r>
    </w:p>
    <w:p>
      <w:pPr>
        <w:spacing w:after="0" w:line="116" w:lineRule="exact"/>
        <w:rPr>
          <w:sz w:val="20"/>
          <w:szCs w:val="20"/>
          <w:color w:val="auto"/>
        </w:rPr>
      </w:pPr>
    </w:p>
    <w:p>
      <w:pPr>
        <w:ind w:firstLine="389"/>
        <w:spacing w:after="0" w:line="273" w:lineRule="auto"/>
        <w:rPr>
          <w:sz w:val="20"/>
          <w:szCs w:val="20"/>
          <w:color w:val="auto"/>
        </w:rPr>
      </w:pPr>
      <w:r>
        <w:rPr>
          <w:rFonts w:ascii="Arial" w:cs="Arial" w:eastAsia="Arial" w:hAnsi="Arial"/>
          <w:sz w:val="17"/>
          <w:szCs w:val="17"/>
          <w:i w:val="1"/>
          <w:iCs w:val="1"/>
          <w:color w:val="auto"/>
        </w:rPr>
        <w:t xml:space="preserve">Warren G. Nighan </w:t>
      </w:r>
      <w:r>
        <w:rPr>
          <w:rFonts w:ascii="Arial" w:cs="Arial" w:eastAsia="Arial" w:hAnsi="Arial"/>
          <w:sz w:val="17"/>
          <w:szCs w:val="17"/>
          <w:color w:val="auto"/>
        </w:rPr>
        <w:t>joined AngioDynamics as the Senior Vice President of Quality and Regulatory Affairs in April 2017. Before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AngioDynamics, Mr. Nighan was a quality and regulatory consultant to clients in FDA-regulated industries, specializing in execution and management of quality systems implementation and remediation. Previously, Mr. Nighan served as the Executive Vice President of Global Clinical, Quality Affairs and Regulatory Affairs at Haemonetics Corporation, Vice President of Quality/Regulatory/Clinical/Technical Services at St. Jude Medical’s Atrial Fibrillation Division, and Corporate Vice President of Quality/Compliance at Tyco Healthcare/Covidien (Medtronic). Mr. Nighan earned a Bachelor and Master of Science in Nursing from Northeastern University’s Bouvé College of Health Sciences.</w:t>
      </w:r>
    </w:p>
    <w:p>
      <w:pPr>
        <w:spacing w:after="0" w:line="124" w:lineRule="exact"/>
        <w:rPr>
          <w:sz w:val="20"/>
          <w:szCs w:val="20"/>
          <w:color w:val="auto"/>
        </w:rPr>
      </w:pPr>
    </w:p>
    <w:p>
      <w:pPr>
        <w:ind w:firstLine="389"/>
        <w:spacing w:after="0" w:line="254" w:lineRule="auto"/>
        <w:rPr>
          <w:sz w:val="20"/>
          <w:szCs w:val="20"/>
          <w:color w:val="auto"/>
        </w:rPr>
      </w:pPr>
      <w:r>
        <w:rPr>
          <w:rFonts w:ascii="Arial" w:cs="Arial" w:eastAsia="Arial" w:hAnsi="Arial"/>
          <w:sz w:val="18"/>
          <w:szCs w:val="18"/>
          <w:i w:val="1"/>
          <w:iCs w:val="1"/>
          <w:color w:val="auto"/>
        </w:rPr>
        <w:t xml:space="preserve">Kim L. Seabury </w:t>
      </w:r>
      <w:r>
        <w:rPr>
          <w:rFonts w:ascii="Arial" w:cs="Arial" w:eastAsia="Arial" w:hAnsi="Arial"/>
          <w:sz w:val="18"/>
          <w:szCs w:val="18"/>
          <w:color w:val="auto"/>
        </w:rPr>
        <w:t>is our Senior Vice President, Information Technology and joined the Company in September 2011. Prior to joining AngioDynamics,</w:t>
      </w:r>
      <w:r>
        <w:rPr>
          <w:rFonts w:ascii="Arial" w:cs="Arial" w:eastAsia="Arial" w:hAnsi="Arial"/>
          <w:sz w:val="18"/>
          <w:szCs w:val="18"/>
          <w:i w:val="1"/>
          <w:iCs w:val="1"/>
          <w:color w:val="auto"/>
        </w:rPr>
        <w:t xml:space="preserve"> </w:t>
      </w:r>
      <w:r>
        <w:rPr>
          <w:rFonts w:ascii="Arial" w:cs="Arial" w:eastAsia="Arial" w:hAnsi="Arial"/>
          <w:sz w:val="18"/>
          <w:szCs w:val="18"/>
          <w:color w:val="auto"/>
        </w:rPr>
        <w:t>Mrs. Seabury served as Vice President of Emerging Technologies and Product Development for Pitney Bowes Software, managing global software development teams for both core products and emerging SaaS solutions. Prior to her role at Pitney Bowes, Mrs. Seabury held several key leadership positions at MapInfo Corporation, including Global Managing Director of IT, IT Business Applications Director and Director of Web Operations. Mrs. Seabury is certified in PSI, Operational Excellence, ITIL and is a Six-Sigma Green Belt. In addition, Mrs. Seabury has extensive experience in project management and has participated in a variety of leadership development programs. Mrs. Seabury holds a Bachelor of Science degree in Applied Arts and Science from Rochester Institute of Technology.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840" w:firstLine="389"/>
        <w:spacing w:after="0" w:line="277" w:lineRule="auto"/>
        <w:rPr>
          <w:sz w:val="20"/>
          <w:szCs w:val="20"/>
          <w:color w:val="auto"/>
        </w:rPr>
      </w:pPr>
      <w:r>
        <w:rPr>
          <w:rFonts w:ascii="Arial" w:cs="Arial" w:eastAsia="Arial" w:hAnsi="Arial"/>
          <w:sz w:val="18"/>
          <w:szCs w:val="18"/>
          <w:color w:val="auto"/>
        </w:rPr>
        <w:t xml:space="preserve">Our corporate headquarters is located at 14 Plaza Drive, Latham, New York 12110. Our phone number is (518) 795-1400. Our website is </w:t>
      </w:r>
      <w:r>
        <w:rPr>
          <w:rFonts w:ascii="Arial" w:cs="Arial" w:eastAsia="Arial" w:hAnsi="Arial"/>
          <w:sz w:val="18"/>
          <w:szCs w:val="18"/>
          <w:i w:val="1"/>
          <w:iCs w:val="1"/>
          <w:color w:val="auto"/>
        </w:rPr>
        <w:t>www.angiodynamics.com</w:t>
      </w:r>
      <w:r>
        <w:rPr>
          <w:rFonts w:ascii="Arial" w:cs="Arial" w:eastAsia="Arial" w:hAnsi="Arial"/>
          <w:sz w:val="18"/>
          <w:szCs w:val="18"/>
          <w:color w:val="auto"/>
        </w:rPr>
        <w:t>.</w:t>
      </w:r>
    </w:p>
    <w:p>
      <w:pPr>
        <w:spacing w:after="0" w:line="116" w:lineRule="exact"/>
        <w:rPr>
          <w:sz w:val="20"/>
          <w:szCs w:val="20"/>
          <w:color w:val="auto"/>
        </w:rPr>
      </w:pPr>
    </w:p>
    <w:p>
      <w:pPr>
        <w:ind w:firstLine="389"/>
        <w:spacing w:after="0" w:line="272" w:lineRule="auto"/>
        <w:rPr>
          <w:sz w:val="20"/>
          <w:szCs w:val="20"/>
          <w:color w:val="auto"/>
        </w:rPr>
      </w:pPr>
      <w:r>
        <w:rPr>
          <w:rFonts w:ascii="Arial" w:cs="Arial" w:eastAsia="Arial" w:hAnsi="Arial"/>
          <w:sz w:val="17"/>
          <w:szCs w:val="17"/>
          <w:color w:val="auto"/>
        </w:rPr>
        <w:t>We make available, free-of-charge through our website, our Annual Reports on Form 10-K, quarterly reports on Form 10-Q, current reports on Form 8-K and amendments to those reports filed or furnished pursuant to Section 13(a) of the Securities Exchange Act of 1934, as amended, as soon as reasonably practicable after we electronically file or furnish such materials to the Securities and Exchange Commission, or SEC. In addition, our website includes, among other things, charters of the various committees of our Board of Directors and our code of business conduct and ethics applicable to all employees, officers and directors. Any stockholder also may obtain copies of these documents, free of charge, by sending a request in writing to our investor relations department: AngioDynamics, 14 Plaza Drive, Latham, N.Y. 12110, Attention: Saleem Cheeks. Information on our website or connected to our website is not incorporated by reference into this Annual Report on Form 10-K.</w:t>
      </w: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54" w:right="499" w:bottom="1440" w:gutter="0" w:footer="0" w:header="0"/>
        </w:sectPr>
      </w:pPr>
    </w:p>
    <w:bookmarkStart w:id="16" w:name="page17"/>
    <w:bookmarkEnd w:id="16"/>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02" w:lineRule="exact"/>
        <w:rPr>
          <w:sz w:val="20"/>
          <w:szCs w:val="20"/>
          <w:color w:val="auto"/>
        </w:rPr>
      </w:pPr>
    </w:p>
    <w:p>
      <w:pPr>
        <w:ind w:right="40" w:firstLine="389"/>
        <w:spacing w:after="0" w:line="257"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the Company's business. Our financial and operating results are subject to a number of factors, many of which are not within our control. These factors include those set forth below. Our business, financial condition or results of operations could be materially and adversely affected by any of these risks. Additional risks not presently known to us or that we currently deem immaterial may also adversely affect our business, financial condition or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healthcare industry could have an adverse effect on our revenues and results of operations.</w:t>
      </w:r>
    </w:p>
    <w:p>
      <w:pPr>
        <w:spacing w:after="0" w:line="171" w:lineRule="exact"/>
        <w:rPr>
          <w:sz w:val="20"/>
          <w:szCs w:val="20"/>
          <w:color w:val="auto"/>
        </w:rPr>
      </w:pPr>
    </w:p>
    <w:p>
      <w:pPr>
        <w:ind w:right="80" w:firstLine="389"/>
        <w:spacing w:after="0" w:line="257" w:lineRule="auto"/>
        <w:rPr>
          <w:sz w:val="20"/>
          <w:szCs w:val="20"/>
          <w:color w:val="auto"/>
        </w:rPr>
      </w:pPr>
      <w:r>
        <w:rPr>
          <w:rFonts w:ascii="Arial" w:cs="Arial" w:eastAsia="Arial" w:hAnsi="Arial"/>
          <w:sz w:val="18"/>
          <w:szCs w:val="18"/>
          <w:color w:val="auto"/>
        </w:rPr>
        <w:t>Many healthcare industry companies, including medical device companies, are consolidating to create new companies with greater market power. As the healthcare industry consolidates, competition to provide goods and services to industry participants will become more intense. These industry participants may try to use their market power to negotiate price concessions or reductions for medical devices that incorporate components produced by us. If we are forced to reduce our prices because of consolidation in the healthcare industry, our revenues would decrease and our consolidated earnings, financial condition, or cash flow would suffer.</w:t>
      </w:r>
    </w:p>
    <w:p>
      <w:pPr>
        <w:spacing w:after="0" w:line="13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face intense competition in the medical device industry. We may be unable to compete effectively with respect to technological innovation and price which may have an adverse effect on our revenues, financial condition or results of operations.</w:t>
      </w:r>
    </w:p>
    <w:p>
      <w:pPr>
        <w:spacing w:after="0" w:line="92" w:lineRule="exact"/>
        <w:rPr>
          <w:sz w:val="20"/>
          <w:szCs w:val="20"/>
          <w:color w:val="auto"/>
        </w:rPr>
      </w:pPr>
    </w:p>
    <w:p>
      <w:pPr>
        <w:ind w:right="60" w:firstLine="389"/>
        <w:spacing w:after="0" w:line="301" w:lineRule="auto"/>
        <w:rPr>
          <w:sz w:val="20"/>
          <w:szCs w:val="20"/>
          <w:color w:val="auto"/>
        </w:rPr>
      </w:pPr>
      <w:r>
        <w:rPr>
          <w:rFonts w:ascii="Arial" w:cs="Arial" w:eastAsia="Arial" w:hAnsi="Arial"/>
          <w:sz w:val="16"/>
          <w:szCs w:val="16"/>
          <w:color w:val="auto"/>
        </w:rPr>
        <w:t>The markets for our products are highly competitive, and we expect competition to continue to intensify. We may not be able to compete effectively, and we may lose market share to our competitors. Our primary device competitors include: Boston Scientific Corporation; Cook Medical; Medical Components, Inc. (MedComp); TeleFlex Medical; BD Medical Technology; Smiths Medical, a subsidiary of Smiths Group plc; Medtronic; Merit Medical; Terumo Medical Corporation; Johnson and Johnson; Varian Medical Systems and Total Vein Systems. Many of our competitors have substantially greater:</w:t>
      </w:r>
    </w:p>
    <w:p>
      <w:pPr>
        <w:spacing w:after="0" w:line="10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and other resources to devote to product acquisitions, research and development, marketing and manufacturing;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variety of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technical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history of developing and introducing new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patent portfolios that may present an obstacle to our conduct of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recognition;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 networks and in-house sales forces.</w:t>
      </w:r>
    </w:p>
    <w:p>
      <w:pPr>
        <w:spacing w:after="0" w:line="157" w:lineRule="exact"/>
        <w:rPr>
          <w:sz w:val="20"/>
          <w:szCs w:val="20"/>
          <w:color w:val="auto"/>
        </w:rPr>
      </w:pPr>
    </w:p>
    <w:p>
      <w:pPr>
        <w:ind w:firstLine="389"/>
        <w:spacing w:after="0" w:line="254" w:lineRule="auto"/>
        <w:rPr>
          <w:sz w:val="20"/>
          <w:szCs w:val="20"/>
          <w:color w:val="auto"/>
        </w:rPr>
      </w:pPr>
      <w:r>
        <w:rPr>
          <w:rFonts w:ascii="Arial" w:cs="Arial" w:eastAsia="Arial" w:hAnsi="Arial"/>
          <w:sz w:val="18"/>
          <w:szCs w:val="18"/>
          <w:color w:val="auto"/>
        </w:rPr>
        <w:t>Our competitors may succeed in developing technologies and products earlier, in obtaining patent protection or regulatory clearance earlier, or in commercializing new products or technologies more rapidly than us. Our competitors may also develop products and technologies that are superior to those we are developing or that otherwise could render our products obsolete or noncompetitive. In addition, we may face competition from providers of other medical therapies, such as pharmaceutical companies, that may offer non-surgical therapies for conditions that are currently, or in the future, may be treated using our products. Our products are generally sold at higher prices than those of our competitors. However, in the current environment of managed care, which is characterized by economically motivated buyers, consolidation among healthcare providers, increased competition and declining reimbursement rates, we are increasingly being required to compete on the basis of price. If we are not able to compete effectively, our market share and revenues may decline.</w:t>
      </w:r>
    </w:p>
    <w:p>
      <w:pPr>
        <w:spacing w:after="0" w:line="13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We face intense competition from other companies, and our inability to continue to effectively develop, acquire and/or market new products and technologies could have a material adverse effect on our business, results of operations and/or financial condition.</w:t>
      </w:r>
    </w:p>
    <w:p>
      <w:pPr>
        <w:spacing w:after="0" w:line="92" w:lineRule="exact"/>
        <w:rPr>
          <w:sz w:val="20"/>
          <w:szCs w:val="20"/>
          <w:color w:val="auto"/>
        </w:rPr>
      </w:pPr>
    </w:p>
    <w:p>
      <w:pPr>
        <w:ind w:right="20" w:firstLine="389"/>
        <w:spacing w:after="0" w:line="272" w:lineRule="auto"/>
        <w:rPr>
          <w:sz w:val="20"/>
          <w:szCs w:val="20"/>
          <w:color w:val="auto"/>
        </w:rPr>
      </w:pPr>
      <w:r>
        <w:rPr>
          <w:rFonts w:ascii="Arial" w:cs="Arial" w:eastAsia="Arial" w:hAnsi="Arial"/>
          <w:sz w:val="17"/>
          <w:szCs w:val="17"/>
          <w:color w:val="auto"/>
        </w:rPr>
        <w:t>The medical device business is intensely competitive and is characterized by rapid technological change, frequent product introductions and evolving customer requirements. Our customers consider many factors when choosing among products, including features and reliability, quality, technology, clinical or economic outcomes, availability, price and services provided by the manufacturer. We face competition globally from a wide range of companies, some of which may have greater resources than us, which may enable them to adapt faster than us to customer needs or changes in customer requirements. Product introductions, alternative products or enhancements by competitors that provide better features, clinical outcomes or economic value and/or offer lower pricing may make our products or proposed products obsolete or less competitive. In addition, the trend of consolidation in the medical device industry and among our customers could result in greater competition and pricing pressures.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7" w:name="page18"/>
    <w:bookmarkEnd w:id="17"/>
    <w:p>
      <w:pPr>
        <w:ind w:firstLine="389"/>
        <w:spacing w:after="0" w:line="271" w:lineRule="auto"/>
        <w:rPr>
          <w:sz w:val="20"/>
          <w:szCs w:val="20"/>
          <w:color w:val="auto"/>
        </w:rPr>
      </w:pPr>
      <w:r>
        <w:rPr>
          <w:rFonts w:ascii="Arial" w:cs="Arial" w:eastAsia="Arial" w:hAnsi="Arial"/>
          <w:sz w:val="17"/>
          <w:szCs w:val="17"/>
          <w:color w:val="auto"/>
        </w:rPr>
        <w:t>As a result, we engage in product development and improvement programs to maintain and improve our competitive position. These development and improvement programs involve significant investment in research and development, clinical trials and regulatory approvals and may require more time than anticipated to bring such products to market. We may not, however, be successful in enhancing existing products or developing new products or technologies that will achieve regulatory approval, be developed or manufactured in a cost effective manner, obtain appropriate intellectual property protection or receive market acceptance and we may be unable to recover all or a meaningful part of our investment in such products or technologies. Additionally, there can be no assurance that the size of the markets in which we compete will increase above existing levels or not decline, that we will be able to maintain, gain or regain market share or that we can compete effectively on the basis of price or that the number of procedures in which our products are used will increase above existing levels or not decline.</w:t>
      </w:r>
    </w:p>
    <w:p>
      <w:pPr>
        <w:spacing w:after="0" w:line="124" w:lineRule="exact"/>
        <w:rPr>
          <w:sz w:val="20"/>
          <w:szCs w:val="20"/>
          <w:color w:val="auto"/>
        </w:rPr>
      </w:pPr>
    </w:p>
    <w:p>
      <w:pPr>
        <w:ind w:right="160" w:firstLine="389"/>
        <w:spacing w:after="0" w:line="288" w:lineRule="auto"/>
        <w:rPr>
          <w:sz w:val="20"/>
          <w:szCs w:val="20"/>
          <w:color w:val="auto"/>
        </w:rPr>
      </w:pPr>
      <w:r>
        <w:rPr>
          <w:rFonts w:ascii="Arial" w:cs="Arial" w:eastAsia="Arial" w:hAnsi="Arial"/>
          <w:sz w:val="16"/>
          <w:szCs w:val="16"/>
          <w:color w:val="auto"/>
        </w:rPr>
        <w:t>As part of our business strategy, we also pursue the acquisition of complementary businesses, technologies and products. We may not be able to identify appropriate acquisition candidates, consummate transactions or obtain agreements with favorable terms. Further, once a business is acquired, any inability to successfully integrate the business, decreases in customer loyalty or product orders, failure to retain and develop its workforce, failure to establish and maintain appropriate controls or unknown or contingent liabilities could adversely affect our ability to realize the anticipated benefits of any acquisition. The integration of an acquired business, whether or not successful, requires significant efforts which may result in additional expenses and divert the attention of our management and technical personnel from other projects. These transactions are inherently risky, and there can be no assurance that any past or future transaction will be successful. If we fail to develop and successfully manufacture and launch new products, generate satisfactory clinical results, provide sufficient economic value, enhance existing products, or identify, acquire and integrate complementary businesses, technologies and products or if we experience a decrease in market size or market share or declines in average selling price or procedural volumes, or otherwise fail to compete effectively, our business, results of operations and/or financial condition could be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execute our business development strategies our business and prospects could be materially impacted.</w:t>
      </w:r>
    </w:p>
    <w:p>
      <w:pPr>
        <w:spacing w:after="0" w:line="183" w:lineRule="exact"/>
        <w:rPr>
          <w:sz w:val="20"/>
          <w:szCs w:val="20"/>
          <w:color w:val="auto"/>
        </w:rPr>
      </w:pPr>
    </w:p>
    <w:p>
      <w:pPr>
        <w:ind w:right="40" w:firstLine="389"/>
        <w:spacing w:after="0" w:line="291" w:lineRule="auto"/>
        <w:rPr>
          <w:sz w:val="20"/>
          <w:szCs w:val="20"/>
          <w:color w:val="auto"/>
        </w:rPr>
      </w:pPr>
      <w:r>
        <w:rPr>
          <w:rFonts w:ascii="Arial" w:cs="Arial" w:eastAsia="Arial" w:hAnsi="Arial"/>
          <w:sz w:val="16"/>
          <w:szCs w:val="16"/>
          <w:color w:val="auto"/>
        </w:rPr>
        <w:t>We expect to continue to engage in business development activities including evaluating acquisitions, technology licensing arrangements and other opportunities. These activities may result in substantial investment of our time and financial resources. Our success developing products or expanding into new markets from such activities will depend on a number of factors, including our ability to find suitable opportunities for acquisition or investment; competition from competitors seeking similar opportunities; whether we are able to negotiate terms that are satisfactory to us or at all; and our ability to successfully integrate the acquired company, business, product, technology or research into our existing operations, including the ability to adequately fund acquired in-process R&amp;D projects and to maintain adequate controls over the combined operations. If we are unsuccessful in our business development activities, we may not be able to achieve our growth goals or we may incur significantly more expenses than we anticipate.</w:t>
      </w:r>
    </w:p>
    <w:p>
      <w:pPr>
        <w:spacing w:after="0" w:line="1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maintain our reputation with interventional physicians, interventional and surgical oncologists and critical care nurses our growth will be limited and our business could be harmed.</w:t>
      </w:r>
    </w:p>
    <w:p>
      <w:pPr>
        <w:spacing w:after="0" w:line="116" w:lineRule="exact"/>
        <w:rPr>
          <w:sz w:val="20"/>
          <w:szCs w:val="20"/>
          <w:color w:val="auto"/>
        </w:rPr>
      </w:pPr>
    </w:p>
    <w:p>
      <w:pPr>
        <w:ind w:right="220" w:firstLine="389"/>
        <w:spacing w:after="0" w:line="255" w:lineRule="auto"/>
        <w:rPr>
          <w:sz w:val="20"/>
          <w:szCs w:val="20"/>
          <w:color w:val="auto"/>
        </w:rPr>
      </w:pPr>
      <w:r>
        <w:rPr>
          <w:rFonts w:ascii="Arial" w:cs="Arial" w:eastAsia="Arial" w:hAnsi="Arial"/>
          <w:sz w:val="18"/>
          <w:szCs w:val="18"/>
          <w:color w:val="auto"/>
        </w:rPr>
        <w:t>Physicians typically influence the medical device purchasing decisions of the hospitals and other healthcare institutions in which they practice. Consequently, our reputation with interventional physicians, interventional and surgical oncologists and critical care nurses is crucial to our continued growth. We believe that we have built a positive reputation based on the quality of our products, our physician-driven product development efforts, our marketing and training efforts and our presence at medical society meetings. Any actual or perceived diminution in the quality of our products, or our failure or inability to maintain these other efforts, could damage our reputation with interventional physicians and cause our growth to be limited and our business to be harmed.</w:t>
      </w:r>
    </w:p>
    <w:p>
      <w:pPr>
        <w:spacing w:after="0" w:line="13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If we fail to develop or market new products and enhance existing products, we could lose market share to our competitors and our results of operations could suffer.</w:t>
      </w:r>
    </w:p>
    <w:p>
      <w:pPr>
        <w:spacing w:after="0" w:line="116" w:lineRule="exact"/>
        <w:rPr>
          <w:sz w:val="20"/>
          <w:szCs w:val="20"/>
          <w:color w:val="auto"/>
        </w:rPr>
      </w:pPr>
    </w:p>
    <w:p>
      <w:pPr>
        <w:ind w:right="60" w:firstLine="389"/>
        <w:spacing w:after="0" w:line="255" w:lineRule="auto"/>
        <w:rPr>
          <w:sz w:val="20"/>
          <w:szCs w:val="20"/>
          <w:color w:val="auto"/>
        </w:rPr>
      </w:pPr>
      <w:r>
        <w:rPr>
          <w:rFonts w:ascii="Arial" w:cs="Arial" w:eastAsia="Arial" w:hAnsi="Arial"/>
          <w:sz w:val="18"/>
          <w:szCs w:val="18"/>
          <w:color w:val="auto"/>
        </w:rPr>
        <w:t>The market for interventional devices is characterized by rapid technological change, new product introductions, technological improvements, changes in physician requirements and evolving industry standards. To be successful, we must continue to develop and commercialize new products and to enhance versions of our existing products. Our products are technologically complex and require significant research, planning, design, development and testing before they may be marketed. This process generally takes at least 12 to 18 months from initial concept and may take up to several years. In addition, product life cycles are relatively short because medical device manufacturers continually develop smaller, more effective and less expensive versions of existing devices in response to physician demand.</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success in developing and commercializing new and enhanced versions of our products is affected by our ability to: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 engineers;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and accurately identify new market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accurately assess customer needs;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minimize the time and costs required to obtain regulatory clearance or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adopt competitive pricing;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manufacture and deliver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accurately predict and control costs associated with the development, manufacturing and support of our products;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 and compete effectively with our competitors’ efforts.</w:t>
      </w:r>
    </w:p>
    <w:p>
      <w:pPr>
        <w:spacing w:after="0" w:line="157" w:lineRule="exact"/>
        <w:rPr>
          <w:sz w:val="20"/>
          <w:szCs w:val="20"/>
          <w:color w:val="auto"/>
        </w:rPr>
      </w:pPr>
    </w:p>
    <w:p>
      <w:pPr>
        <w:ind w:right="100" w:firstLine="389"/>
        <w:spacing w:after="0" w:line="259" w:lineRule="auto"/>
        <w:rPr>
          <w:sz w:val="20"/>
          <w:szCs w:val="20"/>
          <w:color w:val="auto"/>
        </w:rPr>
      </w:pPr>
      <w:r>
        <w:rPr>
          <w:rFonts w:ascii="Arial" w:cs="Arial" w:eastAsia="Arial" w:hAnsi="Arial"/>
          <w:sz w:val="18"/>
          <w:szCs w:val="18"/>
          <w:color w:val="auto"/>
        </w:rPr>
        <w:t>Market acceptance of our products depends in part on our ability to demonstrate that our products are cost-effective and easier to use, as well as offer technological advantages. Additionally, we may experience design, manufacturing, marketing or other difficulties that could delay or prevent our development, introduction or marketing of new products or new versions of our existing products. As a result of such difficulties and delays, our development expenses may increase and, as a consequence, our results of operations could suffer.</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Development and sales of our products are dependent on a number of factors beyond our control, and our inability to make and complete research and development investments, enhance the product development process and be innovative to solve customer needs with respect to the respective products may adversely affect our business, financial condition and results of operations.</w:t>
      </w:r>
    </w:p>
    <w:p>
      <w:pPr>
        <w:spacing w:after="0" w:line="130" w:lineRule="exact"/>
        <w:rPr>
          <w:sz w:val="20"/>
          <w:szCs w:val="20"/>
          <w:color w:val="auto"/>
        </w:rPr>
      </w:pPr>
    </w:p>
    <w:p>
      <w:pPr>
        <w:ind w:right="340" w:firstLine="389"/>
        <w:spacing w:after="0" w:line="277" w:lineRule="auto"/>
        <w:rPr>
          <w:sz w:val="20"/>
          <w:szCs w:val="20"/>
          <w:color w:val="auto"/>
        </w:rPr>
      </w:pPr>
      <w:r>
        <w:rPr>
          <w:rFonts w:ascii="Arial" w:cs="Arial" w:eastAsia="Arial" w:hAnsi="Arial"/>
          <w:sz w:val="18"/>
          <w:szCs w:val="18"/>
          <w:color w:val="auto"/>
        </w:rPr>
        <w:t>A significant aspect of our growth strategy is the continued market development of products including NanoKnife, AngioVac, Auryon and BioFlo products.</w:t>
      </w:r>
    </w:p>
    <w:p>
      <w:pPr>
        <w:spacing w:after="0" w:line="116" w:lineRule="exact"/>
        <w:rPr>
          <w:sz w:val="20"/>
          <w:szCs w:val="20"/>
          <w:color w:val="auto"/>
        </w:rPr>
      </w:pPr>
    </w:p>
    <w:p>
      <w:pPr>
        <w:ind w:right="60" w:firstLine="389"/>
        <w:spacing w:after="0" w:line="259" w:lineRule="auto"/>
        <w:rPr>
          <w:sz w:val="20"/>
          <w:szCs w:val="20"/>
          <w:color w:val="auto"/>
        </w:rPr>
      </w:pPr>
      <w:r>
        <w:rPr>
          <w:rFonts w:ascii="Arial" w:cs="Arial" w:eastAsia="Arial" w:hAnsi="Arial"/>
          <w:sz w:val="18"/>
          <w:szCs w:val="18"/>
          <w:color w:val="auto"/>
        </w:rPr>
        <w:t>There can be no guarantee that we will be able to develop and manufacture additional next generation or updated products on commercially favorable terms, or at all. NanoKnife, AngioVac and Auryon are developing technologies and the inability of any of them to achieve clinical acceptance, as well as our inability to generate meaningful clinical data to convince providers of the clinical and economic benefits of our BioFlo platform, could severely limit our ability to drive revenue growth.</w:t>
      </w:r>
    </w:p>
    <w:p>
      <w:pPr>
        <w:spacing w:after="0" w:line="13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The future prospects of many of our high growth products, such as NanoKnife, AngioVac and Auryon, rely on continued generation of clinical data pursuant to clinical trials conducted by us, our competitors or other third parties. If the results of these trials are not what we expect, or are perceived as unfavorable by the market, our business could be materially harmed.</w:t>
      </w:r>
    </w:p>
    <w:p>
      <w:pPr>
        <w:spacing w:after="0" w:line="130" w:lineRule="exact"/>
        <w:rPr>
          <w:sz w:val="20"/>
          <w:szCs w:val="20"/>
          <w:color w:val="auto"/>
        </w:rPr>
      </w:pPr>
    </w:p>
    <w:p>
      <w:pPr>
        <w:ind w:right="60" w:firstLine="389"/>
        <w:spacing w:after="0" w:line="275" w:lineRule="auto"/>
        <w:rPr>
          <w:sz w:val="20"/>
          <w:szCs w:val="20"/>
          <w:color w:val="auto"/>
        </w:rPr>
      </w:pPr>
      <w:r>
        <w:rPr>
          <w:rFonts w:ascii="Arial" w:cs="Arial" w:eastAsia="Arial" w:hAnsi="Arial"/>
          <w:sz w:val="17"/>
          <w:szCs w:val="17"/>
          <w:color w:val="auto"/>
        </w:rPr>
        <w:t>As a part of the market development and regulatory process of obtaining marketing clearance for new products and new indications for existing products, we conduct and participate in numerous clinical trials with a variety of study designs, patient populations and trial endpoints. Negative, unexpected or inconsistent clinical data from existing or future clinical trials conducted by us, by our competitors or by third parties, or the market's or regulators’ negative perception of this clinical data, may adversely impact our ability to obtain product approvals and successfully market our products and our business, financial condition, results of operations or future prospects may be materially impacted.</w:t>
      </w:r>
    </w:p>
    <w:p>
      <w:pPr>
        <w:spacing w:after="0" w:line="12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Our business and prospects depend heavily on NanoKnife, which is currently approved for the surgical ablation of soft tissue. If we are unable to secure expanded specific regulatory approvals for NanoKnife, our business and prospects may be materially harmed.</w:t>
      </w:r>
    </w:p>
    <w:p>
      <w:pPr>
        <w:spacing w:after="0" w:line="92" w:lineRule="exact"/>
        <w:rPr>
          <w:sz w:val="20"/>
          <w:szCs w:val="20"/>
          <w:color w:val="auto"/>
        </w:rPr>
      </w:pPr>
    </w:p>
    <w:p>
      <w:pPr>
        <w:ind w:firstLine="389"/>
        <w:spacing w:after="0" w:line="272" w:lineRule="auto"/>
        <w:rPr>
          <w:sz w:val="20"/>
          <w:szCs w:val="20"/>
          <w:color w:val="auto"/>
        </w:rPr>
      </w:pPr>
      <w:r>
        <w:rPr>
          <w:rFonts w:ascii="Arial" w:cs="Arial" w:eastAsia="Arial" w:hAnsi="Arial"/>
          <w:sz w:val="17"/>
          <w:szCs w:val="17"/>
          <w:color w:val="auto"/>
        </w:rPr>
        <w:t>Our NanoKnife System is indicated for the surgical ablation of soft tissue. The long-term prospects for our NanoKnife business may rely on securing expanded indications for specific disease states and treatments. Based on our current indication, our ability to promote NanoKnife and provide training with respect to the use of NanoKnife is limited to the surgical ablation of soft tissue. In the fourth quarter of our fiscal year ended May 31, 2019, we received approval from the FDA to initiate our DIRECT clinical trial to study the use of NanoKnife for the treatment of Stage III pancreatic cancer. If we are not able to successfully complete this trial and secure clearances or approvals for expanded indications for our NanoKnife System, including for the treatment of Stage III pancreatic cancer, or if expanded indications are significantly delayed or limited, our business and prospects may be materially harmed and we may need to delay our initiatives or even significantly curtail operations.</w:t>
      </w:r>
    </w:p>
    <w:p>
      <w:pPr>
        <w:spacing w:after="0" w:line="123" w:lineRule="exact"/>
        <w:rPr>
          <w:sz w:val="20"/>
          <w:szCs w:val="20"/>
          <w:color w:val="auto"/>
        </w:rPr>
      </w:pPr>
    </w:p>
    <w:p>
      <w:pPr>
        <w:jc w:val="both"/>
        <w:ind w:right="120"/>
        <w:spacing w:after="0" w:line="340" w:lineRule="auto"/>
        <w:rPr>
          <w:sz w:val="20"/>
          <w:szCs w:val="20"/>
          <w:color w:val="auto"/>
        </w:rPr>
      </w:pPr>
      <w:r>
        <w:rPr>
          <w:rFonts w:ascii="Arial" w:cs="Arial" w:eastAsia="Arial" w:hAnsi="Arial"/>
          <w:sz w:val="15"/>
          <w:szCs w:val="15"/>
          <w:b w:val="1"/>
          <w:bCs w:val="1"/>
          <w:i w:val="1"/>
          <w:iCs w:val="1"/>
          <w:color w:val="auto"/>
        </w:rPr>
        <w:t>Our business and prospects rely heavily upon our ability to successfully complete clinical trials, including our NanoKnife DIRECT Clinical study, our Auryon Pathfinder study and clinical studies for AngioVac. We may choose to, or may be required to, suspend, repeat or terminate our clinical trials if they are not conducted in accordance with regulatory requirements, the results are negative or inconclusive or the trials are not well designed.</w:t>
      </w:r>
    </w:p>
    <w:p>
      <w:pPr>
        <w:spacing w:after="0" w:line="77" w:lineRule="exact"/>
        <w:rPr>
          <w:sz w:val="20"/>
          <w:szCs w:val="20"/>
          <w:color w:val="auto"/>
        </w:rPr>
      </w:pPr>
    </w:p>
    <w:p>
      <w:pPr>
        <w:jc w:val="both"/>
        <w:ind w:right="100" w:firstLine="389"/>
        <w:spacing w:after="0" w:line="277" w:lineRule="auto"/>
        <w:rPr>
          <w:sz w:val="20"/>
          <w:szCs w:val="20"/>
          <w:color w:val="auto"/>
        </w:rPr>
      </w:pPr>
      <w:r>
        <w:rPr>
          <w:rFonts w:ascii="Arial" w:cs="Arial" w:eastAsia="Arial" w:hAnsi="Arial"/>
          <w:sz w:val="18"/>
          <w:szCs w:val="18"/>
          <w:color w:val="auto"/>
        </w:rPr>
        <w:t>Clinical trials must be conducted in accordance with the applicable laws and regulations in the jurisdictions in which the clinical trials are conducted, including FDA’s current Good Clinical Practices. The clinical trials are subject to oversight by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ind w:right="180"/>
        <w:spacing w:after="0" w:line="255" w:lineRule="auto"/>
        <w:rPr>
          <w:sz w:val="20"/>
          <w:szCs w:val="20"/>
          <w:color w:val="auto"/>
        </w:rPr>
      </w:pPr>
      <w:r>
        <w:rPr>
          <w:rFonts w:ascii="Arial" w:cs="Arial" w:eastAsia="Arial" w:hAnsi="Arial"/>
          <w:sz w:val="18"/>
          <w:szCs w:val="18"/>
          <w:color w:val="auto"/>
        </w:rPr>
        <w:t>FDA, regulatory agencies in other jurisdictions, ethics committees and institutional review boards at the medical institutions where the clinical trials are conducted. Clinical trial protocols may require a large number of patients to be enrolled in the trials. Patient enrollment is a function of many factors, including the size of the patient population for the target indication, the proximity of patients to clinical sites, the eligibility criteria for the trial, the existence of competing clinical trials and the availability of alternative or new treatments. Clinical trials may be suspended by the FDA or by a regulatory agency in another jurisdiction at any time if the FDA or the regulatory agency finds deficiencies in the conduct of these trials or it is believed that these trials expose patients to unacceptable health risks.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the FDA or regulatory agencies in other jurisdictions might delay or terminate our clinical trials for various reasons, including:</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Enrolled patients may have unforeseen adverse side effects;</w:t>
      </w:r>
    </w:p>
    <w:p>
      <w:pPr>
        <w:spacing w:after="0" w:line="23"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therapies may become the standard of care while we are conducting our clinical trials, which may require us to revise or amend our clinical trial protocols or terminate a clinical trial;</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Fatalities may occur during a clinical trial due to medical problems that may or may not be related to clinical trial treatments;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 enrollment in the clinical trials may be insufficient or significantly delayed.</w:t>
      </w:r>
    </w:p>
    <w:p>
      <w:pPr>
        <w:spacing w:after="0" w:line="157" w:lineRule="exact"/>
        <w:rPr>
          <w:sz w:val="20"/>
          <w:szCs w:val="20"/>
          <w:color w:val="auto"/>
        </w:rPr>
      </w:pPr>
    </w:p>
    <w:p>
      <w:pPr>
        <w:ind w:right="120" w:firstLine="389"/>
        <w:spacing w:after="0" w:line="257" w:lineRule="auto"/>
        <w:rPr>
          <w:sz w:val="20"/>
          <w:szCs w:val="20"/>
          <w:color w:val="auto"/>
        </w:rPr>
      </w:pPr>
      <w:r>
        <w:rPr>
          <w:rFonts w:ascii="Arial" w:cs="Arial" w:eastAsia="Arial" w:hAnsi="Arial"/>
          <w:sz w:val="18"/>
          <w:szCs w:val="18"/>
          <w:color w:val="auto"/>
        </w:rPr>
        <w:t>Patients may be discouraged from enrolling in our clinical trials if the trial protocol requires them to undergo extensive follow-up to assess the safety and effectiveness of NanoKnife treatments, or if they determine that the treatments received under the trial protocols are not attractive or involve unacceptable risks or discomforts. Patients may also not participate in our clinical trials if they choose to participate in contemporaneous clinical trials of competing products. In addition, the inclusion of critically ill patients in our clinical trials may result in deaths or other adverse medical events for reasons that may not be related to the clinical trial.</w:t>
      </w:r>
    </w:p>
    <w:p>
      <w:pPr>
        <w:spacing w:after="0" w:line="134" w:lineRule="exact"/>
        <w:rPr>
          <w:sz w:val="20"/>
          <w:szCs w:val="20"/>
          <w:color w:val="auto"/>
        </w:rPr>
      </w:pPr>
    </w:p>
    <w:p>
      <w:pPr>
        <w:ind w:right="300" w:firstLine="389"/>
        <w:spacing w:after="0" w:line="277" w:lineRule="auto"/>
        <w:rPr>
          <w:sz w:val="20"/>
          <w:szCs w:val="20"/>
          <w:color w:val="auto"/>
        </w:rPr>
      </w:pPr>
      <w:r>
        <w:rPr>
          <w:rFonts w:ascii="Arial" w:cs="Arial" w:eastAsia="Arial" w:hAnsi="Arial"/>
          <w:sz w:val="18"/>
          <w:szCs w:val="18"/>
          <w:color w:val="auto"/>
        </w:rPr>
        <w:t>In addition, we rely on contract research organizations, or CROs, with respect to conducting our clinical trials. We may experience significant cost overruns associated with, and we may encounter difficulties managing, these CROs.</w:t>
      </w:r>
    </w:p>
    <w:p>
      <w:pPr>
        <w:spacing w:after="0" w:line="116" w:lineRule="exact"/>
        <w:rPr>
          <w:sz w:val="20"/>
          <w:szCs w:val="20"/>
          <w:color w:val="auto"/>
        </w:rPr>
      </w:pPr>
    </w:p>
    <w:p>
      <w:pPr>
        <w:ind w:right="600" w:firstLine="389"/>
        <w:spacing w:after="0" w:line="277" w:lineRule="auto"/>
        <w:rPr>
          <w:sz w:val="20"/>
          <w:szCs w:val="20"/>
          <w:color w:val="auto"/>
        </w:rPr>
      </w:pPr>
      <w:r>
        <w:rPr>
          <w:rFonts w:ascii="Arial" w:cs="Arial" w:eastAsia="Arial" w:hAnsi="Arial"/>
          <w:sz w:val="18"/>
          <w:szCs w:val="18"/>
          <w:color w:val="auto"/>
        </w:rPr>
        <w:t>Termination of our clinical trials or significant delays in completing our clinical trials could have a materially negative impact on our financial condition and prospects.</w:t>
      </w:r>
    </w:p>
    <w:p>
      <w:pPr>
        <w:spacing w:after="0" w:line="116"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our competitors or other third parties, may engage in clinical trials with respect to our products. The results of these trials may be unfavorable, or perceived as unfavorable by the market, and could have a material adverse effect on our business, financial condition or results of operations.</w:t>
      </w:r>
    </w:p>
    <w:p>
      <w:pPr>
        <w:spacing w:after="0" w:line="46" w:lineRule="exact"/>
        <w:rPr>
          <w:sz w:val="20"/>
          <w:szCs w:val="20"/>
          <w:color w:val="auto"/>
        </w:rPr>
      </w:pPr>
    </w:p>
    <w:p>
      <w:pPr>
        <w:ind w:right="20" w:firstLine="389"/>
        <w:spacing w:after="0" w:line="279" w:lineRule="auto"/>
        <w:rPr>
          <w:sz w:val="20"/>
          <w:szCs w:val="20"/>
          <w:color w:val="auto"/>
        </w:rPr>
      </w:pPr>
      <w:r>
        <w:rPr>
          <w:rFonts w:ascii="Arial" w:cs="Arial" w:eastAsia="Arial" w:hAnsi="Arial"/>
          <w:sz w:val="17"/>
          <w:szCs w:val="17"/>
          <w:color w:val="auto"/>
        </w:rPr>
        <w:t>Our products may be the subject of clinical trials conducted by us, our competitors or third parties for the purposes of obtaining regulatory clearances or to gather market data. Unfavorable or inconsistent clinical data from existing or future clinical trials conducted by us, by our competitors or by third parties, or the FDA's or the market's perception of this clinical data, may adversely impact our ability to obtain product approvals, our position in, and share of, the markets in which we participate and our business, financial condition, results of operations or future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Undetected defects may increase our costs and impair the market acceptance of our products.</w:t>
      </w:r>
    </w:p>
    <w:p>
      <w:pPr>
        <w:spacing w:after="0" w:line="171" w:lineRule="exact"/>
        <w:rPr>
          <w:sz w:val="20"/>
          <w:szCs w:val="20"/>
          <w:color w:val="auto"/>
        </w:rPr>
      </w:pPr>
    </w:p>
    <w:p>
      <w:pPr>
        <w:ind w:right="20" w:firstLine="389"/>
        <w:spacing w:after="0" w:line="275" w:lineRule="auto"/>
        <w:rPr>
          <w:sz w:val="20"/>
          <w:szCs w:val="20"/>
          <w:color w:val="auto"/>
        </w:rPr>
      </w:pPr>
      <w:r>
        <w:rPr>
          <w:rFonts w:ascii="Arial" w:cs="Arial" w:eastAsia="Arial" w:hAnsi="Arial"/>
          <w:sz w:val="17"/>
          <w:szCs w:val="17"/>
          <w:color w:val="auto"/>
        </w:rPr>
        <w:t>Our products have occasionally contained, and may in the future contain, undetected defects. When these problems occur, we must divert the attention of our engineering personnel to address them. There is no assurance that we will not incur warranty or repair costs, be subject to liability claims for damages related to product defects, or experience manufacturing, shipping or other delays or interruptions as a result of these defects in the future. Our insurance policies may not provide sufficient protection should a claim be asserted. In addition, the occurrence of defects may result in significant customer relations problems and injury to our reputation, and may impair market acceptance of our products.</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convince customers that our products can improve the cost structure of their business, our revenue growth and profitability may be materially adversely impacted.</w:t>
      </w:r>
    </w:p>
    <w:p>
      <w:pPr>
        <w:spacing w:after="0" w:line="116" w:lineRule="exact"/>
        <w:rPr>
          <w:sz w:val="20"/>
          <w:szCs w:val="20"/>
          <w:color w:val="auto"/>
        </w:rPr>
      </w:pPr>
    </w:p>
    <w:p>
      <w:pPr>
        <w:ind w:right="20" w:firstLine="389"/>
        <w:spacing w:after="0" w:line="272" w:lineRule="auto"/>
        <w:rPr>
          <w:sz w:val="20"/>
          <w:szCs w:val="20"/>
          <w:color w:val="auto"/>
        </w:rPr>
      </w:pPr>
      <w:r>
        <w:rPr>
          <w:rFonts w:ascii="Arial" w:cs="Arial" w:eastAsia="Arial" w:hAnsi="Arial"/>
          <w:sz w:val="17"/>
          <w:szCs w:val="17"/>
          <w:color w:val="auto"/>
        </w:rPr>
        <w:t>Worldwide initiatives to contain healthcare costs have led government and the private sector to enact cost containment efforts as a means of managing the growth of health care utilization. Common techniques include policies on price regulation, competitive pricing, bidding and tender mechanics, coverage and payment, comparative effectiveness of therapies, technology assessments, and managed-care arrangements. These changes are causing the marketplace to put increased emphasis on the delivery of more cost-effective medical devices and therapies. Government programs, including Medicare and Medicaid, private health care insurance, and managed-care plans have attempted to control costs by limiting the amount of reimbursement they will pay for particular procedures or treatments, tying reimbursement to outcomes, shifting to population health management, and other mechanisms designed to constrain utilization and contain costs. Simultaneously, hospitals are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6"/>
          <w:szCs w:val="16"/>
          <w:color w:val="auto"/>
        </w:rPr>
        <w:t>redefining their role in health care delivery as many assume much more risk and control of the total cost of patient care. To successfully make this transformation, health systems are consolidating, purchasing or partnering with physicians, post-acute care providers, while also narrowing networks thus allowing greater control over outcomes. Today, many systems are becoming ‘mini’ payer/provider organizations. These newly redesigned health systems are creating mechanisms such as value analysis and centralized purchasing functions that set pricing and in some cases limit the number of vendors that can participate in the purchasing program. Hospitals are also aligning interests with physicians through employment and other arrangements, such as gainsharing, where a hospital agrees with physicians to share any realized cost savings resulting from the physicians’ collective change in practice patterns such as standardization of devices where medically appropriate. This has created an increasing level of price sensitivity among customers for our products. Some third-party payers must also approve coverage and set reimbursement levels for new or innovative devices or therapies before they will reimburse health care providers who use the medical devices or therapies. Even though a new medical device may have been cleared for commercial distribution, we may find limited demand for the device until coverage and sufficient reimbursement levels have been obtained from governmental and private third-party payers. In addition, some private third-party payers require that certain procedures or that the use of certain products be authorized in advance as a condition of reimbursement. International examples of cost containment initiatives and health care reforms advancing clinical outcomes as the key to market access are emerging in France, Germany, the Netherlands and the UK. This new criteria can severely restrict coverage, reduce reimbursement and delay access to key markets with requirements for incremental clinical benefit and coverage with evidence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Cost-containment efforts of group purchasing organizations could adversely affect our selling prices, financial position and results of operations.</w:t>
      </w:r>
    </w:p>
    <w:p>
      <w:pPr>
        <w:spacing w:after="0" w:line="194" w:lineRule="exact"/>
        <w:rPr>
          <w:sz w:val="20"/>
          <w:szCs w:val="20"/>
          <w:color w:val="auto"/>
        </w:rPr>
      </w:pPr>
    </w:p>
    <w:p>
      <w:pPr>
        <w:ind w:right="20" w:firstLine="389"/>
        <w:spacing w:after="0" w:line="291" w:lineRule="auto"/>
        <w:rPr>
          <w:sz w:val="20"/>
          <w:szCs w:val="20"/>
          <w:color w:val="auto"/>
        </w:rPr>
      </w:pPr>
      <w:r>
        <w:rPr>
          <w:rFonts w:ascii="Arial" w:cs="Arial" w:eastAsia="Arial" w:hAnsi="Arial"/>
          <w:sz w:val="16"/>
          <w:szCs w:val="16"/>
          <w:color w:val="auto"/>
        </w:rPr>
        <w:t>Many of our existing and potential customers have become members of group purchasing organizations, or GPOs, and integrated delivery network, or IDNs, in an effort to reduce costs.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Bids are generally solicited from multiple manufacturers with the intention of driving down pricing. Due to the highly competitive nature of the GPO and IDN contracting processes, we may not be able to obtain market prices for our products or obtain or maintain contract positions with major GPOs and IDNs, which could adversely impact our profitability. Also, sales through a GPO or IDN can be significant to our business and if we are unable to retain contracts with our customers, or acquire additional contracts, our financial results may be negatively impacted.</w:t>
      </w:r>
    </w:p>
    <w:p>
      <w:pPr>
        <w:spacing w:after="0" w:line="112"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We are dependent on single and limited source suppliers which subjects our business and results of operations to risks of supplier business interruptions.</w:t>
      </w:r>
    </w:p>
    <w:p>
      <w:pPr>
        <w:spacing w:after="0" w:line="116" w:lineRule="exact"/>
        <w:rPr>
          <w:sz w:val="20"/>
          <w:szCs w:val="20"/>
          <w:color w:val="auto"/>
        </w:rPr>
      </w:pPr>
    </w:p>
    <w:p>
      <w:pPr>
        <w:ind w:right="80" w:firstLine="389"/>
        <w:spacing w:after="0" w:line="254" w:lineRule="auto"/>
        <w:rPr>
          <w:sz w:val="20"/>
          <w:szCs w:val="20"/>
          <w:color w:val="auto"/>
        </w:rPr>
      </w:pPr>
      <w:r>
        <w:rPr>
          <w:rFonts w:ascii="Arial" w:cs="Arial" w:eastAsia="Arial" w:hAnsi="Arial"/>
          <w:sz w:val="18"/>
          <w:szCs w:val="18"/>
          <w:color w:val="auto"/>
        </w:rPr>
        <w:t>We currently purchase significant amounts of several key products and product components from single and limited source suppliers and anticipate that we will do so for future products as well. Any delays in delivery of or shortages in those or other products and components could interrupt and delay manufacturing of our products and result in the cancellation of orders for our products. Any or all of these suppliers could discontinue the manufacture or supply of these products and components at any time. Due to FDA and other business considerations,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increased design and manufacturing costs and increased prices for our products.</w:t>
      </w:r>
    </w:p>
    <w:p>
      <w:pPr>
        <w:spacing w:after="0" w:line="138" w:lineRule="exact"/>
        <w:rPr>
          <w:sz w:val="20"/>
          <w:szCs w:val="20"/>
          <w:color w:val="auto"/>
        </w:rPr>
      </w:pPr>
    </w:p>
    <w:p>
      <w:pPr>
        <w:ind w:right="100" w:firstLine="389"/>
        <w:spacing w:after="0" w:line="259" w:lineRule="auto"/>
        <w:rPr>
          <w:sz w:val="20"/>
          <w:szCs w:val="20"/>
          <w:color w:val="auto"/>
        </w:rPr>
      </w:pPr>
      <w:r>
        <w:rPr>
          <w:rFonts w:ascii="Arial" w:cs="Arial" w:eastAsia="Arial" w:hAnsi="Arial"/>
          <w:sz w:val="18"/>
          <w:szCs w:val="18"/>
          <w:color w:val="auto"/>
        </w:rPr>
        <w:t>In addition, we purchase certain products as a distributor for the manufacturer of those products. Operational, quality or regulatory issues of the manufacturers of the products we distribute could constrain or interrupt the availability of those products or services. Any constraint or interruption in the supply of finished products that we distribute could have a material adverse effect on our ability to sell products, our financial condition and our results of operations.</w:t>
      </w:r>
    </w:p>
    <w:p>
      <w:pPr>
        <w:spacing w:after="0" w:line="133"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are heavily dependent on third-party distributors to generate a substantial portion of international revenues and are at the risk of these distributors also selling for our competitors along with being financially viable to be able to effectively distribute our products and make timely payment.</w:t>
      </w:r>
    </w:p>
    <w:p>
      <w:pPr>
        <w:spacing w:after="0" w:line="87" w:lineRule="exact"/>
        <w:rPr>
          <w:sz w:val="20"/>
          <w:szCs w:val="20"/>
          <w:color w:val="auto"/>
        </w:rPr>
      </w:pPr>
    </w:p>
    <w:p>
      <w:pPr>
        <w:ind w:firstLine="389"/>
        <w:spacing w:after="0" w:line="296" w:lineRule="auto"/>
        <w:rPr>
          <w:sz w:val="20"/>
          <w:szCs w:val="20"/>
          <w:color w:val="auto"/>
        </w:rPr>
      </w:pPr>
      <w:r>
        <w:rPr>
          <w:rFonts w:ascii="Arial" w:cs="Arial" w:eastAsia="Arial" w:hAnsi="Arial"/>
          <w:sz w:val="16"/>
          <w:szCs w:val="16"/>
          <w:color w:val="auto"/>
        </w:rPr>
        <w:t>Outside of North America we rely heavily on third party distributors, either on a country-by-country basis or on a multi-country, regional basis, to market, sell and distribute our products. International distributors accounted for approximately 68% of international revenues for the fiscal year ended May 31, 2020. In certain circumstances, distributors may also sell competing products,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1" w:name="page22"/>
    <w:bookmarkEnd w:id="21"/>
    <w:p>
      <w:pPr>
        <w:ind w:right="640"/>
        <w:spacing w:after="0" w:line="277" w:lineRule="auto"/>
        <w:rPr>
          <w:sz w:val="20"/>
          <w:szCs w:val="20"/>
          <w:color w:val="auto"/>
        </w:rPr>
      </w:pPr>
      <w:r>
        <w:rPr>
          <w:rFonts w:ascii="Arial" w:cs="Arial" w:eastAsia="Arial" w:hAnsi="Arial"/>
          <w:sz w:val="18"/>
          <w:szCs w:val="18"/>
          <w:color w:val="auto"/>
        </w:rPr>
        <w:t>results of operations, financial condition and cash flows. In addition, there is a risk that our distributors will not be financially viable due to current economic and/or regulatory events in their respective countries.</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rely on distributors for the commercialization of our products in countries in which we do not have a direct sales and marketing presence. If we are unable to maintain our relationships or establish direct sales capabilities, our sales may significantly decline, materially impacting our financial position and results of operations.</w:t>
      </w:r>
    </w:p>
    <w:p>
      <w:pPr>
        <w:spacing w:after="0" w:line="130" w:lineRule="exact"/>
        <w:rPr>
          <w:sz w:val="20"/>
          <w:szCs w:val="20"/>
          <w:color w:val="auto"/>
        </w:rPr>
      </w:pPr>
    </w:p>
    <w:p>
      <w:pPr>
        <w:ind w:right="140" w:firstLine="389"/>
        <w:spacing w:after="0" w:line="289" w:lineRule="auto"/>
        <w:rPr>
          <w:sz w:val="20"/>
          <w:szCs w:val="20"/>
          <w:color w:val="auto"/>
        </w:rPr>
      </w:pPr>
      <w:r>
        <w:rPr>
          <w:rFonts w:ascii="Arial" w:cs="Arial" w:eastAsia="Arial" w:hAnsi="Arial"/>
          <w:sz w:val="16"/>
          <w:szCs w:val="16"/>
          <w:color w:val="auto"/>
        </w:rPr>
        <w:t>We have no or limited direct sales or marketing capabilities in some of the regions and countries in which our products are sold, including, among others, China, Japan, Brazil, the Middle East and many European countries. We have entered into distribution agreements with third parties to market and sell our products in those countries in which we do not have a direct sales force. If we are unable to maintain or enter into such distribution arrangements on acceptable terms, or at all, we may lose significant revenue or be unable to achieve our growth aspirations. Moreover, to the extent that we enter into distribution arrangements with other companies, our revenues, if any, will depend on the terms of any such arrangements and the efforts of others. These efforts may turn out not to be sufficient and our third-party distributors may not effectively sell our products. In addition, although our contract terms require our distributors to comply with all applicable laws regarding the sale of our products, including anti-competition, anti-corruption, anti-money laundering and sanctions laws, we may not be able to ensure proper compliance. If our distributors fail to effectively market and sell our products in full compliance with applicable laws, our financial position and results of operations could be materially impacted.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secure adequate reimbursement for our products could materially impair our ability to grow revenue and drive profitability.</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products are used in medical procedures generally covered by government or private health plans.</w:t>
      </w:r>
    </w:p>
    <w:p>
      <w:pPr>
        <w:spacing w:after="0" w:line="171" w:lineRule="exact"/>
        <w:rPr>
          <w:sz w:val="20"/>
          <w:szCs w:val="20"/>
          <w:color w:val="auto"/>
        </w:rPr>
      </w:pPr>
    </w:p>
    <w:p>
      <w:pPr>
        <w:ind w:right="360" w:firstLine="389"/>
        <w:spacing w:after="0" w:line="311" w:lineRule="auto"/>
        <w:rPr>
          <w:sz w:val="20"/>
          <w:szCs w:val="20"/>
          <w:color w:val="auto"/>
        </w:rPr>
      </w:pPr>
      <w:r>
        <w:rPr>
          <w:rFonts w:ascii="Arial" w:cs="Arial" w:eastAsia="Arial" w:hAnsi="Arial"/>
          <w:sz w:val="16"/>
          <w:szCs w:val="16"/>
          <w:color w:val="auto"/>
        </w:rPr>
        <w:t>In general, a third-party payor only covers a medical product or procedure when the plan administrator is satisfied that the product or procedure improves health outcomes, including quality of life or functional ability, in a safe and cost-effective manner. Even if a device has received clearance or approval for marketing by the FDA, there is no assurance that third-party payors will cover the cost of the device and related procedures.</w:t>
      </w:r>
    </w:p>
    <w:p>
      <w:pPr>
        <w:spacing w:after="0" w:line="95" w:lineRule="exact"/>
        <w:rPr>
          <w:sz w:val="20"/>
          <w:szCs w:val="20"/>
          <w:color w:val="auto"/>
        </w:rPr>
      </w:pPr>
    </w:p>
    <w:p>
      <w:pPr>
        <w:ind w:right="160" w:firstLine="389"/>
        <w:spacing w:after="0" w:line="259" w:lineRule="auto"/>
        <w:rPr>
          <w:sz w:val="20"/>
          <w:szCs w:val="20"/>
          <w:color w:val="auto"/>
        </w:rPr>
      </w:pPr>
      <w:r>
        <w:rPr>
          <w:rFonts w:ascii="Arial" w:cs="Arial" w:eastAsia="Arial" w:hAnsi="Arial"/>
          <w:sz w:val="18"/>
          <w:szCs w:val="18"/>
          <w:color w:val="auto"/>
        </w:rPr>
        <w:t>In many instances, third-party payors use price schedules that do not vary to reflect the cost of the products and equipment used in performing those procedures. In other instances, payment or reimbursement is separately available for the products and equipment used, in addition to payment or reimbursement for the procedure itself. Even if coverage is available, third-party payors may place restrictions on the circumstances where they provide coverage or may offer reimbursement that is not sufficient to cover the cost of our products.</w:t>
      </w:r>
    </w:p>
    <w:p>
      <w:pPr>
        <w:spacing w:after="0" w:line="133" w:lineRule="exact"/>
        <w:rPr>
          <w:sz w:val="20"/>
          <w:szCs w:val="20"/>
          <w:color w:val="auto"/>
        </w:rPr>
      </w:pPr>
    </w:p>
    <w:p>
      <w:pPr>
        <w:ind w:right="20" w:firstLine="389"/>
        <w:spacing w:after="0" w:line="257" w:lineRule="auto"/>
        <w:rPr>
          <w:sz w:val="20"/>
          <w:szCs w:val="20"/>
          <w:color w:val="auto"/>
        </w:rPr>
      </w:pPr>
      <w:r>
        <w:rPr>
          <w:rFonts w:ascii="Arial" w:cs="Arial" w:eastAsia="Arial" w:hAnsi="Arial"/>
          <w:sz w:val="18"/>
          <w:szCs w:val="18"/>
          <w:color w:val="auto"/>
        </w:rPr>
        <w:t>Third-party payors who cover the cost of medical products or equipment, in addition to allowing a general charge for the procedure, often maintain lists of exclusive suppliers or approved lists of products deemed to be cost-effective. Authorization from those third-party payors is required prior to using products that are not on these lists as a condition of reimbursement. If our products are not on the approved lists, healthcare providers must determine if the additional cost and effort required in obtaining prior authorization, and the uncertainty of actually obtaining coverage, is justified by any perceived clinical benefits from using our products.</w:t>
      </w:r>
    </w:p>
    <w:p>
      <w:pPr>
        <w:spacing w:after="0" w:line="134" w:lineRule="exact"/>
        <w:rPr>
          <w:sz w:val="20"/>
          <w:szCs w:val="20"/>
          <w:color w:val="auto"/>
        </w:rPr>
      </w:pPr>
    </w:p>
    <w:p>
      <w:pPr>
        <w:ind w:right="80" w:firstLine="389"/>
        <w:spacing w:after="0" w:line="270" w:lineRule="auto"/>
        <w:rPr>
          <w:sz w:val="20"/>
          <w:szCs w:val="20"/>
          <w:color w:val="auto"/>
        </w:rPr>
      </w:pPr>
      <w:r>
        <w:rPr>
          <w:rFonts w:ascii="Arial" w:cs="Arial" w:eastAsia="Arial" w:hAnsi="Arial"/>
          <w:sz w:val="17"/>
          <w:szCs w:val="17"/>
          <w:color w:val="auto"/>
        </w:rPr>
        <w:t>Finally, the advent of contracted fixed rates per procedure has made it difficult to receive reimbursement for disposable products, even if the use of these products improves clinical outcomes. In 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 our products will be incorporated into the overall cost of a procedure and not be separately reimbursed. As a result, we cannot be certain that hospital administrators and physicians will purchase our products, despite the clinical benefits and opportunity for cost savings that we believe can be derived from their use. If hospitals and physicians cannot obtain adequate reimbursement for our products or the procedures in which they are used, our business, financial condition, results of operations, and cash flows could suffer a material adverse impact.</w:t>
      </w:r>
    </w:p>
    <w:p>
      <w:pPr>
        <w:spacing w:after="0" w:line="127" w:lineRule="exact"/>
        <w:rPr>
          <w:sz w:val="20"/>
          <w:szCs w:val="20"/>
          <w:color w:val="auto"/>
        </w:rPr>
      </w:pPr>
    </w:p>
    <w:p>
      <w:pPr>
        <w:ind w:firstLine="389"/>
        <w:spacing w:after="0" w:line="273" w:lineRule="auto"/>
        <w:rPr>
          <w:sz w:val="20"/>
          <w:szCs w:val="20"/>
          <w:color w:val="auto"/>
        </w:rPr>
      </w:pPr>
      <w:r>
        <w:rPr>
          <w:rFonts w:ascii="Arial" w:cs="Arial" w:eastAsia="Arial" w:hAnsi="Arial"/>
          <w:sz w:val="17"/>
          <w:szCs w:val="17"/>
          <w:color w:val="auto"/>
        </w:rPr>
        <w:t>Our success in international markets will depend largely upon the availability of reimbursement from the third-party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United States, we generally rely on our distributors to obtain reimbursement approval in the countries in which they will sell our products. There can be no assurance that reimbursement approvals will be received. The failure to secure reimbursement approvals in international markets could materially impact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If a product liability claim is brought against us or our product liability insurance coverage is inadequate, our business could be harmed.</w:t>
      </w:r>
    </w:p>
    <w:p>
      <w:pPr>
        <w:spacing w:after="0" w:line="183" w:lineRule="exact"/>
        <w:rPr>
          <w:sz w:val="20"/>
          <w:szCs w:val="20"/>
          <w:color w:val="auto"/>
        </w:rPr>
      </w:pPr>
    </w:p>
    <w:p>
      <w:pPr>
        <w:ind w:firstLine="389"/>
        <w:spacing w:after="0" w:line="271" w:lineRule="auto"/>
        <w:rPr>
          <w:sz w:val="20"/>
          <w:szCs w:val="20"/>
          <w:color w:val="auto"/>
        </w:rPr>
      </w:pPr>
      <w:r>
        <w:rPr>
          <w:rFonts w:ascii="Arial" w:cs="Arial" w:eastAsia="Arial" w:hAnsi="Arial"/>
          <w:sz w:val="17"/>
          <w:szCs w:val="17"/>
          <w:color w:val="auto"/>
        </w:rPr>
        <w:t>The design, manufacture and marketing of the types of medical devices we sell entail an inherent risk of product liability. Our products are used by physicians to treat seriously ill patients. We are periodically subject to product liability claims, and patients or customers may in the future bring claims against us in a number of circumstances and for a number of reasons, including if our products were misused, if a component of our product fails, if our manufacture or design was flawed, if the product produced unsatisfactory results or if the instructions for use and operating manuals and disclosure of product related risks for our products were found to be inadequate. In addition, individuals or groups seeking to represent a class may file suit against us. The outcome of litigation, particularly class action lawsuits, is difficult to assess or quantify. Plaintiffs in these types of lawsuits often seek recovery of very large or indeterminate amounts, including not only actual damages, but also punitive damages. The magnitude of the potential losses relating to these lawsuits may remain unknown for substantial periods of time.</w:t>
      </w:r>
    </w:p>
    <w:p>
      <w:pPr>
        <w:spacing w:after="0" w:line="124" w:lineRule="exact"/>
        <w:rPr>
          <w:sz w:val="20"/>
          <w:szCs w:val="20"/>
          <w:color w:val="auto"/>
        </w:rPr>
      </w:pPr>
    </w:p>
    <w:p>
      <w:pPr>
        <w:ind w:right="80" w:firstLine="389"/>
        <w:spacing w:after="0" w:line="253" w:lineRule="auto"/>
        <w:rPr>
          <w:sz w:val="20"/>
          <w:szCs w:val="20"/>
          <w:color w:val="auto"/>
        </w:rPr>
      </w:pPr>
      <w:r>
        <w:rPr>
          <w:rFonts w:ascii="Arial" w:cs="Arial" w:eastAsia="Arial" w:hAnsi="Arial"/>
          <w:sz w:val="18"/>
          <w:szCs w:val="18"/>
          <w:color w:val="auto"/>
        </w:rPr>
        <w:t>We carry a product liability policy with a limit of $10.0 million per product liability claim and an aggregate policy limit of $10.0 million, subject to a self-insured retention of $0.5 million per occurrence and $2.0 million in the aggregate. We believe, based on claims made against us in the past, our existing product liability insurance coverage is reasonably adequate to protect us from any liabilities we might incur. However, there is no assurance that this coverage will be sufficient to satisfy any claim made against us. In addition, we may not be able to continue to maintain adequate coverage at a reasonable cost and on reasonable terms, if at all. Any product liability claim brought against us, with or without merit, could increase our product liability insurance rates or prevent us from securing any coverage in the future. Additionally, if one or more product liability claims is brought against us for uninsured liabilities or is in excess of our insurance coverage, our financial condition and results of operations could be negatively impacted. Further, such claims may require us to recall some of our products, which could result in significant costs to us and could divert management’s attention from our business.</w:t>
      </w:r>
    </w:p>
    <w:p>
      <w:pPr>
        <w:spacing w:after="0" w:line="142"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We may be exposed to risks associated with acquisitions, including integration risks and risks associated with methods of financing. Accordingly, completed acquisitions may not enhance our financial position or results of operations or create value for our shareholders as they are based on projections and assumptions which are uncertain and subject to change.</w:t>
      </w:r>
    </w:p>
    <w:p>
      <w:pPr>
        <w:spacing w:after="0" w:line="130" w:lineRule="exact"/>
        <w:rPr>
          <w:sz w:val="20"/>
          <w:szCs w:val="20"/>
          <w:color w:val="auto"/>
        </w:rPr>
      </w:pPr>
    </w:p>
    <w:p>
      <w:pPr>
        <w:ind w:right="40" w:firstLine="389"/>
        <w:spacing w:after="0" w:line="263" w:lineRule="auto"/>
        <w:rPr>
          <w:sz w:val="20"/>
          <w:szCs w:val="20"/>
          <w:color w:val="auto"/>
        </w:rPr>
      </w:pPr>
      <w:r>
        <w:rPr>
          <w:rFonts w:ascii="Arial" w:cs="Arial" w:eastAsia="Arial" w:hAnsi="Arial"/>
          <w:sz w:val="18"/>
          <w:szCs w:val="18"/>
          <w:color w:val="auto"/>
        </w:rPr>
        <w:t>Part of our growth strategy is to acquire businesses and technologies that are complementary to ours. There is no assurance that acquisition opportunities will be available on acceptable terms, or at all, or that we will be able to obtain necessary financing or regulatory approvals. Any acquisitions that we do undertake would be accompanied by the risks commonly encountered in acquisitions, including the:</w:t>
      </w:r>
    </w:p>
    <w:p>
      <w:pPr>
        <w:spacing w:after="0" w:line="130" w:lineRule="exact"/>
        <w:rPr>
          <w:sz w:val="20"/>
          <w:szCs w:val="20"/>
          <w:color w:val="auto"/>
        </w:rPr>
      </w:pPr>
    </w:p>
    <w:p>
      <w:pPr>
        <w:ind w:left="980" w:right="680" w:hanging="324"/>
        <w:spacing w:after="0" w:line="258"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disruption of our business while we evaluate opportunities, complete acquisitions and develop and implement new business strategies to take advantage of these opportunities;</w:t>
      </w:r>
    </w:p>
    <w:p>
      <w:pPr>
        <w:spacing w:after="0" w:line="1" w:lineRule="exact"/>
        <w:rPr>
          <w:rFonts w:ascii="Arial" w:cs="Arial" w:eastAsia="Arial" w:hAnsi="Arial"/>
          <w:sz w:val="18"/>
          <w:szCs w:val="18"/>
          <w:color w:val="auto"/>
        </w:rPr>
      </w:pPr>
    </w:p>
    <w:p>
      <w:pPr>
        <w:ind w:left="980" w:right="300" w:hanging="324"/>
        <w:spacing w:after="0" w:line="250"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of our management to maximize our financial and strategic position by incorporating an acquired technology or business into our existing offerings;</w:t>
      </w:r>
    </w:p>
    <w:p>
      <w:pPr>
        <w:ind w:left="980" w:right="600" w:hanging="324"/>
        <w:spacing w:after="0" w:line="250"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achieve the cost savings and operating synergies anticipated in the acquisition, which would prevent us from achieving the positive earnings gains expected as a result of the acquisition;</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of maintaining uniform standards, controls, procedures and policies;</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 demonstrating to our customers that the acquisition will not result in adverse changes in customer service standards or business focus;</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 matters;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of assimilating the operations and personnel of acquired businesses;</w:t>
      </w:r>
    </w:p>
    <w:p>
      <w:pPr>
        <w:spacing w:after="0" w:line="9" w:lineRule="exact"/>
        <w:rPr>
          <w:rFonts w:ascii="Arial" w:cs="Arial" w:eastAsia="Arial" w:hAnsi="Arial"/>
          <w:sz w:val="18"/>
          <w:szCs w:val="18"/>
          <w:color w:val="auto"/>
        </w:rPr>
      </w:pPr>
    </w:p>
    <w:p>
      <w:pPr>
        <w:ind w:left="980" w:right="440" w:hanging="324"/>
        <w:spacing w:after="0" w:line="250"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 the impairment of relationships with employees and customers as a result of changes in management; and</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uncertainty as to the long-term success of any acquisitions we may make including the impact on contingent liabilities.</w:t>
      </w:r>
    </w:p>
    <w:p>
      <w:pPr>
        <w:spacing w:after="0" w:line="157" w:lineRule="exact"/>
        <w:rPr>
          <w:sz w:val="20"/>
          <w:szCs w:val="20"/>
          <w:color w:val="auto"/>
        </w:rPr>
      </w:pPr>
    </w:p>
    <w:p>
      <w:pPr>
        <w:ind w:firstLine="389"/>
        <w:spacing w:after="0" w:line="296" w:lineRule="auto"/>
        <w:rPr>
          <w:sz w:val="20"/>
          <w:szCs w:val="20"/>
          <w:color w:val="auto"/>
        </w:rPr>
      </w:pPr>
      <w:r>
        <w:rPr>
          <w:rFonts w:ascii="Arial" w:cs="Arial" w:eastAsia="Arial" w:hAnsi="Arial"/>
          <w:sz w:val="16"/>
          <w:szCs w:val="16"/>
          <w:color w:val="auto"/>
        </w:rPr>
        <w:t>There is no assurance that any completed acquisition will be accretive to our margins or profits in the short term or in the long term. If we proceed with one or more significant acquisitions in which the consideration consists of cash, a substantial portion of our available cash could be used to consummate the acquisitions. If we consummate one or more acquisitions in which the consideration consists of capital stock, our stockholders could suffer significant dilution of their interest in us. In addition, we could incur or assume significant amounts of indebtedness in connection with acquisitions. Further, acquisitions could also result in significant goodwill and/or amortization charges for acquired businesses or technologies.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additional capital which we may require to expand our business could curtail our growth.</w:t>
      </w:r>
    </w:p>
    <w:p>
      <w:pPr>
        <w:spacing w:after="0" w:line="171" w:lineRule="exact"/>
        <w:rPr>
          <w:sz w:val="20"/>
          <w:szCs w:val="20"/>
          <w:color w:val="auto"/>
        </w:rPr>
      </w:pPr>
    </w:p>
    <w:p>
      <w:pPr>
        <w:ind w:right="380" w:firstLine="389"/>
        <w:spacing w:after="0" w:line="277" w:lineRule="auto"/>
        <w:rPr>
          <w:sz w:val="20"/>
          <w:szCs w:val="20"/>
          <w:color w:val="auto"/>
        </w:rPr>
      </w:pPr>
      <w:r>
        <w:rPr>
          <w:rFonts w:ascii="Arial" w:cs="Arial" w:eastAsia="Arial" w:hAnsi="Arial"/>
          <w:sz w:val="18"/>
          <w:szCs w:val="18"/>
          <w:color w:val="auto"/>
        </w:rPr>
        <w:t>We may require additional capital to expand our business. If cash generated internally is insufficient to fund capital requirements, we will require additional debt or equity financing. In addition, we may require financing to fund any significant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3" w:name="page24"/>
    <w:bookmarkEnd w:id="23"/>
    <w:p>
      <w:pPr>
        <w:jc w:val="both"/>
        <w:ind w:right="180"/>
        <w:spacing w:after="0" w:line="259" w:lineRule="auto"/>
        <w:rPr>
          <w:sz w:val="20"/>
          <w:szCs w:val="20"/>
          <w:color w:val="auto"/>
        </w:rPr>
      </w:pPr>
      <w:r>
        <w:rPr>
          <w:rFonts w:ascii="Arial" w:cs="Arial" w:eastAsia="Arial" w:hAnsi="Arial"/>
          <w:sz w:val="18"/>
          <w:szCs w:val="18"/>
          <w:color w:val="auto"/>
        </w:rPr>
        <w:t>acquisitions we may seek to make. Needed financing may not be available or, if available, may not be available on terms satisfactory to us and may result in significant stockholder dilution. Covenants in our existing financing agreements may also restrict our ability to obtain additional debt financing. If we fail to obtain sufficient additional capital in the future, we could be forced to curtail our growth strategy by reducing or delaying capital expenditures and acquisitions, selling assets, restructuring our operations or refinancing our indebtedness.</w:t>
      </w:r>
    </w:p>
    <w:p>
      <w:pPr>
        <w:spacing w:after="0" w:line="133" w:lineRule="exact"/>
        <w:rPr>
          <w:sz w:val="20"/>
          <w:szCs w:val="20"/>
          <w:color w:val="auto"/>
        </w:rPr>
      </w:pPr>
    </w:p>
    <w:p>
      <w:pPr>
        <w:ind w:right="920"/>
        <w:spacing w:after="0" w:line="381" w:lineRule="auto"/>
        <w:rPr>
          <w:sz w:val="20"/>
          <w:szCs w:val="20"/>
          <w:color w:val="auto"/>
        </w:rPr>
      </w:pPr>
      <w:r>
        <w:rPr>
          <w:rFonts w:ascii="Arial" w:cs="Arial" w:eastAsia="Arial" w:hAnsi="Arial"/>
          <w:sz w:val="15"/>
          <w:szCs w:val="15"/>
          <w:b w:val="1"/>
          <w:bCs w:val="1"/>
          <w:i w:val="1"/>
          <w:iCs w:val="1"/>
          <w:color w:val="auto"/>
        </w:rPr>
        <w:t>We may never realize the expected benefits from the divestiture of our Fluid Management business. In addition, the divestiture of our Fluid Management business entails significant personnel, systems and infrastructure changes that could cause operational disruptions.</w:t>
      </w:r>
    </w:p>
    <w:p>
      <w:pPr>
        <w:spacing w:after="0" w:line="46" w:lineRule="exact"/>
        <w:rPr>
          <w:sz w:val="20"/>
          <w:szCs w:val="20"/>
          <w:color w:val="auto"/>
        </w:rPr>
      </w:pPr>
    </w:p>
    <w:p>
      <w:pPr>
        <w:ind w:right="160" w:firstLine="389"/>
        <w:spacing w:after="0" w:line="270" w:lineRule="auto"/>
        <w:rPr>
          <w:sz w:val="20"/>
          <w:szCs w:val="20"/>
          <w:color w:val="auto"/>
        </w:rPr>
      </w:pPr>
      <w:r>
        <w:rPr>
          <w:rFonts w:ascii="Arial" w:cs="Arial" w:eastAsia="Arial" w:hAnsi="Arial"/>
          <w:sz w:val="17"/>
          <w:szCs w:val="17"/>
          <w:color w:val="auto"/>
        </w:rPr>
        <w:t>The divestiture of our Fluid Management business is part of a strategy to transform ourselves into a high growth, highly profitable, medical technology company. If we are unable to achieve our growth and profitability objectives due to competition, lack of acceptance of our products, failure to generate favorable clinical data or gain regulatory approvals, or other risks as described in this section, or due to other events, we will not be successful in transforming our business and may not see the appropriate market valuation. Moreover, our Fluid Management business generated substantial revenue, earnings and cash flow, which we have not replaced. While over time we expect to replace this revenue and cash flow by investing in, acquiring and accelerating higher margin revenue streams, there is a risk we will be unable to replace the revenue, earnings and cash flow that our Fluid Management business generated, or that the cost of such will be higher than expected. If we are unable to achieve our profit and growth objectives, such failure will be exacerbated by the loss of revenue, earnings and cash flow generated by our divested Fluid Management business, and could materially impact our financial position and results of operations, resulting in a decline in our stock price.</w:t>
      </w:r>
    </w:p>
    <w:p>
      <w:pPr>
        <w:spacing w:after="0" w:line="127" w:lineRule="exact"/>
        <w:rPr>
          <w:sz w:val="20"/>
          <w:szCs w:val="20"/>
          <w:color w:val="auto"/>
        </w:rPr>
      </w:pPr>
    </w:p>
    <w:p>
      <w:pPr>
        <w:ind w:right="140" w:firstLine="389"/>
        <w:spacing w:after="0" w:line="272" w:lineRule="auto"/>
        <w:rPr>
          <w:sz w:val="20"/>
          <w:szCs w:val="20"/>
          <w:color w:val="auto"/>
        </w:rPr>
      </w:pPr>
      <w:r>
        <w:rPr>
          <w:rFonts w:ascii="Arial" w:cs="Arial" w:eastAsia="Arial" w:hAnsi="Arial"/>
          <w:sz w:val="17"/>
          <w:szCs w:val="17"/>
          <w:color w:val="auto"/>
        </w:rPr>
        <w:t>The sale of our Fluid Management business required us to restructure significant personnel, systems and infrastructure. As part of this process, many long-term employees with valuable institutional knowledge were transitioned to Medline, and key systems were replicated or relocated across both companies. In some instances, existing processes and systems could not be fully replicated, requiring that we enter into short term transition service arrangements with Medline, and vice versa, under which the parties perform certain services for each other pending establishment of new processes and systems. Although these transitions were thoroughly planned, it is not unlikely in a transaction of this complexity that disruptions could occur. If disruptions to our financial controls, IT, administrative support, manufacturing or regulatory processes occur, and if such disruptions prove to be more severe than our planning anticipated, this could have a material adverse effect on our business.</w:t>
      </w:r>
    </w:p>
    <w:p>
      <w:pPr>
        <w:spacing w:after="0" w:line="12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International and national economic and industry conditions constantly change, and could materially and adversely affect our business, financial condition and results of operations.</w:t>
      </w:r>
    </w:p>
    <w:p>
      <w:pPr>
        <w:spacing w:after="0" w:line="116" w:lineRule="exact"/>
        <w:rPr>
          <w:sz w:val="20"/>
          <w:szCs w:val="20"/>
          <w:color w:val="auto"/>
        </w:rPr>
      </w:pPr>
    </w:p>
    <w:p>
      <w:pPr>
        <w:ind w:right="60" w:firstLine="389"/>
        <w:spacing w:after="0" w:line="271" w:lineRule="auto"/>
        <w:rPr>
          <w:sz w:val="20"/>
          <w:szCs w:val="20"/>
          <w:color w:val="auto"/>
        </w:rPr>
      </w:pPr>
      <w:r>
        <w:rPr>
          <w:rFonts w:ascii="Arial" w:cs="Arial" w:eastAsia="Arial" w:hAnsi="Arial"/>
          <w:sz w:val="17"/>
          <w:szCs w:val="17"/>
          <w:color w:val="auto"/>
        </w:rPr>
        <w:t>Our business, financial condition and results of operation are affected by many changing economic, industry and other conditions beyond our control. Actual or potential changes in international, national, regional and local economic, business and financial conditions, including recession, inflation and trade protection measures, may negatively affect consumer preferences, perceptions, spending patterns or demographic trends, any of which could adversely affect our business, financial condition or results of operations. Our customers may experience financial difficulties or be unable to borrow money to fund their operations, which may adversely impact their ability or decision to purchase or pay for our products. Disruptions in the credit markets have previously resulted, and could again result, in volatility, decreased liquidity, widening of credit spreads, and reduced availability of financing. There can be no assurance that future financing will be available to us on acceptable terms, if at all. An inability to obtain necessary additional financing on acceptable terms may have an adverse impact on us and on our ability to execute on our business plan.</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a variety of market and financial risks due to our international operations that could adversely affect those operations or our profitability and operating results.</w:t>
      </w:r>
    </w:p>
    <w:p>
      <w:pPr>
        <w:spacing w:after="0" w:line="116" w:lineRule="exact"/>
        <w:rPr>
          <w:sz w:val="20"/>
          <w:szCs w:val="20"/>
          <w:color w:val="auto"/>
        </w:rPr>
      </w:pPr>
    </w:p>
    <w:p>
      <w:pPr>
        <w:ind w:right="100" w:firstLine="389"/>
        <w:spacing w:after="0" w:line="275" w:lineRule="auto"/>
        <w:rPr>
          <w:sz w:val="20"/>
          <w:szCs w:val="20"/>
          <w:color w:val="auto"/>
        </w:rPr>
      </w:pPr>
      <w:r>
        <w:rPr>
          <w:rFonts w:ascii="Arial" w:cs="Arial" w:eastAsia="Arial" w:hAnsi="Arial"/>
          <w:sz w:val="17"/>
          <w:szCs w:val="17"/>
          <w:color w:val="auto"/>
        </w:rPr>
        <w:t>Our stock is traded on the NASDAQ Global Select Market and we are a global Company. Operations in countries outside of the U.S., which account for approximately 21% percent of our net sales for the fiscal year ended May 31, 2020, are accompanied by certain financial and other risks that would not be faced by a company operating purely within the U.S. We intend to continue to pursue growth opportunities in sales outside the U.S., especially in emerging markets, which could expose us to greater risks associated with international sales and operations. Our profitability and international operations are, and will continue to be, subject to a number of risks and potential costs, including:</w:t>
      </w:r>
    </w:p>
    <w:p>
      <w:pPr>
        <w:spacing w:after="0" w:line="12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healthcare reform legislation;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multiple non-U.S. regulatory requirement that are subject to change and could restrict our ability to manufacture and sell our products;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product preferences and product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longer-term receivables than are typical in the U.S.;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intellectual property protection in some countries outside the U.S. than exists in the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labor regulations and workforce instability;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payment of U.S. income taxes on earnings of certain foreign subsidiaries subject to U.S. taxation upon repatriation;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expiration and non-renewal of foreign tax rulings;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negative consequences from changes in or interpretation of tax laws;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instability and inflation, recession or interest rate fluctuations: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United Kingdom’s exit from the European Union (EU) (commonly referred to as “Brexit”) on January 31, 2020.</w:t>
      </w:r>
    </w:p>
    <w:p>
      <w:pPr>
        <w:spacing w:after="0" w:line="238" w:lineRule="exact"/>
        <w:rPr>
          <w:sz w:val="20"/>
          <w:szCs w:val="20"/>
          <w:color w:val="auto"/>
        </w:rPr>
      </w:pPr>
    </w:p>
    <w:p>
      <w:pPr>
        <w:jc w:val="both"/>
        <w:ind w:right="180" w:firstLine="389"/>
        <w:spacing w:after="0" w:line="286" w:lineRule="auto"/>
        <w:rPr>
          <w:sz w:val="20"/>
          <w:szCs w:val="20"/>
          <w:color w:val="auto"/>
        </w:rPr>
      </w:pPr>
      <w:r>
        <w:rPr>
          <w:rFonts w:ascii="Arial" w:cs="Arial" w:eastAsia="Arial" w:hAnsi="Arial"/>
          <w:sz w:val="17"/>
          <w:szCs w:val="17"/>
          <w:color w:val="auto"/>
        </w:rPr>
        <w:t>There are recent legislative proposals to tax profits of U.S. affiliates which are earned abroad. While it is impossible for us to predict whether these and other proposals will be implemented, or how they will ultimately impact us, they may materially impact our results of operations if, for example, our profits earned abroad are subject to U.S. income tax, or we are otherwise disallowed deductions as a result of these profits.</w:t>
      </w:r>
    </w:p>
    <w:p>
      <w:pPr>
        <w:spacing w:after="0" w:line="111" w:lineRule="exact"/>
        <w:rPr>
          <w:sz w:val="20"/>
          <w:szCs w:val="20"/>
          <w:color w:val="auto"/>
        </w:rPr>
      </w:pPr>
    </w:p>
    <w:p>
      <w:pPr>
        <w:ind w:right="160" w:firstLine="389"/>
        <w:spacing w:after="0" w:line="263" w:lineRule="auto"/>
        <w:rPr>
          <w:sz w:val="20"/>
          <w:szCs w:val="20"/>
          <w:color w:val="auto"/>
        </w:rPr>
      </w:pPr>
      <w:r>
        <w:rPr>
          <w:rFonts w:ascii="Arial" w:cs="Arial" w:eastAsia="Arial" w:hAnsi="Arial"/>
          <w:sz w:val="18"/>
          <w:szCs w:val="18"/>
          <w:color w:val="auto"/>
        </w:rPr>
        <w:t>Finally, changes in currency exchange rates may reduce the reported value of our revenues outside the U.S, net of expenses, and cash flows. We cannot predict changes in currency exchange rates, the impact of exchange rate changes, nor the degree to which we will be able to manage the impact of currency exchange rate changes.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Kingdom’s departure from the EU, or Brexit, could adversely affect us.</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June 2016, the U.K. held a referendum in which voters approved an exit from the EU, commonly referred to as Brexit. On January 24, 2020, the U.K. Parliament approved a withdrawal agreement (the “Withdrawal Agreement”) between the U.K. and the EU. On January 31, 2020, the U.K. exited the European Union and under the Withdrawal Agreement, the U.K. is subject to an eleven-month transition period (the “Transition Period”) by which to leave the single market and customs union.</w:t>
      </w:r>
    </w:p>
    <w:p>
      <w:pPr>
        <w:spacing w:after="0" w:line="214" w:lineRule="exact"/>
        <w:rPr>
          <w:sz w:val="20"/>
          <w:szCs w:val="20"/>
          <w:color w:val="auto"/>
        </w:rPr>
      </w:pPr>
    </w:p>
    <w:p>
      <w:pPr>
        <w:ind w:right="20" w:firstLine="389"/>
        <w:spacing w:after="0" w:line="257" w:lineRule="auto"/>
        <w:rPr>
          <w:sz w:val="20"/>
          <w:szCs w:val="20"/>
          <w:color w:val="auto"/>
        </w:rPr>
      </w:pPr>
      <w:r>
        <w:rPr>
          <w:rFonts w:ascii="Arial" w:cs="Arial" w:eastAsia="Arial" w:hAnsi="Arial"/>
          <w:sz w:val="18"/>
          <w:szCs w:val="18"/>
          <w:color w:val="auto"/>
        </w:rPr>
        <w:t>The uncertainty concerning the U.K.’s legal, political and economic relationship with the EU after the Transition Period could contribute to instability in global financial and foreign exchange markets, including volatility in the value of the British Pound Sterling and Euro, which in turn could adversely affect us or our customers and companies that do business with us. Such uncertainties could also trigger a general deterioration in credit conditions, a downturn in consumer sentiment and overall negative economic growth. Any of these scenarios could have an adverse effect on our business or our customers.</w:t>
      </w:r>
    </w:p>
    <w:p>
      <w:pPr>
        <w:spacing w:after="0" w:line="134" w:lineRule="exact"/>
        <w:rPr>
          <w:sz w:val="20"/>
          <w:szCs w:val="20"/>
          <w:color w:val="auto"/>
        </w:rPr>
      </w:pPr>
    </w:p>
    <w:p>
      <w:pPr>
        <w:ind w:right="300" w:firstLine="389"/>
        <w:spacing w:after="0" w:line="275" w:lineRule="auto"/>
        <w:rPr>
          <w:sz w:val="20"/>
          <w:szCs w:val="20"/>
          <w:color w:val="auto"/>
        </w:rPr>
      </w:pPr>
      <w:r>
        <w:rPr>
          <w:rFonts w:ascii="Arial" w:cs="Arial" w:eastAsia="Arial" w:hAnsi="Arial"/>
          <w:sz w:val="17"/>
          <w:szCs w:val="17"/>
          <w:color w:val="auto"/>
        </w:rPr>
        <w:t>If the U.K. and the EU are unable to negotiate acceptable trading and customs terms, barrier-free access between the U.K. and other EU member states could be diminished or eliminated. The long-term effects of Brexit will depend on any agreements (or lack thereof) between the U.K. and the EU and, in particular, any arrangements for the U.K. to retain access to EU markets after the Transition Period. Such a withdrawal from the EU is unprecedented, and it is unclear how the U.K.’s access to the European single market for goods, capital, services and labor within the EU and the wider commercial, legal and regulatory environment, will impact our U.K. operations.</w:t>
      </w:r>
    </w:p>
    <w:p>
      <w:pPr>
        <w:spacing w:after="0" w:line="122" w:lineRule="exact"/>
        <w:rPr>
          <w:sz w:val="20"/>
          <w:szCs w:val="20"/>
          <w:color w:val="auto"/>
        </w:rPr>
      </w:pPr>
    </w:p>
    <w:p>
      <w:pPr>
        <w:ind w:firstLine="389"/>
        <w:spacing w:after="0" w:line="308" w:lineRule="auto"/>
        <w:rPr>
          <w:sz w:val="20"/>
          <w:szCs w:val="20"/>
          <w:color w:val="auto"/>
        </w:rPr>
      </w:pPr>
      <w:r>
        <w:rPr>
          <w:rFonts w:ascii="Arial" w:cs="Arial" w:eastAsia="Arial" w:hAnsi="Arial"/>
          <w:sz w:val="17"/>
          <w:szCs w:val="17"/>
          <w:color w:val="auto"/>
        </w:rPr>
        <w:t>In addition, Brexit could lead to legal uncertainty and increased complexity as national laws and regulations in the U.K. start to diverge from EU laws and regulations. In particular, depending on the terms of Brexit, we may face new regulatory costs and challenges, including the following:</w:t>
      </w:r>
    </w:p>
    <w:p>
      <w:pPr>
        <w:spacing w:after="0" w:line="92" w:lineRule="exact"/>
        <w:rPr>
          <w:sz w:val="20"/>
          <w:szCs w:val="20"/>
          <w:color w:val="auto"/>
        </w:rPr>
      </w:pPr>
    </w:p>
    <w:p>
      <w:pPr>
        <w:jc w:val="both"/>
        <w:ind w:left="980" w:right="140" w:hanging="324"/>
        <w:spacing w:after="0" w:line="255"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utilize appropriate authorizations and regulator permissions, our U.K. and EU-based operations could lose their ability to offer services on a cross-border basis into the U.K. market and for our U.K. based operations to offer services on a cross-border basis in the EU market;</w:t>
      </w:r>
    </w:p>
    <w:p>
      <w:pPr>
        <w:spacing w:after="0" w:line="2" w:lineRule="exact"/>
        <w:rPr>
          <w:rFonts w:ascii="Arial" w:cs="Arial" w:eastAsia="Arial" w:hAnsi="Arial"/>
          <w:sz w:val="18"/>
          <w:szCs w:val="18"/>
          <w:color w:val="auto"/>
        </w:rPr>
      </w:pPr>
    </w:p>
    <w:p>
      <w:pPr>
        <w:ind w:left="980" w:right="160" w:hanging="324"/>
        <w:spacing w:after="0" w:line="265" w:lineRule="auto"/>
        <w:tabs>
          <w:tab w:leader="none" w:pos="9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could be required to obtain additional regulatory permissions to operate in the U.K. and EU market, adding costs and potential inconsistency to our business (and, depending on the capacity of the U.K. authorities, the criteria for obtaining permission, and any possible transitional arrangements, there is a risk that our business in the U.K. could be materially affected or disrupted);</w:t>
      </w:r>
    </w:p>
    <w:p>
      <w:pPr>
        <w:ind w:left="980" w:right="78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required to comply with regulatory requirements in the U.K. that are in addition to, or inconsistent with, the regulatory requirements of the EU, leading to increased complexity and costs for our EU and U.K. operations; and</w:t>
      </w:r>
    </w:p>
    <w:p>
      <w:pPr>
        <w:ind w:left="980" w:hanging="324"/>
        <w:spacing w:after="0" w:line="26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the necessary human resources in appropriate locations to support the U.K. business and the EU business could be adversely impacted.</w:t>
      </w:r>
    </w:p>
    <w:p>
      <w:pPr>
        <w:spacing w:after="0" w:line="21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These and other factors related to Brexit could, individually or in the aggregate, have a material adverse impact on our business, financial condition, and results of operations.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b w:val="1"/>
          <w:bCs w:val="1"/>
          <w:i w:val="1"/>
          <w:iCs w:val="1"/>
          <w:color w:val="auto"/>
        </w:rPr>
        <w:t>Continuing worldwide economic instability, including challenges faced by the Eurozone countries, could adversely affect our revenues, financial condition or results of operations.</w:t>
      </w:r>
    </w:p>
    <w:p>
      <w:pPr>
        <w:spacing w:after="0" w:line="116" w:lineRule="exact"/>
        <w:rPr>
          <w:sz w:val="20"/>
          <w:szCs w:val="20"/>
          <w:color w:val="auto"/>
        </w:rPr>
      </w:pPr>
    </w:p>
    <w:p>
      <w:pPr>
        <w:ind w:firstLine="389"/>
        <w:spacing w:after="0" w:line="255" w:lineRule="auto"/>
        <w:rPr>
          <w:sz w:val="20"/>
          <w:szCs w:val="20"/>
          <w:color w:val="auto"/>
        </w:rPr>
      </w:pPr>
      <w:r>
        <w:rPr>
          <w:rFonts w:ascii="Arial" w:cs="Arial" w:eastAsia="Arial" w:hAnsi="Arial"/>
          <w:sz w:val="18"/>
          <w:szCs w:val="18"/>
          <w:color w:val="auto"/>
        </w:rPr>
        <w:t>Since fiscal year 2008, the global economy has been impacted by the sequential effects of an ongoing global financial crisis. There can be no assurance that there will not be further deterioration in the global economy. Our customers and vendors may experience financial difficulties or be unable to borrow money to fund their operations which may adversely impact their ability to purchase our products or to pay for our products on a timely basis, if at all. As with our customers and vendors, these economic conditions make it more difficult for us to accurately forecast and plan our future business activities. In addition, trade receivables are in many countries. Repayment of these receivables is dependent upon the financial stability of the economies of those countries.</w:t>
      </w:r>
    </w:p>
    <w:p>
      <w:pPr>
        <w:spacing w:after="0" w:line="138" w:lineRule="exact"/>
        <w:rPr>
          <w:sz w:val="20"/>
          <w:szCs w:val="20"/>
          <w:color w:val="auto"/>
        </w:rPr>
      </w:pPr>
    </w:p>
    <w:p>
      <w:pPr>
        <w:ind w:right="100" w:firstLine="389"/>
        <w:spacing w:after="0" w:line="275" w:lineRule="auto"/>
        <w:rPr>
          <w:sz w:val="20"/>
          <w:szCs w:val="20"/>
          <w:color w:val="auto"/>
        </w:rPr>
      </w:pPr>
      <w:r>
        <w:rPr>
          <w:rFonts w:ascii="Arial" w:cs="Arial" w:eastAsia="Arial" w:hAnsi="Arial"/>
          <w:sz w:val="17"/>
          <w:szCs w:val="17"/>
          <w:color w:val="auto"/>
        </w:rPr>
        <w:t>In light of these global economic fluctuations, we continue to monitor the creditworthiness of customers located outside the U.S. Failure to receive payment of all or a significant portion of these receivables could adversely affect our results of operations. Further, there are concerns for the overall stability and suitability of the Euro as a single currency, given the economic and political challenges facing individual Eurozone countries. Continuing deterioration in the creditworthiness of the Eurozone countries, the withdrawal of one or more member countries from the EU, or the failure of the Euro as a common European currency could adversely affect our revenues, financial condition or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71" w:lineRule="exact"/>
        <w:rPr>
          <w:sz w:val="20"/>
          <w:szCs w:val="20"/>
          <w:color w:val="auto"/>
        </w:rPr>
      </w:pPr>
    </w:p>
    <w:p>
      <w:pPr>
        <w:ind w:right="140" w:firstLine="389"/>
        <w:spacing w:after="0" w:line="257" w:lineRule="auto"/>
        <w:rPr>
          <w:sz w:val="20"/>
          <w:szCs w:val="20"/>
          <w:color w:val="auto"/>
        </w:rPr>
      </w:pPr>
      <w:r>
        <w:rPr>
          <w:rFonts w:ascii="Arial" w:cs="Arial" w:eastAsia="Arial" w:hAnsi="Arial"/>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For example, the spread of coronavirus may cause adverse impacts on global economic activity which could negatively impact our business. In addition, political and social turmoil may put further pressure on economic conditions in the United States and abroad.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lose the services of our key personnel.</w:t>
      </w:r>
    </w:p>
    <w:p>
      <w:pPr>
        <w:spacing w:after="0" w:line="171" w:lineRule="exact"/>
        <w:rPr>
          <w:sz w:val="20"/>
          <w:szCs w:val="20"/>
          <w:color w:val="auto"/>
        </w:rPr>
      </w:pPr>
    </w:p>
    <w:p>
      <w:pPr>
        <w:ind w:right="120" w:firstLine="389"/>
        <w:spacing w:after="0" w:line="275" w:lineRule="auto"/>
        <w:rPr>
          <w:sz w:val="20"/>
          <w:szCs w:val="20"/>
          <w:color w:val="auto"/>
        </w:rPr>
      </w:pPr>
      <w:r>
        <w:rPr>
          <w:rFonts w:ascii="Arial" w:cs="Arial" w:eastAsia="Arial" w:hAnsi="Arial"/>
          <w:sz w:val="17"/>
          <w:szCs w:val="17"/>
          <w:color w:val="auto"/>
        </w:rPr>
        <w:t>Our business depends upon our ability to attract and retain highly qualified personnel, including managerial, sales and technical personnel. We compete for key personnel with other companies, healthcare institutions, academic institutions, government entities and other organizations. We do not have written employment agreements with our executive officers, other than the CEO. Our ability to maintain and expand our business may be impaired if we are unable to retain our current key personnel or hire or retain other qualified personnel in the future. In addition, our sales force is highly talented and there is competition in the sales industry which could have an adverse effect on our business if there is significant turnover.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profitably, our business, financial results and stock price could suffer.</w:t>
      </w:r>
    </w:p>
    <w:p>
      <w:pPr>
        <w:spacing w:after="0" w:line="171" w:lineRule="exact"/>
        <w:rPr>
          <w:sz w:val="20"/>
          <w:szCs w:val="20"/>
          <w:color w:val="auto"/>
        </w:rPr>
      </w:pPr>
    </w:p>
    <w:p>
      <w:pPr>
        <w:ind w:right="100" w:firstLine="389"/>
        <w:spacing w:after="0" w:line="259" w:lineRule="auto"/>
        <w:rPr>
          <w:sz w:val="20"/>
          <w:szCs w:val="20"/>
          <w:color w:val="auto"/>
        </w:rPr>
      </w:pPr>
      <w:r>
        <w:rPr>
          <w:rFonts w:ascii="Arial" w:cs="Arial" w:eastAsia="Arial" w:hAnsi="Arial"/>
          <w:sz w:val="18"/>
          <w:szCs w:val="18"/>
          <w:color w:val="auto"/>
        </w:rPr>
        <w:t>Our future financial results will depend in part on our ability to profitably manage our growth. Management will need to maintain existing customers and attract new customers, recruit, retain and effectively manage employees, as well as expand operations and integrate customer support and financial control systems. If integration</w:t>
      </w:r>
      <w:r>
        <w:rPr>
          <w:rFonts w:ascii="Arial" w:cs="Arial" w:eastAsia="Arial" w:hAnsi="Arial"/>
          <w:sz w:val="18"/>
          <w:szCs w:val="18"/>
          <w:i w:val="1"/>
          <w:iCs w:val="1"/>
          <w:color w:val="auto"/>
        </w:rPr>
        <w:t>-</w:t>
      </w:r>
      <w:r>
        <w:rPr>
          <w:rFonts w:ascii="Arial" w:cs="Arial" w:eastAsia="Arial" w:hAnsi="Arial"/>
          <w:sz w:val="18"/>
          <w:szCs w:val="18"/>
          <w:color w:val="auto"/>
        </w:rPr>
        <w:t>related expenses and capital expenditure requirements are greater than anticipated or if we are unable to manage our growth profitably, our financial results and the market price of our common stock may decline.</w:t>
      </w:r>
    </w:p>
    <w:p>
      <w:pPr>
        <w:spacing w:after="0" w:line="133" w:lineRule="exact"/>
        <w:rPr>
          <w:sz w:val="20"/>
          <w:szCs w:val="20"/>
          <w:color w:val="auto"/>
        </w:rPr>
      </w:pPr>
    </w:p>
    <w:p>
      <w:pPr>
        <w:ind w:right="60" w:firstLine="389"/>
        <w:spacing w:after="0" w:line="293" w:lineRule="auto"/>
        <w:rPr>
          <w:sz w:val="20"/>
          <w:szCs w:val="20"/>
          <w:color w:val="auto"/>
        </w:rPr>
      </w:pPr>
      <w:r>
        <w:rPr>
          <w:rFonts w:ascii="Arial" w:cs="Arial" w:eastAsia="Arial" w:hAnsi="Arial"/>
          <w:sz w:val="16"/>
          <w:szCs w:val="16"/>
          <w:color w:val="auto"/>
        </w:rPr>
        <w:t>In recent years we have begun to implement our operational excellence initiatives which include a number of restructuring, realignment and cost reduction initiatives. While we have realized some efficiencies from these actions, we may not realize the benefits of these initiatives to the extent we anticipated. Further, such benefits may be realized later than expected, and the ongoing difficulties in implementing these measures may be greater than anticipated, which could cause us to incur additional costs or result in business disruptions. In addition, if these measures are not successful or sustainable, we may undertake additional realignment and cost reduction efforts, which could result in significant additional charges. Moreover, if our restructuring and realignment efforts prove ineffective, our ability to achieve our other strategic goals and business plans may be adversely affected.</w:t>
      </w:r>
    </w:p>
    <w:p>
      <w:pPr>
        <w:spacing w:after="0" w:line="1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may incur indebtedness which could impose operating and financial restrictions on us as a result of debt service obligations which could significantly limit our ability to execute our business strategy.</w:t>
      </w:r>
    </w:p>
    <w:p>
      <w:pPr>
        <w:spacing w:after="0" w:line="116" w:lineRule="exact"/>
        <w:rPr>
          <w:sz w:val="20"/>
          <w:szCs w:val="20"/>
          <w:color w:val="auto"/>
        </w:rPr>
      </w:pPr>
    </w:p>
    <w:p>
      <w:pPr>
        <w:ind w:right="80" w:firstLine="389"/>
        <w:spacing w:after="0" w:line="259" w:lineRule="auto"/>
        <w:rPr>
          <w:sz w:val="20"/>
          <w:szCs w:val="20"/>
          <w:color w:val="auto"/>
        </w:rPr>
      </w:pPr>
      <w:r>
        <w:rPr>
          <w:rFonts w:ascii="Arial" w:cs="Arial" w:eastAsia="Arial" w:hAnsi="Arial"/>
          <w:sz w:val="18"/>
          <w:szCs w:val="18"/>
          <w:color w:val="auto"/>
        </w:rPr>
        <w:t>We may incur indebtedness in the future subject to limitations contained in the agreements governing our debt. The interest rate on potential borrowings could be a floating rate which could expose us to the risk of increased interest expense in the future. The terms of a credit facility could require us to comply with certain financial maintenance covenants. In addition, the terms of our indebtedness could also include certain covenants restricting or limiting our ability to take certain actions.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26" w:name="page27"/>
    <w:bookmarkEnd w:id="26"/>
    <w:p>
      <w:pPr>
        <w:ind w:right="80" w:firstLine="389"/>
        <w:spacing w:after="0" w:line="263" w:lineRule="auto"/>
        <w:rPr>
          <w:sz w:val="20"/>
          <w:szCs w:val="20"/>
          <w:color w:val="auto"/>
        </w:rPr>
      </w:pPr>
      <w:r>
        <w:rPr>
          <w:rFonts w:ascii="Arial" w:cs="Arial" w:eastAsia="Arial" w:hAnsi="Arial"/>
          <w:sz w:val="18"/>
          <w:szCs w:val="18"/>
          <w:color w:val="auto"/>
        </w:rPr>
        <w:t>These covenants could adversely affect our ability to finance future operations or limit our ability to pursue certain business opportunities or take certain corporate actions. The covenants could also restrict our flexibility in planning for changes in our business and the industry and could make us more vulnerable to economic downturns and adverse developments.</w:t>
      </w:r>
    </w:p>
    <w:p>
      <w:pPr>
        <w:spacing w:after="0" w:line="130" w:lineRule="exact"/>
        <w:rPr>
          <w:sz w:val="20"/>
          <w:szCs w:val="20"/>
          <w:color w:val="auto"/>
        </w:rPr>
      </w:pPr>
    </w:p>
    <w:p>
      <w:pPr>
        <w:ind w:right="80" w:firstLine="389"/>
        <w:spacing w:after="0" w:line="288" w:lineRule="auto"/>
        <w:rPr>
          <w:sz w:val="20"/>
          <w:szCs w:val="20"/>
          <w:color w:val="auto"/>
        </w:rPr>
      </w:pPr>
      <w:r>
        <w:rPr>
          <w:rFonts w:ascii="Arial" w:cs="Arial" w:eastAsia="Arial" w:hAnsi="Arial"/>
          <w:sz w:val="16"/>
          <w:szCs w:val="16"/>
          <w:color w:val="auto"/>
        </w:rPr>
        <w:t>Our ability to meet our cash requirements, including our debt service obligations, could be dependent upon our operating performance, which would be subject to general economic and competitive conditions and to financial, business and other factors affecting our operations, many of which could be beyond our control. We cannot provide assurance that our business operations would generate sufficient cash flows from operations to fund potential cash requirements and debt service obligations. If our operating results, cash flow or capital resources prove inadequate, we could face substantial liquidity problems and might be required to dispose of material assets or operations to meet our debt and other obligations. If we incurred indebtedness and were unable to service our debt, we could be forced to reduce or delay planned expansions and capital expenditures, sell assets, restructure or refinance our debt or seek additional equity capital, and we could be unable to take any of these actions on satisfactory terms or in a timely manner. Further, any of these actions may not be sufficient to allow us to service our potential debt obligations or could have an adverse impact on our business. Our potential debt agreements could limit our ability to take certain of these actions. Our failure to generate sufficient operating cash flow to pay our potential debts or to successfully undertake any of these actions could have a material adverse effect on us.</w:t>
      </w:r>
    </w:p>
    <w:p>
      <w:pPr>
        <w:spacing w:after="0" w:line="114" w:lineRule="exact"/>
        <w:rPr>
          <w:sz w:val="20"/>
          <w:szCs w:val="20"/>
          <w:color w:val="auto"/>
        </w:rPr>
      </w:pPr>
    </w:p>
    <w:p>
      <w:pPr>
        <w:ind w:firstLine="389"/>
        <w:spacing w:after="0" w:line="275" w:lineRule="auto"/>
        <w:rPr>
          <w:sz w:val="20"/>
          <w:szCs w:val="20"/>
          <w:color w:val="auto"/>
        </w:rPr>
      </w:pPr>
      <w:r>
        <w:rPr>
          <w:rFonts w:ascii="Arial" w:cs="Arial" w:eastAsia="Arial" w:hAnsi="Arial"/>
          <w:sz w:val="17"/>
          <w:szCs w:val="17"/>
          <w:color w:val="auto"/>
        </w:rPr>
        <w:t>In addition, the degree to which we are leveraged as a result of potential indebtedness incurred in connection with an acquisition or otherwise could materially and adversely affect our ability to obtain additional financing for working capital, capital expenditures, acquisitions, debt service requirements or other purposes, could make us more vulnerable to general adverse economic, regulatory and industry conditions, could limit our flexibility in planning for, or reacting to, changes and opportunities in the markets in which we compete, could place us at a competitive disadvantage compared to our competitors that have less debt or could require us to dedicate a substantial portion of our cash flow to service our debt.</w:t>
      </w:r>
    </w:p>
    <w:p>
      <w:pPr>
        <w:spacing w:after="0" w:line="12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international sales and operations are subject to risks and uncertainties that vary by country and could have a material adverse effect on our business and/or results of operations.</w:t>
      </w:r>
    </w:p>
    <w:p>
      <w:pPr>
        <w:spacing w:after="0" w:line="116" w:lineRule="exact"/>
        <w:rPr>
          <w:sz w:val="20"/>
          <w:szCs w:val="20"/>
          <w:color w:val="auto"/>
        </w:rPr>
      </w:pPr>
    </w:p>
    <w:p>
      <w:pPr>
        <w:ind w:right="80" w:firstLine="389"/>
        <w:spacing w:after="0" w:line="273" w:lineRule="auto"/>
        <w:rPr>
          <w:sz w:val="20"/>
          <w:szCs w:val="20"/>
          <w:color w:val="auto"/>
        </w:rPr>
      </w:pPr>
      <w:r>
        <w:rPr>
          <w:rFonts w:ascii="Arial" w:cs="Arial" w:eastAsia="Arial" w:hAnsi="Arial"/>
          <w:sz w:val="17"/>
          <w:szCs w:val="17"/>
          <w:color w:val="auto"/>
        </w:rPr>
        <w:t>Sales outside the United States accounted for approximately 21% of our net sales during our fiscal year ended May 31, 2020. We anticipate that sales from international operations will continue to represent a significant portion of our total sales, and we intend to continue our expansion into emerging and/or faster-growing markets outside the United States. Our sales and profitability from our international operations are subject to risks and uncertainties that can vary by country, and include those related to political and economic conditions, foreign currency exchange rate fluctuations, changes in tax laws, regulatory and reimbursement programs and policies, and the protection of intellectual property rights. These risks and uncertainties could have a material adverse effect on our business and/or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may adversely affect our business, financial condition and results of operations.</w:t>
      </w:r>
    </w:p>
    <w:p>
      <w:pPr>
        <w:spacing w:after="0" w:line="171" w:lineRule="exact"/>
        <w:rPr>
          <w:sz w:val="20"/>
          <w:szCs w:val="20"/>
          <w:color w:val="auto"/>
        </w:rPr>
      </w:pPr>
    </w:p>
    <w:p>
      <w:pPr>
        <w:ind w:right="20" w:firstLine="389"/>
        <w:spacing w:after="0" w:line="257" w:lineRule="auto"/>
        <w:rPr>
          <w:sz w:val="20"/>
          <w:szCs w:val="20"/>
          <w:color w:val="auto"/>
        </w:rPr>
      </w:pPr>
      <w:r>
        <w:rPr>
          <w:rFonts w:ascii="Arial" w:cs="Arial" w:eastAsia="Arial" w:hAnsi="Arial"/>
          <w:sz w:val="18"/>
          <w:szCs w:val="18"/>
          <w:color w:val="auto"/>
        </w:rPr>
        <w:t>We are exposed to a variety of market risks, including the effects of changes in foreign currency exchange rates. Products manufactured in, and sold into, foreign markets represent a significant portion of our operations. When the United States dollar strengthens or weakens in relation to the foreign currencies of the countries in which we sell our products, such as the Euro, our United States dollar-reported revenue and income will fluctuate. The effects of currency rate fluctuations and changes in the relative values of currencies may, in some instances, have a significant effect on our business, financial condition, results of operations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goodwill, intangible assets and fixed assets are subject to potential impairment.</w:t>
      </w:r>
    </w:p>
    <w:p>
      <w:pPr>
        <w:spacing w:after="0" w:line="171" w:lineRule="exact"/>
        <w:rPr>
          <w:sz w:val="20"/>
          <w:szCs w:val="20"/>
          <w:color w:val="auto"/>
        </w:rPr>
      </w:pPr>
    </w:p>
    <w:p>
      <w:pPr>
        <w:ind w:firstLine="389"/>
        <w:spacing w:after="0" w:line="294" w:lineRule="auto"/>
        <w:rPr>
          <w:sz w:val="20"/>
          <w:szCs w:val="20"/>
          <w:color w:val="auto"/>
        </w:rPr>
      </w:pPr>
      <w:r>
        <w:rPr>
          <w:rFonts w:ascii="Arial" w:cs="Arial" w:eastAsia="Arial" w:hAnsi="Arial"/>
          <w:sz w:val="16"/>
          <w:szCs w:val="16"/>
          <w:color w:val="auto"/>
        </w:rPr>
        <w:t>A significant portion of our assets consists of goodwill, intangible assets and fixed assets, the carrying value of which may be reduced if we determine that those assets are impaired. Included in the intangible assets, are intangible assets from the recent acquisitions of Eximo Medical Ltd. for $60.3 million, BioSentry for $26.0 million, RadiaDyne (OARtrac, IsoLoc® and Alatus® balloons) for $25.6 million and C3 Wave tip location for $9.4 million.</w:t>
      </w:r>
    </w:p>
    <w:p>
      <w:pPr>
        <w:spacing w:after="0" w:line="174" w:lineRule="exact"/>
        <w:rPr>
          <w:sz w:val="20"/>
          <w:szCs w:val="20"/>
          <w:color w:val="auto"/>
        </w:rPr>
      </w:pPr>
    </w:p>
    <w:p>
      <w:pPr>
        <w:ind w:right="20" w:firstLine="389"/>
        <w:spacing w:after="0" w:line="271" w:lineRule="auto"/>
        <w:rPr>
          <w:sz w:val="20"/>
          <w:szCs w:val="20"/>
          <w:color w:val="auto"/>
        </w:rPr>
      </w:pPr>
      <w:r>
        <w:rPr>
          <w:rFonts w:ascii="Arial" w:cs="Arial" w:eastAsia="Arial" w:hAnsi="Arial"/>
          <w:sz w:val="17"/>
          <w:szCs w:val="17"/>
          <w:color w:val="auto"/>
        </w:rPr>
        <w:t>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quarterly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we test intangible assets for impairment based on estimates of future cash flows. When testing for impairment of definite-lived intangible assets held for use, the Company groups assets at the lowest level for which cash flows are separately identifiable. The Company operates as a single asset group. If an intangible asset is considered to be impaired, the amount of the impairment will equal the excess of the carrying value over the fair value of the asset.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7" w:name="page28"/>
    <w:bookmarkEnd w:id="27"/>
    <w:p>
      <w:pPr>
        <w:ind w:right="60" w:firstLine="389"/>
        <w:spacing w:after="0" w:line="272" w:lineRule="auto"/>
        <w:rPr>
          <w:sz w:val="20"/>
          <w:szCs w:val="20"/>
          <w:color w:val="auto"/>
        </w:rPr>
      </w:pPr>
      <w:r>
        <w:rPr>
          <w:rFonts w:ascii="Arial" w:cs="Arial" w:eastAsia="Arial" w:hAnsi="Arial"/>
          <w:sz w:val="17"/>
          <w:szCs w:val="17"/>
          <w:color w:val="auto"/>
        </w:rPr>
        <w:t>We review our single reporting unit for potential goodwill impairment in the third fiscal quarter of each year as part of our annual goodwill impairment testing, and more often if an event or circumstance occurs making it likely that impairment exists. We conduct impairment testing based on our current business strategy in light of present industry and economic conditions, as well as future expectations. The annual goodwill impairment review performed in December 2019 indicated no goodwill impairments. As a result of the current economic environment and the impact that the COVID-19 global pandemic has had on the global capital markets and the fact that the Company's market capitalization is below its reporting unit's carrying value as of May 31, 2020, the Company performed an interim test for goodwill impairment as of May 31, 2020. As a result of the interim impairment test, a $158.6 million goodwill impairment charge was recorded as of May 31, 2020.</w:t>
      </w:r>
    </w:p>
    <w:p>
      <w:pPr>
        <w:spacing w:after="0" w:line="123" w:lineRule="exact"/>
        <w:rPr>
          <w:sz w:val="20"/>
          <w:szCs w:val="20"/>
          <w:color w:val="auto"/>
        </w:rPr>
      </w:pPr>
    </w:p>
    <w:p>
      <w:pPr>
        <w:ind w:right="100" w:firstLine="389"/>
        <w:spacing w:after="0" w:line="277" w:lineRule="auto"/>
        <w:rPr>
          <w:sz w:val="20"/>
          <w:szCs w:val="20"/>
          <w:color w:val="auto"/>
        </w:rPr>
      </w:pPr>
      <w:r>
        <w:rPr>
          <w:rFonts w:ascii="Arial" w:cs="Arial" w:eastAsia="Arial" w:hAnsi="Arial"/>
          <w:sz w:val="18"/>
          <w:szCs w:val="18"/>
          <w:color w:val="auto"/>
        </w:rPr>
        <w:t>If actual results differ from the assumptions and estimates used in the goodwill and intangible asset calculations, we could incur future impairment or amortization charges, which could negatively impact our results of operations.</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recorded significant goodwill impairment charges and may be required to record additional charges to future earnings if our goodwill or intangible assets become impaired.</w:t>
      </w:r>
    </w:p>
    <w:p>
      <w:pPr>
        <w:spacing w:after="0" w:line="116" w:lineRule="exact"/>
        <w:rPr>
          <w:sz w:val="20"/>
          <w:szCs w:val="20"/>
          <w:color w:val="auto"/>
        </w:rPr>
      </w:pPr>
    </w:p>
    <w:p>
      <w:pPr>
        <w:ind w:right="20" w:firstLine="389"/>
        <w:spacing w:after="0" w:line="254" w:lineRule="auto"/>
        <w:rPr>
          <w:sz w:val="20"/>
          <w:szCs w:val="20"/>
          <w:color w:val="auto"/>
        </w:rPr>
      </w:pPr>
      <w:r>
        <w:rPr>
          <w:rFonts w:ascii="Arial" w:cs="Arial" w:eastAsia="Arial" w:hAnsi="Arial"/>
          <w:sz w:val="18"/>
          <w:szCs w:val="18"/>
          <w:color w:val="auto"/>
        </w:rPr>
        <w:t>We are required under generally accepted accounting principles to review our intangible assets for impairment when events or changes in circumstances indicate the carrying value may not be recoverable. Goodwill is required to be tested for impairment at least annually. Factors that may be considered a change in circumstances indicating that the carrying value of our intangible assets and/or goodwill may not be recoverable include a decline in stock price and market capitalization, slower growth rates in our industry or our own operations, and/or other materially adverse events that have implications on the profitability of our business. In fiscal year 2020, we recorded a goodwill impairment loss of $158.6 million. We may be required to record additional charges to earnings during the period in which any impairment of our goodwill or other intangible assets is determined which could adversely impact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limited in our ability to utilize, or may not be able to utilize, net operating loss carryforwards to reduce our future tax liability.</w:t>
      </w:r>
    </w:p>
    <w:p>
      <w:pPr>
        <w:spacing w:after="0" w:line="183" w:lineRule="exact"/>
        <w:rPr>
          <w:sz w:val="20"/>
          <w:szCs w:val="20"/>
          <w:color w:val="auto"/>
        </w:rPr>
      </w:pPr>
    </w:p>
    <w:p>
      <w:pPr>
        <w:ind w:right="20" w:firstLine="389"/>
        <w:spacing w:after="0" w:line="291" w:lineRule="auto"/>
        <w:rPr>
          <w:sz w:val="20"/>
          <w:szCs w:val="20"/>
          <w:color w:val="auto"/>
        </w:rPr>
      </w:pPr>
      <w:r>
        <w:rPr>
          <w:rFonts w:ascii="Arial" w:cs="Arial" w:eastAsia="Arial" w:hAnsi="Arial"/>
          <w:sz w:val="16"/>
          <w:szCs w:val="16"/>
          <w:color w:val="auto"/>
        </w:rPr>
        <w:t>IRC Section 382 and related provisions contain rules that limit for U.S. federal income tax purposes the ability of a Company that undergoes an “ownership change” to utilize its net operating loss carryforwards and certain other tax attributes existing as of the date of such ownership change. Our Federal net operating loss carryforwards as of May 31, 2020 after considering IRC Section 382 limitations are $112.3 million. The expiration of the Federal net operating loss carryforwards is as follows: $8.6 million between 2022 and 2023, $79.4 million between 2028 and 2037 and $24.3 million indefinitely. Our state net operating loss carryforwards as of May 31, 2020 after considering remaining IRC Section 382 limitations are $9.3 million which expire in various years from 2020 to 2040. Future ownership changes within the meaning of IRC Section 382 may also subject our tax loss carryforwards to annual limitations which would restrict our ability to use them to offset our taxable income in periods following the ownership changes.</w:t>
      </w:r>
    </w:p>
    <w:p>
      <w:pPr>
        <w:spacing w:after="0" w:line="112"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See Note 10 to our consolidated financial statements included in our Annual Report on Form 10-K for the fiscal year ended May 31, 2020 for a further discussion of our tax loss carryovers.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effective tax rate and changes to tax laws may adversely affect us.</w:t>
      </w:r>
    </w:p>
    <w:p>
      <w:pPr>
        <w:spacing w:after="0" w:line="171" w:lineRule="exact"/>
        <w:rPr>
          <w:sz w:val="20"/>
          <w:szCs w:val="20"/>
          <w:color w:val="auto"/>
        </w:rPr>
      </w:pPr>
    </w:p>
    <w:p>
      <w:pPr>
        <w:ind w:right="100" w:firstLine="389"/>
        <w:spacing w:after="0" w:line="273" w:lineRule="auto"/>
        <w:rPr>
          <w:sz w:val="20"/>
          <w:szCs w:val="20"/>
          <w:color w:val="auto"/>
        </w:rPr>
      </w:pPr>
      <w:r>
        <w:rPr>
          <w:rFonts w:ascii="Arial" w:cs="Arial" w:eastAsia="Arial" w:hAnsi="Arial"/>
          <w:sz w:val="17"/>
          <w:szCs w:val="17"/>
          <w:color w:val="auto"/>
        </w:rPr>
        <w:t>As an international company, we are subject to taxation in numerous countries, states and other jurisdictions. Our effective tax rate is derived from a combination of applicable tax rates in the various countries, states and other jurisdictions in which we operate. In preparing our financial statements, we estimate the amount of tax that will become payable in each of these jurisdictions. Our effective tax rate may, however, differ from the estimated amount due to numerous factors, including a change in the mix of our profitability from country to country and changes in tax laws. Any of these factors could cause us to experience an effective tax rate significantly different from previous periods or our current expectations, which could have an adverse effect on our business, financial condition and results of operations and cash flows.</w:t>
      </w:r>
    </w:p>
    <w:p>
      <w:pPr>
        <w:spacing w:after="0" w:line="12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rely on the proper function, availability and security of information technology systems to operate our business as a cyber-attack or other breach of these systems could have a material adverse effect on our business, financial condition or results of operations.</w:t>
      </w:r>
    </w:p>
    <w:p>
      <w:pPr>
        <w:spacing w:after="0" w:line="92" w:lineRule="exact"/>
        <w:rPr>
          <w:sz w:val="20"/>
          <w:szCs w:val="20"/>
          <w:color w:val="auto"/>
        </w:rPr>
      </w:pPr>
    </w:p>
    <w:p>
      <w:pPr>
        <w:ind w:right="40" w:firstLine="389"/>
        <w:spacing w:after="0" w:line="273" w:lineRule="auto"/>
        <w:rPr>
          <w:sz w:val="20"/>
          <w:szCs w:val="20"/>
          <w:color w:val="auto"/>
        </w:rPr>
      </w:pPr>
      <w:r>
        <w:rPr>
          <w:rFonts w:ascii="Arial" w:cs="Arial" w:eastAsia="Arial" w:hAnsi="Arial"/>
          <w:sz w:val="17"/>
          <w:szCs w:val="17"/>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cyber-attacks, malicious intrusions, breakdowns, destructions, losses of data privacy, or other significant disruptions.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hack into our products to obtain data relating to patients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ind w:right="100"/>
        <w:spacing w:after="0" w:line="291" w:lineRule="auto"/>
        <w:rPr>
          <w:sz w:val="20"/>
          <w:szCs w:val="20"/>
          <w:color w:val="auto"/>
        </w:rPr>
      </w:pPr>
      <w:r>
        <w:rPr>
          <w:rFonts w:ascii="Arial" w:cs="Arial" w:eastAsia="Arial" w:hAnsi="Arial"/>
          <w:sz w:val="16"/>
          <w:szCs w:val="16"/>
          <w:color w:val="auto"/>
        </w:rPr>
        <w:t>with our products or our proprietary information. Any failure by us to maintain or protect our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1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disaster at our manufacturing facilities could disrupt our ability to manufacture our products for a substantial amount of time, which could cause our revenues to decrease.</w:t>
      </w:r>
    </w:p>
    <w:p>
      <w:pPr>
        <w:spacing w:after="0" w:line="116" w:lineRule="exact"/>
        <w:rPr>
          <w:sz w:val="20"/>
          <w:szCs w:val="20"/>
          <w:color w:val="auto"/>
        </w:rPr>
      </w:pPr>
    </w:p>
    <w:p>
      <w:pPr>
        <w:ind w:right="100" w:firstLine="389"/>
        <w:spacing w:after="0" w:line="271" w:lineRule="auto"/>
        <w:rPr>
          <w:sz w:val="20"/>
          <w:szCs w:val="20"/>
          <w:color w:val="auto"/>
        </w:rPr>
      </w:pPr>
      <w:r>
        <w:rPr>
          <w:rFonts w:ascii="Arial" w:cs="Arial" w:eastAsia="Arial" w:hAnsi="Arial"/>
          <w:sz w:val="17"/>
          <w:szCs w:val="17"/>
          <w:color w:val="auto"/>
        </w:rPr>
        <w:t>We conduct our manufacturing and assembly at facilities in Queensbury, New York and Glens Falls, New York. It would be difficult, expensive and time-consuming to transfer resources from one facility to the other, replace, or repair these facilities and our manufacturing equipment if they were significantly affected by a disaster. Additionally, we might be forced to rely on third-party manufacturers or to delay production of our products. Insurance for damage to our properties and the disruption of our business from disasters may not be sufficient to cover all of our potential losses and may not continue to be available to us on acceptable terms, or at all. In addition, if one of our principal suppliers were to experience a similar disaster, uninsured loss or under-insured loss, we might not be able to obtain adequate alternative sources of supplies or products or could face significant delays and incur substantial expense in doing so. Any significant uninsured loss, prolonged or repeated disruption, or inability to operate experienced by us or any of our principal suppliers could cause significant harm to our business, financial condition and results of operations.</w:t>
      </w:r>
    </w:p>
    <w:p>
      <w:pPr>
        <w:spacing w:after="0" w:line="124" w:lineRule="exact"/>
        <w:rPr>
          <w:sz w:val="20"/>
          <w:szCs w:val="20"/>
          <w:color w:val="auto"/>
        </w:rPr>
      </w:pPr>
    </w:p>
    <w:p>
      <w:pPr>
        <w:ind w:right="120" w:firstLine="389"/>
        <w:spacing w:after="0" w:line="263" w:lineRule="auto"/>
        <w:rPr>
          <w:sz w:val="20"/>
          <w:szCs w:val="20"/>
          <w:color w:val="auto"/>
        </w:rPr>
      </w:pPr>
      <w:r>
        <w:rPr>
          <w:rFonts w:ascii="Arial" w:cs="Arial" w:eastAsia="Arial" w:hAnsi="Arial"/>
          <w:sz w:val="18"/>
          <w:szCs w:val="18"/>
          <w:color w:val="auto"/>
        </w:rPr>
        <w:t>Manufacturing and assembly takes place in Queensbury, New York and Glens Falls, New York. If we were significantly affected by a disaster, we no longer have an option to transfer manufacturing to another facility so we would be forced to rely on third-party manufacturers or would have to delay production of our products.</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cause our stock price to decline and prevent attempts by our stockholders to replace or remove our current management.</w:t>
      </w:r>
    </w:p>
    <w:p>
      <w:pPr>
        <w:spacing w:after="0" w:line="130" w:lineRule="exact"/>
        <w:rPr>
          <w:sz w:val="20"/>
          <w:szCs w:val="20"/>
          <w:color w:val="auto"/>
        </w:rPr>
      </w:pPr>
    </w:p>
    <w:p>
      <w:pPr>
        <w:ind w:right="180" w:firstLine="389"/>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may enable our management to resist a change in control. These provisions may discourage, delay or prevent a change in the ownership of our Company or a change in our management. In addition, these provisions could limit the price that investors would be willing to pay in the future for shares of our common stock. Such provisions include:</w:t>
      </w:r>
    </w:p>
    <w:p>
      <w:pPr>
        <w:spacing w:after="0" w:line="133" w:lineRule="exact"/>
        <w:rPr>
          <w:sz w:val="20"/>
          <w:szCs w:val="20"/>
          <w:color w:val="auto"/>
        </w:rPr>
      </w:pPr>
    </w:p>
    <w:p>
      <w:pPr>
        <w:ind w:left="980" w:right="60" w:hanging="324"/>
        <w:spacing w:after="0" w:line="258"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Board of Directors is authorized, without prior stockholder approval, to create and issue “blank check” preferred stock, with rights senior to those of our common stock;</w:t>
      </w:r>
    </w:p>
    <w:p>
      <w:pPr>
        <w:spacing w:after="0" w:line="1" w:lineRule="exact"/>
        <w:rPr>
          <w:rFonts w:ascii="Arial" w:cs="Arial" w:eastAsia="Arial" w:hAnsi="Arial"/>
          <w:sz w:val="18"/>
          <w:szCs w:val="18"/>
          <w:color w:val="auto"/>
        </w:rPr>
      </w:pPr>
    </w:p>
    <w:p>
      <w:pPr>
        <w:ind w:left="980" w:right="560" w:hanging="324"/>
        <w:spacing w:after="0" w:line="265" w:lineRule="auto"/>
        <w:tabs>
          <w:tab w:leader="none" w:pos="9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Board of Directors is classified so that not all members of our Board of Directors are elected at one time, which may make it more difficult for a person who acquires control of a majority of our outstanding voting stock to replace our directors;</w:t>
      </w:r>
    </w:p>
    <w:p>
      <w:pPr>
        <w:ind w:left="980" w:hanging="324"/>
        <w:spacing w:after="0" w:line="250"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notice is required for stockholders to nominate individuals to serve on our Board of Directors or for stockholders to submit proposals that can be acted upon at stockholder meetings;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Stockholder action by written consent is prohibited;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Stockholders are not permitted to cumulatively vote for the election of directors.</w:t>
      </w:r>
    </w:p>
    <w:p>
      <w:pPr>
        <w:spacing w:after="0" w:line="157" w:lineRule="exact"/>
        <w:rPr>
          <w:sz w:val="20"/>
          <w:szCs w:val="20"/>
          <w:color w:val="auto"/>
        </w:rPr>
      </w:pPr>
    </w:p>
    <w:p>
      <w:pPr>
        <w:ind w:right="340" w:firstLine="389"/>
        <w:spacing w:after="0" w:line="277" w:lineRule="auto"/>
        <w:rPr>
          <w:sz w:val="20"/>
          <w:szCs w:val="20"/>
          <w:color w:val="auto"/>
        </w:rPr>
      </w:pPr>
      <w:r>
        <w:rPr>
          <w:rFonts w:ascii="Arial" w:cs="Arial" w:eastAsia="Arial" w:hAnsi="Arial"/>
          <w:sz w:val="18"/>
          <w:szCs w:val="18"/>
          <w:color w:val="auto"/>
        </w:rPr>
        <w:t>We are also subject to the provisions of Section 203 of the Delaware General Corporation Law, which may prohibit certain business combinations with stockholders owning 15% or more of our outstanding voting stock.</w:t>
      </w:r>
    </w:p>
    <w:p>
      <w:pPr>
        <w:spacing w:after="0" w:line="116" w:lineRule="exact"/>
        <w:rPr>
          <w:sz w:val="20"/>
          <w:szCs w:val="20"/>
          <w:color w:val="auto"/>
        </w:rPr>
      </w:pPr>
    </w:p>
    <w:p>
      <w:pPr>
        <w:ind w:right="40" w:firstLine="389"/>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delaying or impeding a merger, tender offer or proxy contest involving our Company. Any delay or prevention of a change of control transaction or changes in our Board of Directors could cause the market price of our common stock to decline.</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are dependent on the proper functioning of our critical facilities, our supply chain and distribution networks and our sales force as well as the financial stability of our customers, all of which could be negatively impacted by the coronavirus in a manner that could materially adversely affect our business, financial condition or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manufacture products may be materially adversely impacted by the coronavirus.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ind w:firstLine="389"/>
        <w:spacing w:after="0" w:line="269" w:lineRule="auto"/>
        <w:rPr>
          <w:sz w:val="20"/>
          <w:szCs w:val="20"/>
          <w:color w:val="auto"/>
        </w:rPr>
      </w:pPr>
      <w:r>
        <w:rPr>
          <w:rFonts w:ascii="Arial" w:cs="Arial" w:eastAsia="Arial" w:hAnsi="Arial"/>
          <w:sz w:val="17"/>
          <w:szCs w:val="17"/>
          <w:color w:val="auto"/>
        </w:rPr>
        <w:t>The Novel Coronavirus Disease 2019 (COVID-19) (“coronavirus”) is impacting worldwide economic activity. Estimates for economic growth have been reduced as a result of the coronavirus, which may have a corresponding effect on our sales activity. The virus continues to spread globally, has been declared a pandemic by the World Health Organization and has spread to over 100 countries, including the United States. The impact of this pandemic has been and will likely continue to be extensive in many aspects of society, which has resulted in and will likely continue to result in significant disruptions to the global economy, as well as businesses and capital markets around the world. With the spread of the coronavirus to the United States and other countries, it is unclear how economic activity and work flows might be impacted on a worldwide basis. Many employers in the United States are requiring their employees to work from home or not come into their offices or facilities. We manufacture primarily out of one facility in Queensbury, New York, and partially out of a facility in Glens Falls, New York. If the manufacturing capabilities of these two sites are impacted as a result of the coronavirus, it may not be possible for us to timely manufacture relevant products at required levels or at all. A reduction or interruption in any of our manufacturing processes could have a material adverse effect on our business, results of operations, financial condition and cash flows.</w:t>
      </w:r>
    </w:p>
    <w:p>
      <w:pPr>
        <w:spacing w:after="0" w:line="131" w:lineRule="exact"/>
        <w:rPr>
          <w:sz w:val="20"/>
          <w:szCs w:val="20"/>
          <w:color w:val="auto"/>
        </w:rPr>
      </w:pPr>
    </w:p>
    <w:p>
      <w:pPr>
        <w:jc w:val="both"/>
        <w:ind w:right="740" w:firstLine="389"/>
        <w:spacing w:after="0" w:line="263" w:lineRule="auto"/>
        <w:rPr>
          <w:sz w:val="20"/>
          <w:szCs w:val="20"/>
          <w:color w:val="auto"/>
        </w:rPr>
      </w:pPr>
      <w:r>
        <w:rPr>
          <w:rFonts w:ascii="Arial" w:cs="Arial" w:eastAsia="Arial" w:hAnsi="Arial"/>
          <w:sz w:val="18"/>
          <w:szCs w:val="18"/>
          <w:color w:val="auto"/>
        </w:rPr>
        <w:t>We also might be unable to obtain products, product components, or sterilized products from our suppliers and vendors due to the additional constraints on suppliers created by the coronavirus. Any delays in delivery of or shortages in products and components could interrupt and delay manufacturing of our products and result in the cancellation of orders for our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may be materially adversely impacted by the coronavirus</w:t>
      </w:r>
      <w:r>
        <w:rPr>
          <w:rFonts w:ascii="Arial" w:cs="Arial" w:eastAsia="Arial" w:hAnsi="Arial"/>
          <w:sz w:val="18"/>
          <w:szCs w:val="18"/>
          <w:color w:val="auto"/>
        </w:rPr>
        <w:t>.</w:t>
      </w:r>
    </w:p>
    <w:p>
      <w:pPr>
        <w:spacing w:after="0" w:line="171" w:lineRule="exact"/>
        <w:rPr>
          <w:sz w:val="20"/>
          <w:szCs w:val="20"/>
          <w:color w:val="auto"/>
        </w:rPr>
      </w:pPr>
    </w:p>
    <w:p>
      <w:pPr>
        <w:ind w:right="40" w:firstLine="389"/>
        <w:spacing w:after="0" w:line="293" w:lineRule="auto"/>
        <w:rPr>
          <w:sz w:val="20"/>
          <w:szCs w:val="20"/>
          <w:color w:val="auto"/>
        </w:rPr>
      </w:pPr>
      <w:r>
        <w:rPr>
          <w:rFonts w:ascii="Arial" w:cs="Arial" w:eastAsia="Arial" w:hAnsi="Arial"/>
          <w:sz w:val="16"/>
          <w:szCs w:val="16"/>
          <w:color w:val="auto"/>
        </w:rPr>
        <w:t>Our sales force functions by meeting in person with physicians and health care providers to discuss our products. The coronavirus may negatively affect demand for our products by limiting the ability of our sales personnel to maintain their customary contacts with customers for a period of time. We may also find that distributors will have to prioritize their work load and may be forced to slow their activities as a result of the coronavirus. As a result, we cannot assure you that our sales force or distributors will increase or maintain our current levels of unit sales or increase or maintain our current unit pricing, which, in turn, could have a material adverse effect on our business, results of operations, financial condition and cash flows. In addition, there is a risk that our international distributors will not be financially viable due to the impact of coronavirus in their respective countries.</w:t>
      </w:r>
    </w:p>
    <w:p>
      <w:pPr>
        <w:spacing w:after="0" w:line="110" w:lineRule="exact"/>
        <w:rPr>
          <w:sz w:val="20"/>
          <w:szCs w:val="20"/>
          <w:color w:val="auto"/>
        </w:rPr>
      </w:pPr>
    </w:p>
    <w:p>
      <w:pPr>
        <w:ind w:right="80" w:firstLine="389"/>
        <w:spacing w:after="0" w:line="275" w:lineRule="auto"/>
        <w:rPr>
          <w:sz w:val="20"/>
          <w:szCs w:val="20"/>
          <w:color w:val="auto"/>
        </w:rPr>
      </w:pPr>
      <w:r>
        <w:rPr>
          <w:rFonts w:ascii="Arial" w:cs="Arial" w:eastAsia="Arial" w:hAnsi="Arial"/>
          <w:sz w:val="17"/>
          <w:szCs w:val="17"/>
          <w:color w:val="auto"/>
        </w:rPr>
        <w:t>We may also experience significant and unpredictable reductions in demand for certain products as our health care customers re-prioritize the treatment of patients and divert resources away from non-coronavirus areas. For example, elective surgeries are being de-prioritized which may negatively impact the usage of certain products, including, without limitation, our EVLT and core products and certain Oncology products. As a result of coronavirus, our customers and vendors may experience financial difficulties or be unable to borrow money to fund their operations, which may adversely impact their ability to purchase our products or pay for our products on a timely basis, if at all.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execution of our clinical studies may be materially adversely impacted by the coronavirus.</w:t>
      </w:r>
    </w:p>
    <w:p>
      <w:pPr>
        <w:spacing w:after="0" w:line="171" w:lineRule="exact"/>
        <w:rPr>
          <w:sz w:val="20"/>
          <w:szCs w:val="20"/>
          <w:color w:val="auto"/>
        </w:rPr>
      </w:pPr>
    </w:p>
    <w:p>
      <w:pPr>
        <w:ind w:right="100" w:firstLine="389"/>
        <w:spacing w:after="0" w:line="257" w:lineRule="auto"/>
        <w:rPr>
          <w:sz w:val="20"/>
          <w:szCs w:val="20"/>
          <w:color w:val="auto"/>
        </w:rPr>
      </w:pPr>
      <w:r>
        <w:rPr>
          <w:rFonts w:ascii="Arial" w:cs="Arial" w:eastAsia="Arial" w:hAnsi="Arial"/>
          <w:sz w:val="18"/>
          <w:szCs w:val="18"/>
          <w:color w:val="auto"/>
        </w:rPr>
        <w:t>Our future business prospects are highly dependent on generating, collecting and disseminating data pursuant to clinical trials. Clinical trials, including, without limitation, our DIRECT Study, studying the use of NanoKnife to treat pancreatic cancer, and our Pathfinder Registry, collecting data on the use of our Atherectomy laser, may be materially impacted by the coronavirus as hospitals prioritize treating coronavirus patients and creating capacity. Delays in the initiation of sites or enrollment of patients in these and other clinical studies, may have a material adverse effect on our results of operations and future business prospects.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raise capital may be materially adversely impacted by the coronavirus.</w:t>
      </w:r>
    </w:p>
    <w:p>
      <w:pPr>
        <w:spacing w:after="0" w:line="171" w:lineRule="exact"/>
        <w:rPr>
          <w:sz w:val="20"/>
          <w:szCs w:val="20"/>
          <w:color w:val="auto"/>
        </w:rPr>
      </w:pPr>
    </w:p>
    <w:p>
      <w:pPr>
        <w:ind w:firstLine="389"/>
        <w:spacing w:after="0" w:line="257" w:lineRule="auto"/>
        <w:rPr>
          <w:sz w:val="20"/>
          <w:szCs w:val="20"/>
          <w:color w:val="auto"/>
        </w:rPr>
      </w:pPr>
      <w:r>
        <w:rPr>
          <w:rFonts w:ascii="Arial" w:cs="Arial" w:eastAsia="Arial" w:hAnsi="Arial"/>
          <w:sz w:val="18"/>
          <w:szCs w:val="18"/>
          <w:color w:val="auto"/>
        </w:rPr>
        <w:t>Any sustained disruption in the capital markets from the COVID-19 pandemic could negatively impact our ability to raise capital. As of the end of our fiscal year ended May 31, 2020 we have a strong balance sheet and do not anticipate the need to raise additional capital. However, we cannot predict when the macro-economic disruption stemming from the coronavirus will ebb or when the economy will return to pre-coronavirus levels, if at all. If the macro-economic disruption continues for pro-longed periods we may need to raise additional capital and capital may not be available on acceptable terms, or at all.</w:t>
      </w:r>
    </w:p>
    <w:p>
      <w:pPr>
        <w:spacing w:after="0" w:line="134" w:lineRule="exact"/>
        <w:rPr>
          <w:sz w:val="20"/>
          <w:szCs w:val="20"/>
          <w:color w:val="auto"/>
        </w:rPr>
      </w:pPr>
    </w:p>
    <w:p>
      <w:pPr>
        <w:jc w:val="both"/>
        <w:ind w:right="320" w:firstLine="389"/>
        <w:spacing w:after="0" w:line="263" w:lineRule="auto"/>
        <w:rPr>
          <w:sz w:val="20"/>
          <w:szCs w:val="20"/>
          <w:color w:val="auto"/>
        </w:rPr>
      </w:pPr>
      <w:r>
        <w:rPr>
          <w:rFonts w:ascii="Arial" w:cs="Arial" w:eastAsia="Arial" w:hAnsi="Arial"/>
          <w:sz w:val="18"/>
          <w:szCs w:val="18"/>
          <w:color w:val="auto"/>
        </w:rPr>
        <w:t>The impact of the coronavirus on economic activity, and its effect on our manufacturing facility, supply chain and distribution networks, our sales force and our customers are uncertain at this time and could have a material adverse effect on our results, especially to the extent these effects persist or exacerbate over an extended period of time.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Reforms to the United States healthcare system may adversely affect our business.</w:t>
      </w:r>
    </w:p>
    <w:p>
      <w:pPr>
        <w:spacing w:after="0" w:line="171"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In response to perceived increases in health care costs in recent years, there have been and continue to be proposals by the federal government, state governments, regulators and third-party payers to control these costs and, more generally, to reform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p>
      <w:pPr>
        <w:jc w:val="both"/>
        <w:spacing w:after="0" w:line="311" w:lineRule="auto"/>
        <w:rPr>
          <w:sz w:val="20"/>
          <w:szCs w:val="20"/>
          <w:color w:val="auto"/>
        </w:rPr>
      </w:pPr>
      <w:r>
        <w:rPr>
          <w:rFonts w:ascii="Arial" w:cs="Arial" w:eastAsia="Arial" w:hAnsi="Arial"/>
          <w:sz w:val="16"/>
          <w:szCs w:val="16"/>
          <w:color w:val="auto"/>
        </w:rPr>
        <w:t>the health care system, including U.S. health care reform legislation. Certain of these proposals could, among other things, limit the prices we are able to charge for our products or the amounts of reimbursement available for our products and could limit the acceptance and availability of our products. The adoption of some or all of these proposals could have an adverse effect on our business, results of operations, financial condition and cash flows.</w:t>
      </w:r>
    </w:p>
    <w:p>
      <w:pPr>
        <w:spacing w:after="0" w:line="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industry is experiencing greater scrutiny and regulation by governmental authorities, which has led to certain costs and business distractions as we respond to inquiries and comply with new regulations, and may lead to greater governmental regulation in the future.</w:t>
      </w:r>
    </w:p>
    <w:p>
      <w:pPr>
        <w:spacing w:after="0" w:line="92" w:lineRule="exact"/>
        <w:rPr>
          <w:sz w:val="20"/>
          <w:szCs w:val="20"/>
          <w:color w:val="auto"/>
        </w:rPr>
      </w:pPr>
    </w:p>
    <w:p>
      <w:pPr>
        <w:ind w:right="60" w:firstLine="389"/>
        <w:spacing w:after="0" w:line="271" w:lineRule="auto"/>
        <w:rPr>
          <w:sz w:val="20"/>
          <w:szCs w:val="20"/>
          <w:color w:val="auto"/>
        </w:rPr>
      </w:pPr>
      <w:r>
        <w:rPr>
          <w:rFonts w:ascii="Arial" w:cs="Arial" w:eastAsia="Arial" w:hAnsi="Arial"/>
          <w:sz w:val="17"/>
          <w:szCs w:val="17"/>
          <w:color w:val="auto"/>
        </w:rPr>
        <w:t>Our medical devices and our business activities are subject to rigorous regulation by the FDA and numerous other federal, state and foreign governmental authorities. These authorities and members of Congress have been increasing their scrutiny of our industry. In addition, certain states, including Massachusetts, have recently passed or are considering legislation restricting our interactions with health care providers and requiring disclosure of many payments to them. The federal government has recently introduced similar legislation, which may or may not preempt state laws. Recent Supreme Court case law has clarified that the FDA’s authority over medical devices preempts state tort laws, but legislation has been introduced at the federal level to allow state intervention, which could lead to increased and inconsistent regulation at the state level. We anticipate that the government will continue to scrutinize our industry closely, and that additional regulation by governmental authorities may increase compliance costs, increase exposure to litigation and may have other adverse effects to our operations.</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a comprehensive system of federal, state and international laws and regulations, and we could be the subject of investigations, enforcement actions or face lawsuits and monetary or equitable judgments.</w:t>
      </w:r>
    </w:p>
    <w:p>
      <w:pPr>
        <w:spacing w:after="0" w:line="116" w:lineRule="exact"/>
        <w:rPr>
          <w:sz w:val="20"/>
          <w:szCs w:val="20"/>
          <w:color w:val="auto"/>
        </w:rPr>
      </w:pPr>
    </w:p>
    <w:p>
      <w:pPr>
        <w:ind w:right="40" w:firstLine="389"/>
        <w:spacing w:after="0" w:line="268" w:lineRule="auto"/>
        <w:rPr>
          <w:sz w:val="20"/>
          <w:szCs w:val="20"/>
          <w:color w:val="auto"/>
        </w:rPr>
      </w:pPr>
      <w:r>
        <w:rPr>
          <w:rFonts w:ascii="Arial" w:cs="Arial" w:eastAsia="Arial" w:hAnsi="Arial"/>
          <w:sz w:val="17"/>
          <w:szCs w:val="17"/>
          <w:color w:val="auto"/>
        </w:rPr>
        <w:t>We operate in many parts of the world, and our operations are affected by complex state, federal and international laws relating to healthcare, environmental protection, antitrust, anti-corruption, anti-bribery, fraud and abuse, export control, tax, employment and laws regarding privacy, personally identifiable information and protected health information, including, for example, the Food, Drug and Cosmetic Act (“FDCA”), various FDA and international regulations relating to, among other things, the development, quality assurance, manufacturing, importation, distribution, marketing and sale of, and billing for, our products, the federal Anti-Kickback Statute and Federal False Claims Act (Note 17), the U.S. Foreign Corrupt Practices Act (“FCPA”), the UK Bribery Act of 2010, the federal Health Insurance Portability and Accountability Act of 1996 (“HIPAA”), General Data Protection Regulation ("GDPR") and other foreign data protection and privacy laws, and laws and regulations relating to sanctions and money laundering. We are subject to periodic inspections to determine compliance with the FDA’s Quality System Regulation requirements, current medical device adverse event reporting regulations, and similar foreign rules and regulations. Despite our training and compliance programs, our internal control policies and procedures may not always protect us from negligent, reckless or criminal acts committed by our employees or agents. The failure to comply with these laws and regulatory standards, allegations of such non-compliance or the discovery of previously unknown problems with a product or manufacturer: (i) could result in FDA Form-483 notices and/or warning letters or the foreign equivalent, fines, delays or suspensions of regulatory clearances, investigations, detainment, seizures or recalls of products (with the attendant expenses), the banning of a particular device, an order to replace or refund the cost of any device previously manufactured or distributed, operating restrictions and/or civil or criminal prosecution, and/or penalties, as well as decreased sales as a result of negative publicity and product liability claims; and (ii) could disrupt our business and could have a material adverse effect on our business, results of operations, financial condition and/or liquidity.</w:t>
      </w:r>
    </w:p>
    <w:p>
      <w:pPr>
        <w:spacing w:after="0" w:line="126" w:lineRule="exact"/>
        <w:rPr>
          <w:sz w:val="20"/>
          <w:szCs w:val="20"/>
          <w:color w:val="auto"/>
        </w:rPr>
      </w:pPr>
    </w:p>
    <w:p>
      <w:pPr>
        <w:ind w:firstLine="389"/>
        <w:spacing w:after="0" w:line="269" w:lineRule="auto"/>
        <w:rPr>
          <w:sz w:val="20"/>
          <w:szCs w:val="20"/>
          <w:color w:val="auto"/>
        </w:rPr>
      </w:pPr>
      <w:r>
        <w:rPr>
          <w:rFonts w:ascii="Arial" w:cs="Arial" w:eastAsia="Arial" w:hAnsi="Arial"/>
          <w:sz w:val="17"/>
          <w:szCs w:val="17"/>
          <w:color w:val="auto"/>
        </w:rPr>
        <w:t>Most of our products must receive clearance or approval from the FDA or comparable regulatory agencies abroad before they can be marketed or sold. State, federal and foreign registration regulations are both evolving and subject to varied levels of interpretation and enforcement. It can be costly and time-consuming to obtain and maintain regulatory approvals to market a medical device. Approvals might not be granted on a timely basis, if at all, for new devices, new indications for use or certain modifications or enhancements to previously approved products. Even after a device receives regulatory approval it remains subject to significant regulatory and quality requirements, such as manufacturing, recordkeeping, renewal, recertification or reporting and other post market approval requirements, which may include clinical, laboratory or other studies. Product approvals by the FDA and other foreign regulators can be withdrawn due to failure to comply with regulatory standards or the occurrence of unforeseen problems following initial approval or may be re-classified to a higher regulatory classification, such as requiring a Pre-Market Approval (“PMA”) for a previously cleared 510(k) device. Regulations are also subject to change as a result of legislative, administrative or judicial action, which may further increase our costs or reduce sales. Our failure to maintain approvals, obtain approval for new products or comply with other applicable regulatory requirements could adversely affect our business, results of operations, financial condition and/or liquidity.</w:t>
      </w:r>
    </w:p>
    <w:p>
      <w:pPr>
        <w:spacing w:after="0" w:line="128" w:lineRule="exact"/>
        <w:rPr>
          <w:sz w:val="20"/>
          <w:szCs w:val="20"/>
          <w:color w:val="auto"/>
        </w:rPr>
      </w:pPr>
    </w:p>
    <w:p>
      <w:pPr>
        <w:ind w:right="140" w:firstLine="389"/>
        <w:spacing w:after="0" w:line="259" w:lineRule="auto"/>
        <w:rPr>
          <w:sz w:val="20"/>
          <w:szCs w:val="20"/>
          <w:color w:val="auto"/>
        </w:rPr>
      </w:pPr>
      <w:r>
        <w:rPr>
          <w:rFonts w:ascii="Arial" w:cs="Arial" w:eastAsia="Arial" w:hAnsi="Arial"/>
          <w:sz w:val="18"/>
          <w:szCs w:val="18"/>
          <w:color w:val="auto"/>
        </w:rPr>
        <w:t>The healthcare industry is under continued scrutiny from state, federal and international governments with respect to industry practices in the area of sales and marketing, including provisions of the Physician Payment Sunshine Act. If our marketing, sales or other activities fail to comply with the FDA’s or other comparable foreign regulatory agencies’ regulations or guidelines, or other applicable laws, we may be subject to warnings from the FDA or investigations or enforcement actions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spacing w:after="0" w:line="255" w:lineRule="auto"/>
        <w:rPr>
          <w:sz w:val="20"/>
          <w:szCs w:val="20"/>
          <w:color w:val="auto"/>
        </w:rPr>
      </w:pPr>
      <w:r>
        <w:rPr>
          <w:rFonts w:ascii="Arial" w:cs="Arial" w:eastAsia="Arial" w:hAnsi="Arial"/>
          <w:sz w:val="18"/>
          <w:szCs w:val="18"/>
          <w:color w:val="auto"/>
        </w:rPr>
        <w:t>from the FDA, Medicare, the Office of Inspector General of the U.S. Department of Health and Human Services or other government agencies or enforcement bodies. Additionally, in the European Union, a new draft Medical Device Regulation was published in 2016 imposing stricter requirements for the marketing and sale of medical devices and grants Notified Bodies increased post-market surveillance authority. The Company is monitoring the implementation of the regulation and has undertaken initial actions to move toward compliance based on the published draft of the regulation. The Company’s failure to comply with any marketing or sales regulations or any other applicable regulatory requirements could adversely affect our business, results of operations, financial condition and/or liquidity.</w:t>
      </w:r>
    </w:p>
    <w:p>
      <w:pPr>
        <w:spacing w:after="0" w:line="138" w:lineRule="exact"/>
        <w:rPr>
          <w:sz w:val="20"/>
          <w:szCs w:val="20"/>
          <w:color w:val="auto"/>
        </w:rPr>
      </w:pPr>
    </w:p>
    <w:p>
      <w:pPr>
        <w:ind w:firstLine="389"/>
        <w:spacing w:after="0" w:line="272" w:lineRule="auto"/>
        <w:rPr>
          <w:sz w:val="20"/>
          <w:szCs w:val="20"/>
          <w:color w:val="auto"/>
        </w:rPr>
      </w:pPr>
      <w:r>
        <w:rPr>
          <w:rFonts w:ascii="Arial" w:cs="Arial" w:eastAsia="Arial" w:hAnsi="Arial"/>
          <w:sz w:val="17"/>
          <w:szCs w:val="17"/>
          <w:color w:val="auto"/>
        </w:rPr>
        <w:t>In the recent past, medical device manufacturers have been the subject of investigations from government agencies related to their relationships with doctors, product sales and marketing and off-label promotion of products, among other activities or practices. If an enforcement action involving the Company were to occur, it could result in penalties, fines, detainment, seizures, recalls, product bans, operating restrictions (which may include loss of a license or authorization), the exclusion of our products from reimbursement under government-funded programs and/or prohibitions on our ability to sell our products, and could have a material adverse effect on our business, results of operations, financial condition and/or liquidity. In addition, remediation of any issues identified by the FDA or other regulators could require facility upgrades, process changes, additional labeling requirements or other measures, any of which could have a material adverse effect on our business and/or results of operations.</w:t>
      </w:r>
    </w:p>
    <w:p>
      <w:pPr>
        <w:spacing w:after="0" w:line="123" w:lineRule="exact"/>
        <w:rPr>
          <w:sz w:val="20"/>
          <w:szCs w:val="20"/>
          <w:color w:val="auto"/>
        </w:rPr>
      </w:pPr>
    </w:p>
    <w:p>
      <w:pPr>
        <w:ind w:right="120" w:firstLine="389"/>
        <w:spacing w:after="0" w:line="275" w:lineRule="auto"/>
        <w:rPr>
          <w:sz w:val="20"/>
          <w:szCs w:val="20"/>
          <w:color w:val="auto"/>
        </w:rPr>
      </w:pPr>
      <w:r>
        <w:rPr>
          <w:rFonts w:ascii="Arial" w:cs="Arial" w:eastAsia="Arial" w:hAnsi="Arial"/>
          <w:sz w:val="17"/>
          <w:szCs w:val="17"/>
          <w:color w:val="auto"/>
        </w:rPr>
        <w:t>In addition, lawsuits by or otherwise involving employees, customers, licensors, licensees, suppliers, vendors, business partners, distributors, shareholders or competitors with respect to how we conduct our business could be very costly and could substantially disrupt our business. Disputes from time-to-time with companies or individuals are not uncommon, and we cannot assure you that we will be able to resolve these disputes on terms favorable to us. The occurrence of an adverse monetary or equitable judgment or a large expenditure in connection with a settlement of any of these matters could have a material adverse effect on our business, results of operations, financial condition and/or liquidity.</w:t>
      </w:r>
    </w:p>
    <w:p>
      <w:pPr>
        <w:spacing w:after="0" w:line="12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are subject to data privacy and protection regulations and laws globally, and could face substantial penalties if we fail to comply with such regulations and laws.</w:t>
      </w:r>
    </w:p>
    <w:p>
      <w:pPr>
        <w:spacing w:after="0" w:line="116" w:lineRule="exact"/>
        <w:rPr>
          <w:sz w:val="20"/>
          <w:szCs w:val="20"/>
          <w:color w:val="auto"/>
        </w:rPr>
      </w:pPr>
    </w:p>
    <w:p>
      <w:pPr>
        <w:ind w:firstLine="389"/>
        <w:spacing w:after="0" w:line="279" w:lineRule="auto"/>
        <w:rPr>
          <w:sz w:val="20"/>
          <w:szCs w:val="20"/>
          <w:color w:val="auto"/>
        </w:rPr>
      </w:pPr>
      <w:r>
        <w:rPr>
          <w:rFonts w:ascii="Arial" w:cs="Arial" w:eastAsia="Arial" w:hAnsi="Arial"/>
          <w:sz w:val="17"/>
          <w:szCs w:val="17"/>
          <w:color w:val="auto"/>
        </w:rPr>
        <w:t>We are subject to a variety of laws and regulations globally regarding privacy, data protection, and data security, including those related to the collection, storage, handling, use, disclosure, transfer, and security of personal data, including Europe’s General Data Protection Regulation (GDPR). These laws and regulations regarding the handling of personal data are broad in scope and are subject to evolving interpretation and can include significant penalties for non-compliance. We could be required to incur substantial costs to monitor compliance or to alter our practices.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Failure to comply with laws relating to the handling and transmission of electronic health data may require us to make significant changes to our products, or incur penalties or other liabilities.</w:t>
      </w:r>
    </w:p>
    <w:p>
      <w:pPr>
        <w:spacing w:after="0" w:line="116" w:lineRule="exact"/>
        <w:rPr>
          <w:sz w:val="20"/>
          <w:szCs w:val="20"/>
          <w:color w:val="auto"/>
        </w:rPr>
      </w:pPr>
    </w:p>
    <w:p>
      <w:pPr>
        <w:ind w:right="60" w:firstLine="389"/>
        <w:spacing w:after="0" w:line="271" w:lineRule="auto"/>
        <w:rPr>
          <w:sz w:val="20"/>
          <w:szCs w:val="20"/>
          <w:color w:val="auto"/>
        </w:rPr>
      </w:pPr>
      <w:r>
        <w:rPr>
          <w:rFonts w:ascii="Arial" w:cs="Arial" w:eastAsia="Arial" w:hAnsi="Arial"/>
          <w:sz w:val="17"/>
          <w:szCs w:val="17"/>
          <w:color w:val="auto"/>
        </w:rPr>
        <w:t>State, federal and foreign laws, such as the federal Health Insurance Portability and Accountability Act of 1996 (“HIPAA”), regulate the confidentiality of personally identifiable health information and other sensitive personal information and the circumstances under which such information may be released. These measures may govern the disclosure and use of personal and patient medical record information and may require users of such information to implement specified technical, administrative and security measures, and to notify individuals in the event of privacy and security breaches. Evolving laws and regulations in this area could require us to incur significant additional costs to re-design our products or systems and procedures which could have an adverse impact on our results of operations. Failure to maintain the confidentiality of sensitive personal information in accordance with the applicable regulatory requirements, or to abide by electronic health data transmission standards, could expose us to breach of contract claims, fines and penalties, costs for remediation and harm to our reputation.</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subject to healthcare fraud and abuse regulations that could result in significant liability, require us to change our business practices and restrict our operations in the future.</w:t>
      </w:r>
    </w:p>
    <w:p>
      <w:pPr>
        <w:spacing w:after="0" w:line="116" w:lineRule="exact"/>
        <w:rPr>
          <w:sz w:val="20"/>
          <w:szCs w:val="20"/>
          <w:color w:val="auto"/>
        </w:rPr>
      </w:pPr>
    </w:p>
    <w:p>
      <w:pPr>
        <w:ind w:right="100" w:firstLine="389"/>
        <w:spacing w:after="0" w:line="254" w:lineRule="auto"/>
        <w:rPr>
          <w:sz w:val="20"/>
          <w:szCs w:val="20"/>
          <w:color w:val="auto"/>
        </w:rPr>
      </w:pPr>
      <w:r>
        <w:rPr>
          <w:rFonts w:ascii="Arial" w:cs="Arial" w:eastAsia="Arial" w:hAnsi="Arial"/>
          <w:sz w:val="18"/>
          <w:szCs w:val="18"/>
          <w:color w:val="auto"/>
        </w:rPr>
        <w:t>We are subject to various federal, state and local laws targeting fraud and abuse in the healthcare industry, including anti-kickback and false claims laws. Violations of these laws are punishable by criminal or civil sanctions, including substantial fines, imprisonment and exclusion from participation in healthcare programs such as Medicare and Medicaid and health programs outside the United States. These laws and regulations are wide ranging and subject to changing interpretation and application, which could restrict our sales or marketing practices. Furthermore, since many of our customers rely on reimbursement from Medicare, Medicaid and other governmental programs to cover a substantial portion of their expenditures, our exclusion from such programs as a result of a violation of these laws could have a material adverse effect on our business,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2" w:name="page33"/>
    <w:bookmarkEnd w:id="32"/>
    <w:p>
      <w:pPr>
        <w:ind w:right="200"/>
        <w:spacing w:after="0" w:line="263" w:lineRule="auto"/>
        <w:rPr>
          <w:sz w:val="20"/>
          <w:szCs w:val="20"/>
          <w:color w:val="auto"/>
        </w:rPr>
      </w:pPr>
      <w:r>
        <w:rPr>
          <w:rFonts w:ascii="Arial" w:cs="Arial" w:eastAsia="Arial" w:hAnsi="Arial"/>
          <w:sz w:val="18"/>
          <w:szCs w:val="18"/>
          <w:b w:val="1"/>
          <w:bCs w:val="1"/>
          <w:i w:val="1"/>
          <w:iCs w:val="1"/>
          <w:color w:val="auto"/>
        </w:rPr>
        <w:t>If we or some of our suppliers fail to comply with the FDA’s Quality System Regulation, or QSR, and other applicable post-market requirements, our manufacturing operations could be disrupted, our product sales and profitability could suffer, and we may be subject to a wide variety of FDA enforcement actions.</w:t>
      </w:r>
    </w:p>
    <w:p>
      <w:pPr>
        <w:spacing w:after="0" w:line="130" w:lineRule="exact"/>
        <w:rPr>
          <w:sz w:val="20"/>
          <w:szCs w:val="20"/>
          <w:color w:val="auto"/>
        </w:rPr>
      </w:pPr>
    </w:p>
    <w:p>
      <w:pPr>
        <w:ind w:right="40" w:firstLine="389"/>
        <w:spacing w:after="0" w:line="275" w:lineRule="auto"/>
        <w:rPr>
          <w:sz w:val="20"/>
          <w:szCs w:val="20"/>
          <w:color w:val="auto"/>
        </w:rPr>
      </w:pPr>
      <w:r>
        <w:rPr>
          <w:rFonts w:ascii="Arial" w:cs="Arial" w:eastAsia="Arial" w:hAnsi="Arial"/>
          <w:sz w:val="17"/>
          <w:szCs w:val="17"/>
          <w:color w:val="auto"/>
        </w:rPr>
        <w:t>After a device is placed on the market, numerous regulatory requirements apply. We are subject to inspection and marketing surveillance by the FDA to determine our compliance with all regulatory requirements. Our failure to comply with applicable regulatory requirements could result in the FDA or a court instituting a wide variety of enforcement actions against us, including a public "Warning Letter"; an order to shut down some or all manufacturing operations; a recall of products; fines or civil penalties; seizure or detention of our products; refusing our requests for 510(k) clearance or a PMA of new or modified products; withdrawing 510(k) clearance or PMA approvals already granted to us; and criminal prosecution.</w:t>
      </w:r>
    </w:p>
    <w:p>
      <w:pPr>
        <w:spacing w:after="0" w:line="122" w:lineRule="exact"/>
        <w:rPr>
          <w:sz w:val="20"/>
          <w:szCs w:val="20"/>
          <w:color w:val="auto"/>
        </w:rPr>
      </w:pPr>
    </w:p>
    <w:p>
      <w:pPr>
        <w:ind w:right="40" w:firstLine="389"/>
        <w:spacing w:after="0" w:line="291" w:lineRule="auto"/>
        <w:rPr>
          <w:sz w:val="20"/>
          <w:szCs w:val="20"/>
          <w:color w:val="auto"/>
        </w:rPr>
      </w:pPr>
      <w:r>
        <w:rPr>
          <w:rFonts w:ascii="Arial" w:cs="Arial" w:eastAsia="Arial" w:hAnsi="Arial"/>
          <w:sz w:val="16"/>
          <w:szCs w:val="16"/>
          <w:color w:val="auto"/>
        </w:rPr>
        <w:t>Our manufacturing processes and those of some of our suppliers must comply with the FDA’s Quality System Regulation, or QSR, which governs the methods used in, and the facilities and controls used for, the design, testing, manufacture, control, quality assurance, installation, servicing, labeling, packaging, storage and shipping of medical devices. The FDA enforces the QSR through unannounced inspections. If we, or one of our suppliers, fail a QSR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the FDA’s adverse event reporting requirements and the FDA’s reporting requirements for field correction or product removals. The FDA has recently placed increased emphasis on its scrutiny of compliance with the QSR and these other post-market requirements.</w:t>
      </w:r>
    </w:p>
    <w:p>
      <w:pPr>
        <w:spacing w:after="0" w:line="112" w:lineRule="exact"/>
        <w:rPr>
          <w:sz w:val="20"/>
          <w:szCs w:val="20"/>
          <w:color w:val="auto"/>
        </w:rPr>
      </w:pPr>
    </w:p>
    <w:p>
      <w:pPr>
        <w:ind w:right="20" w:firstLine="389"/>
        <w:spacing w:after="0" w:line="308" w:lineRule="auto"/>
        <w:rPr>
          <w:sz w:val="20"/>
          <w:szCs w:val="20"/>
          <w:color w:val="auto"/>
        </w:rPr>
      </w:pPr>
      <w:r>
        <w:rPr>
          <w:rFonts w:ascii="Arial" w:cs="Arial" w:eastAsia="Arial" w:hAnsi="Arial"/>
          <w:sz w:val="17"/>
          <w:szCs w:val="17"/>
          <w:color w:val="auto"/>
        </w:rPr>
        <w:t>If we, or one of our suppliers, violate the FDA’s requirements or fail to take adequate corrective action in response to any significant compliance issue raised by the FDA, the FDA can take various enforcement actions which could cause our product sales and profitability to suffer.</w:t>
      </w:r>
    </w:p>
    <w:p>
      <w:pPr>
        <w:spacing w:after="0" w:line="92" w:lineRule="exact"/>
        <w:rPr>
          <w:sz w:val="20"/>
          <w:szCs w:val="20"/>
          <w:color w:val="auto"/>
        </w:rPr>
      </w:pPr>
    </w:p>
    <w:p>
      <w:pPr>
        <w:jc w:val="both"/>
        <w:ind w:right="120" w:firstLine="389"/>
        <w:spacing w:after="0" w:line="263" w:lineRule="auto"/>
        <w:rPr>
          <w:sz w:val="20"/>
          <w:szCs w:val="20"/>
          <w:color w:val="auto"/>
        </w:rPr>
      </w:pPr>
      <w:r>
        <w:rPr>
          <w:rFonts w:ascii="Arial" w:cs="Arial" w:eastAsia="Arial" w:hAnsi="Arial"/>
          <w:sz w:val="18"/>
          <w:szCs w:val="18"/>
          <w:color w:val="auto"/>
        </w:rPr>
        <w:t>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in those countries.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obtain and maintain marketing clearance or approval from governmental agencies, we will not be able to sell our products.</w:t>
      </w:r>
    </w:p>
    <w:p>
      <w:pPr>
        <w:spacing w:after="0" w:line="183" w:lineRule="exact"/>
        <w:rPr>
          <w:sz w:val="20"/>
          <w:szCs w:val="20"/>
          <w:color w:val="auto"/>
        </w:rPr>
      </w:pPr>
    </w:p>
    <w:p>
      <w:pPr>
        <w:ind w:right="120" w:firstLine="389"/>
        <w:spacing w:after="0" w:line="287" w:lineRule="auto"/>
        <w:rPr>
          <w:sz w:val="20"/>
          <w:szCs w:val="20"/>
          <w:color w:val="auto"/>
        </w:rPr>
      </w:pPr>
      <w:r>
        <w:rPr>
          <w:rFonts w:ascii="Arial" w:cs="Arial" w:eastAsia="Arial" w:hAnsi="Arial"/>
          <w:sz w:val="16"/>
          <w:szCs w:val="16"/>
          <w:color w:val="auto"/>
        </w:rPr>
        <w:t>Our products are medical devices that are subject to extensive regulation in the United States and in the foreign countries in which they are sold. Unless an exemption applies, each medical device that we wish to market in the United States must receive either 510(k) clearance or premarket approval (PMA) from the FDA before the product can be sold. Either process can be lengthy and expensive. The FDA’s 510(k) clearance procedure, also known as “premarket notification,” is the process we have used for our current products. This process usually takes from four to twelve months from the date the premarket notification is submitted to the FDA, but may take significantly longer. Although we have obtained 510(k) clearances for our current products, our clearances may be revoked by the FDA if safety or effectiveness problems develop with the devices. The PMA process is much more costly, lengthy and uncertain. It generally takes from one to three years from the date the application is submitted to, and filed with the FDA, and may take even longer. Regulatory regimes in other countries similarly require approval or clearance prior to our marketing or selling products in those countries. We rely on our distributors to obtain regulatory clearances or approvals of our products outside of the United States. If we are unable to obtain additional clearances or approvals needed to market existing or new products in the United States or elsewhere or obtain these clearances or approvals in a timely fashion or at all, or if our existing clearances are revoked, our revenues and profitability may decline.</w:t>
      </w:r>
    </w:p>
    <w:p>
      <w:pPr>
        <w:spacing w:after="0" w:line="11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Modifications to our current products may require new marketing clearances or approvals or require us to cease marketing or recall the modified products until such clearances or approvals are obtained.</w:t>
      </w:r>
    </w:p>
    <w:p>
      <w:pPr>
        <w:spacing w:after="0" w:line="116" w:lineRule="exact"/>
        <w:rPr>
          <w:sz w:val="20"/>
          <w:szCs w:val="20"/>
          <w:color w:val="auto"/>
        </w:rPr>
      </w:pPr>
    </w:p>
    <w:p>
      <w:pPr>
        <w:ind w:firstLine="389"/>
        <w:spacing w:after="0" w:line="289" w:lineRule="auto"/>
        <w:rPr>
          <w:sz w:val="20"/>
          <w:szCs w:val="20"/>
          <w:color w:val="auto"/>
        </w:rPr>
      </w:pPr>
      <w:r>
        <w:rPr>
          <w:rFonts w:ascii="Arial" w:cs="Arial" w:eastAsia="Arial" w:hAnsi="Arial"/>
          <w:sz w:val="16"/>
          <w:szCs w:val="16"/>
          <w:color w:val="auto"/>
        </w:rPr>
        <w:t>Any modification to an FDA-cleared medical device that could significantly affect its safety or effectiveness, or that would constitute a major change or modification in its intended use, requires a new FDA 510(k) clearance or, possibly, a premarket approval. The FDA requires every manufacturer to make its own determination as to whether a modification requires a new 510(k) clearance or premarket approval, but the FDA may review and disagree with any decision reached by the manufacturer. We have modified aspects of some of our devices since receiving regulatory clearance. We believed that some of these modifications did not require new 510(k) clearance or premarket approval and, therefore, we did not seek new 510(k) clearances or premarket approvals. In the future, we may make additional modifications to our products after they have received FDA clearance or approval and, in appropriate circumstances, determine that new clearance or approval is unnecessary. Regulations in other countries in which we market or sell, or propose to market or sell, may also require that we make judgments about changes to our products and whether or not those changes are such that regulatory approval or clearance should be obtained. In the United States and elsewhere, regulatory authorities may disagree with our past or future decisions not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3" w:name="page34"/>
    <w:bookmarkEnd w:id="33"/>
    <w:p>
      <w:pPr>
        <w:ind w:right="280"/>
        <w:spacing w:after="0" w:line="259" w:lineRule="auto"/>
        <w:rPr>
          <w:sz w:val="20"/>
          <w:szCs w:val="20"/>
          <w:color w:val="auto"/>
        </w:rPr>
      </w:pPr>
      <w:r>
        <w:rPr>
          <w:rFonts w:ascii="Arial" w:cs="Arial" w:eastAsia="Arial" w:hAnsi="Arial"/>
          <w:sz w:val="18"/>
          <w:szCs w:val="18"/>
          <w:color w:val="auto"/>
        </w:rPr>
        <w:t>to seek new clearance or approval and may require us to obtain clearance or approval for modifications to our products. If that were to occur for a previously cleared or approved product, we may be required to cease marketing or recall the modified device until we obtain the necessary clearance or approval. Under these circumstances, we may also be subject to significant regulatory fines or other penalties. If any of the foregoing were to occur, our financial condition and results of operations could be negatively impacted.</w:t>
      </w:r>
    </w:p>
    <w:p>
      <w:pPr>
        <w:spacing w:after="0" w:line="1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Even after receiving regulatory clearance or approval, our products may be subject to product recalls, which may harm our reputation and divert managerial and financial resources.</w:t>
      </w:r>
    </w:p>
    <w:p>
      <w:pPr>
        <w:spacing w:after="0" w:line="116" w:lineRule="exact"/>
        <w:rPr>
          <w:sz w:val="20"/>
          <w:szCs w:val="20"/>
          <w:color w:val="auto"/>
        </w:rPr>
      </w:pPr>
    </w:p>
    <w:p>
      <w:pPr>
        <w:ind w:firstLine="389"/>
        <w:spacing w:after="0" w:line="254" w:lineRule="auto"/>
        <w:rPr>
          <w:sz w:val="20"/>
          <w:szCs w:val="20"/>
          <w:color w:val="auto"/>
        </w:rPr>
      </w:pPr>
      <w:r>
        <w:rPr>
          <w:rFonts w:ascii="Arial" w:cs="Arial" w:eastAsia="Arial" w:hAnsi="Arial"/>
          <w:sz w:val="18"/>
          <w:szCs w:val="18"/>
          <w:color w:val="auto"/>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device, or if the governmental entity finds that our products would cause serious adverse health consequences. A government mandated voluntary recall or field action by us could occur as a result of component failures, manufacturing errors or design defects, including labeling defects. Any recall of our products may harm our reputation with customers and divert managerial and financial resources. In fiscal year 2020, we did a voluntary recall of the OARtrac product, that was acquired as part of the RadiaDyne acquisition in the second quarter of fiscal year 2019, to address installation issues that were identified once the product was placed in the field.</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fines, penalties, injunctions or costly investigations if we are determined to be promoting the use of our products for unapproved or “off-label” uses.</w:t>
      </w:r>
    </w:p>
    <w:p>
      <w:pPr>
        <w:spacing w:after="0" w:line="116" w:lineRule="exact"/>
        <w:rPr>
          <w:sz w:val="20"/>
          <w:szCs w:val="20"/>
          <w:color w:val="auto"/>
        </w:rPr>
      </w:pPr>
    </w:p>
    <w:p>
      <w:pPr>
        <w:ind w:right="40" w:firstLine="389"/>
        <w:spacing w:after="0" w:line="254" w:lineRule="auto"/>
        <w:rPr>
          <w:sz w:val="20"/>
          <w:szCs w:val="20"/>
          <w:color w:val="auto"/>
        </w:rPr>
      </w:pPr>
      <w:r>
        <w:rPr>
          <w:rFonts w:ascii="Arial" w:cs="Arial" w:eastAsia="Arial" w:hAnsi="Arial"/>
          <w:sz w:val="18"/>
          <w:szCs w:val="18"/>
          <w:color w:val="auto"/>
        </w:rPr>
        <w:t>If we are incorrect in our belief that our promotional materials and training methods regarding physicians are conducted in compliance with regulations of the FDA and other applicable regulations, and the FDA determines that our promotional materials or training constitutes promotion of an unapproved use, the FDA could request that we modify our training or promotional materials or subject us to regulatory enforcement actions, including the issuance of a warning letter, injunction, seizure, civil fine and criminal penalties. It is also possible that other federal, state or foreign enforcement authorities might take action if they consider promotional or training materials to constitute promotion of an unapproved use, which could result in significant fines or penalties under other statutory authorities, such as laws prohibiting false claims for reimbursement. Any of these results could have a material adverse effect on our financial position or results of operations.</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employees or agents violate the U.S. Foreign Corrupt Practices Act or anti-bribery laws in other jurisdictions, we may incur fines or penalties, or experience other adverse consequences.</w:t>
      </w:r>
    </w:p>
    <w:p>
      <w:pPr>
        <w:spacing w:after="0" w:line="116" w:lineRule="exact"/>
        <w:rPr>
          <w:sz w:val="20"/>
          <w:szCs w:val="20"/>
          <w:color w:val="auto"/>
        </w:rPr>
      </w:pPr>
    </w:p>
    <w:p>
      <w:pPr>
        <w:ind w:right="20" w:firstLine="389"/>
        <w:spacing w:after="0" w:line="291" w:lineRule="auto"/>
        <w:rPr>
          <w:sz w:val="20"/>
          <w:szCs w:val="20"/>
          <w:color w:val="auto"/>
        </w:rPr>
      </w:pPr>
      <w:r>
        <w:rPr>
          <w:rFonts w:ascii="Arial" w:cs="Arial" w:eastAsia="Arial" w:hAnsi="Arial"/>
          <w:sz w:val="16"/>
          <w:szCs w:val="16"/>
          <w:color w:val="auto"/>
        </w:rPr>
        <w:t>We are subject to the U.S. Foreign Corrupt Practices Act, or FCPA, and similar anti-bribery laws in international jurisdictions, including the UK Anti-Bribery Act, which generally prohibit companies and their intermediaries from making improper payments to non-U.S. officials for the purpose of obtaining or retaining business. Because of the predominance of government-sponsored healthcare systems around the world, many of our customer relationships outside of the United States are with governmental entities and are therefore subject to such anti-bribery laws. Our sales to customers and distributors outside of the United States have been increasing and we expect them to continue to increase in the future. If our employees or agents violate the provisions of the FCPA or other anti-bribery laws, we may incur fines or penalties, we may be unable to market our products in other countries or we may experience other adverse consequences which could have a material adverse effect on our operating results or financial condition.</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Laws and regulations governing the export of our products could adversely impact our business. If the U.S. government imposes strict sanctions on Iran, our revenue could be impacted.</w:t>
      </w:r>
    </w:p>
    <w:p>
      <w:pPr>
        <w:spacing w:after="0" w:line="116" w:lineRule="exact"/>
        <w:rPr>
          <w:sz w:val="20"/>
          <w:szCs w:val="20"/>
          <w:color w:val="auto"/>
        </w:rPr>
      </w:pPr>
    </w:p>
    <w:p>
      <w:pPr>
        <w:ind w:right="100" w:firstLine="389"/>
        <w:spacing w:after="0" w:line="255" w:lineRule="auto"/>
        <w:rPr>
          <w:sz w:val="20"/>
          <w:szCs w:val="20"/>
          <w:color w:val="auto"/>
        </w:rPr>
      </w:pPr>
      <w:r>
        <w:rPr>
          <w:rFonts w:ascii="Arial" w:cs="Arial" w:eastAsia="Arial" w:hAnsi="Arial"/>
          <w:sz w:val="18"/>
          <w:szCs w:val="18"/>
          <w:color w:val="auto"/>
        </w:rPr>
        <w:t>The U.S. Department of the Treasury’s Office of Foreign Assets Control (OFAC), and the Bureau of Industry and Security at the U.S. Department of Commerce (BIS), administer certain laws and regulations that restrict U.S. persons and, in some instances, non-U.S. persons, in conducting activities, transacting business with or making investments in certain countries, governments, entities and individuals subject to U.S. economic sanctions. Due to our international operations, we are subject to such laws and regulations, which are complex, restrict our business dealings with certain countries and individuals, and are constantly changing. Further restrictions may be enacted, amended, enforced or interpreted in a manner that materially impacts our operations.</w:t>
      </w:r>
    </w:p>
    <w:p>
      <w:pPr>
        <w:spacing w:after="0" w:line="138" w:lineRule="exact"/>
        <w:rPr>
          <w:sz w:val="20"/>
          <w:szCs w:val="20"/>
          <w:color w:val="auto"/>
        </w:rPr>
      </w:pPr>
    </w:p>
    <w:p>
      <w:pPr>
        <w:ind w:right="280" w:firstLine="389"/>
        <w:spacing w:after="0" w:line="259" w:lineRule="auto"/>
        <w:rPr>
          <w:sz w:val="20"/>
          <w:szCs w:val="20"/>
          <w:color w:val="auto"/>
        </w:rPr>
      </w:pPr>
      <w:r>
        <w:rPr>
          <w:rFonts w:ascii="Arial" w:cs="Arial" w:eastAsia="Arial" w:hAnsi="Arial"/>
          <w:sz w:val="18"/>
          <w:szCs w:val="18"/>
          <w:color w:val="auto"/>
        </w:rPr>
        <w:t>In fiscal year 2020 we generated $1.8 million of revenue for sales to distributors doing business in Iran. We continuously review our ability to sell products to distributors that conduct business in Iran in accordance with all applicable U.S. laws. If laws, rules or regulations of the United States with respect to doing business in, or with parties that do business in, Iran change to restrict our ability to generate revenue in Iran, our revenue could decline, impacting our results of operations.</w:t>
      </w:r>
    </w:p>
    <w:p>
      <w:pPr>
        <w:spacing w:after="0" w:line="133" w:lineRule="exact"/>
        <w:rPr>
          <w:sz w:val="20"/>
          <w:szCs w:val="20"/>
          <w:color w:val="auto"/>
        </w:rPr>
      </w:pPr>
    </w:p>
    <w:p>
      <w:pPr>
        <w:ind w:right="260" w:firstLine="389"/>
        <w:spacing w:after="0" w:line="277" w:lineRule="auto"/>
        <w:rPr>
          <w:sz w:val="20"/>
          <w:szCs w:val="20"/>
          <w:color w:val="auto"/>
        </w:rPr>
      </w:pPr>
      <w:r>
        <w:rPr>
          <w:rFonts w:ascii="Arial" w:cs="Arial" w:eastAsia="Arial" w:hAnsi="Arial"/>
          <w:sz w:val="18"/>
          <w:szCs w:val="18"/>
          <w:color w:val="auto"/>
        </w:rPr>
        <w:t>From time to time, we have limited business dealings in countries subject to comprehensive sanctions. These business dealings may expose us to a heightened risk of violating applicable sanctions regulations. Violations of these regulations are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4" w:name="page35"/>
    <w:bookmarkEnd w:id="34"/>
    <w:p>
      <w:pPr>
        <w:ind w:right="20"/>
        <w:spacing w:after="0" w:line="257" w:lineRule="auto"/>
        <w:rPr>
          <w:sz w:val="20"/>
          <w:szCs w:val="20"/>
          <w:color w:val="auto"/>
        </w:rPr>
      </w:pPr>
      <w:r>
        <w:rPr>
          <w:rFonts w:ascii="Arial" w:cs="Arial" w:eastAsia="Arial" w:hAnsi="Arial"/>
          <w:sz w:val="18"/>
          <w:szCs w:val="18"/>
          <w:color w:val="auto"/>
        </w:rPr>
        <w:t>punishable by civil penalties, including fines, denial of export privileges, injunctions, asset seizures, debarment from government contracts and revocations or restrictions of licenses, as well as criminal fines and imprisonment. We have established policies and procedures designed to assist with our compliance with such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reimbursement levels by governmental or other third-party payors for procedures using our products may cause our revenues to decline.</w:t>
      </w:r>
    </w:p>
    <w:p>
      <w:pPr>
        <w:spacing w:after="0" w:line="206" w:lineRule="exact"/>
        <w:rPr>
          <w:sz w:val="20"/>
          <w:szCs w:val="20"/>
          <w:color w:val="auto"/>
        </w:rPr>
      </w:pPr>
    </w:p>
    <w:p>
      <w:pPr>
        <w:ind w:right="40" w:firstLine="389"/>
        <w:spacing w:after="0" w:line="254" w:lineRule="auto"/>
        <w:rPr>
          <w:sz w:val="20"/>
          <w:szCs w:val="20"/>
          <w:color w:val="auto"/>
        </w:rPr>
      </w:pPr>
      <w:r>
        <w:rPr>
          <w:rFonts w:ascii="Arial" w:cs="Arial" w:eastAsia="Arial" w:hAnsi="Arial"/>
          <w:sz w:val="18"/>
          <w:szCs w:val="18"/>
          <w:color w:val="auto"/>
        </w:rPr>
        <w:t>Our products are purchased principally by hospitals or physicians which typically bill various third-party payors, such as governmental programs (e.g. Medicare, Medicaid and comparable foreign programs), private insurance plans and managed care plans, for the healthcare services provided to their patients. The ability of our customers to obtain appropriate reimbursement for products and services from third-party payors is critical to the success of medical device companies because it affects which products customers purchase and the prices they are willing to pay. Reimbursement varies by country and can significantly impact the acceptance of new technology. Implementation of healthcare reforms in the United States and in other countries may limit, reduce or eliminate reimbursement for our products and adversely affect both our pricing flexibility and the demand for our products. Even when we develop a promising new product, we may find limited demand for the product unless reimbursement approval is obtained from private and governmental third party payors.</w:t>
      </w:r>
    </w:p>
    <w:p>
      <w:pPr>
        <w:spacing w:after="0" w:line="138" w:lineRule="exact"/>
        <w:rPr>
          <w:sz w:val="20"/>
          <w:szCs w:val="20"/>
          <w:color w:val="auto"/>
        </w:rPr>
      </w:pPr>
    </w:p>
    <w:p>
      <w:pPr>
        <w:ind w:right="100" w:firstLine="389"/>
        <w:spacing w:after="0" w:line="277" w:lineRule="auto"/>
        <w:rPr>
          <w:sz w:val="20"/>
          <w:szCs w:val="20"/>
          <w:color w:val="auto"/>
        </w:rPr>
      </w:pPr>
      <w:r>
        <w:rPr>
          <w:rFonts w:ascii="Arial" w:cs="Arial" w:eastAsia="Arial" w:hAnsi="Arial"/>
          <w:sz w:val="18"/>
          <w:szCs w:val="18"/>
          <w:color w:val="auto"/>
        </w:rPr>
        <w:t>Third-party payors have adopted, and are continuing to adopt, a number of healthcare policies intended to curb rising healthcare costs. These policies include:</w:t>
      </w:r>
    </w:p>
    <w:p>
      <w:pPr>
        <w:spacing w:after="0" w:line="11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controls on government-funded reimbursement for healthcare services and price controls on medical products and services providers;</w:t>
      </w:r>
    </w:p>
    <w:p>
      <w:pPr>
        <w:spacing w:after="0" w:line="34" w:lineRule="exact"/>
        <w:rPr>
          <w:rFonts w:ascii="Arial" w:cs="Arial" w:eastAsia="Arial" w:hAnsi="Arial"/>
          <w:sz w:val="17"/>
          <w:szCs w:val="17"/>
          <w:color w:val="auto"/>
        </w:rPr>
      </w:pPr>
    </w:p>
    <w:p>
      <w:pPr>
        <w:ind w:left="980" w:right="280" w:hanging="324"/>
        <w:spacing w:after="0" w:line="250"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to the pricing of medical procedures or limits or prohibitions on reimbursement for specific devices and therapies through other means; and</w:t>
      </w:r>
    </w:p>
    <w:p>
      <w:pPr>
        <w:ind w:left="980" w:right="360" w:hanging="324"/>
        <w:spacing w:after="0" w:line="260"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managed care systems in which healthcare providers contract to provide comprehensive healthcare for a fixed cost per person.</w:t>
      </w:r>
    </w:p>
    <w:p>
      <w:pPr>
        <w:spacing w:after="0" w:line="131" w:lineRule="exact"/>
        <w:rPr>
          <w:sz w:val="20"/>
          <w:szCs w:val="20"/>
          <w:color w:val="auto"/>
        </w:rPr>
      </w:pPr>
    </w:p>
    <w:p>
      <w:pPr>
        <w:ind w:right="40" w:firstLine="389"/>
        <w:spacing w:after="0" w:line="275" w:lineRule="auto"/>
        <w:rPr>
          <w:sz w:val="20"/>
          <w:szCs w:val="20"/>
          <w:color w:val="auto"/>
        </w:rPr>
      </w:pPr>
      <w:r>
        <w:rPr>
          <w:rFonts w:ascii="Arial" w:cs="Arial" w:eastAsia="Arial" w:hAnsi="Arial"/>
          <w:sz w:val="17"/>
          <w:szCs w:val="17"/>
          <w:color w:val="auto"/>
        </w:rPr>
        <w:t>We are unable to predict whether federal, state or local healthcare reform legislation or regulation affecting our business may be proposed or enacted in the future, or what effect any such legislation or regulation would have on our business. Changes in healthcare systems in the United States or elsewhere in a manner that significantly reduces reimbursement for procedures using our medical devices or denies coverage for these procedures, or adverse decisions relating to our products by administrators of these systems in coverage or reimbursement issues, would have an adverse impact on the acceptance of our products and the prices which our customers are willing to pay for them.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intellectual property rights, we may not be able to generate revenues from new or existing products and our business may suffer.</w:t>
      </w:r>
    </w:p>
    <w:p>
      <w:pPr>
        <w:spacing w:after="0" w:line="116" w:lineRule="exact"/>
        <w:rPr>
          <w:sz w:val="20"/>
          <w:szCs w:val="20"/>
          <w:color w:val="auto"/>
        </w:rPr>
      </w:pPr>
    </w:p>
    <w:p>
      <w:pPr>
        <w:ind w:firstLine="389"/>
        <w:spacing w:after="0" w:line="255" w:lineRule="auto"/>
        <w:rPr>
          <w:sz w:val="20"/>
          <w:szCs w:val="20"/>
          <w:color w:val="auto"/>
        </w:rPr>
      </w:pPr>
      <w:r>
        <w:rPr>
          <w:rFonts w:ascii="Arial" w:cs="Arial" w:eastAsia="Arial" w:hAnsi="Arial"/>
          <w:sz w:val="18"/>
          <w:szCs w:val="18"/>
          <w:color w:val="auto"/>
        </w:rPr>
        <w:t>Our success depends in part on obtaining, maintaining and enforcing our patents, trademarks and other proprietary rights, and our ability to avoid infringing the proprietary rights of others. We take precautionary steps to protect our technological advantages and intellectual property. We rely upon patent, trade secret, copyright, know-how and trademark laws, as well as license agreements and contractual provisions, to establish our intellectual property rights and protect our products. However, no assurances can be made that any pending or future patent applications will result in the issuance of patents, that any current or future patents issued to, or licensed by, us will not be challenged or circumvented by our competitors, or that our patents will not be found invalid.</w:t>
      </w:r>
    </w:p>
    <w:p>
      <w:pPr>
        <w:spacing w:after="0" w:line="138" w:lineRule="exact"/>
        <w:rPr>
          <w:sz w:val="20"/>
          <w:szCs w:val="20"/>
          <w:color w:val="auto"/>
        </w:rPr>
      </w:pPr>
    </w:p>
    <w:p>
      <w:pPr>
        <w:ind w:right="40" w:firstLine="389"/>
        <w:spacing w:after="0" w:line="271" w:lineRule="auto"/>
        <w:rPr>
          <w:sz w:val="20"/>
          <w:szCs w:val="20"/>
          <w:color w:val="auto"/>
        </w:rPr>
      </w:pPr>
      <w:r>
        <w:rPr>
          <w:rFonts w:ascii="Arial" w:cs="Arial" w:eastAsia="Arial" w:hAnsi="Arial"/>
          <w:sz w:val="17"/>
          <w:szCs w:val="17"/>
          <w:color w:val="auto"/>
        </w:rPr>
        <w:t>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 Generally, patent applications can be maintained in secrecy for at least 18 months after their earliest priority date. In addition, publication of discoveries in the scientific or patent literature often lags behind actual discoveries. Therefore, we cannot be certain that we were the first to invent the subject matter covered by each of our pending U.S. patent applications or that we were the first to file non-U.S. patent applications for such subject matter.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ind w:firstLine="389"/>
        <w:spacing w:after="0" w:line="254" w:lineRule="auto"/>
        <w:rPr>
          <w:sz w:val="20"/>
          <w:szCs w:val="20"/>
          <w:color w:val="auto"/>
        </w:rPr>
      </w:pPr>
      <w:r>
        <w:rPr>
          <w:rFonts w:ascii="Arial" w:cs="Arial" w:eastAsia="Arial" w:hAnsi="Arial"/>
          <w:sz w:val="18"/>
          <w:szCs w:val="18"/>
          <w:color w:val="auto"/>
        </w:rPr>
        <w:t>Additionally, we rely on trade secret protection for certain unpatented aspects of our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If we are not able to adequately protect our intellectual property, our market share, financial condition and results of operations may suffer.</w:t>
      </w:r>
    </w:p>
    <w:p>
      <w:pPr>
        <w:spacing w:after="0" w:line="18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third parties claim that our products infringe their intellectual property rights, we may be forced to expend significant financial resources and management time defending against such actions and our financial condition and our results of operations could suffer.</w:t>
      </w:r>
    </w:p>
    <w:p>
      <w:pPr>
        <w:spacing w:after="0" w:line="70" w:lineRule="exact"/>
        <w:rPr>
          <w:sz w:val="20"/>
          <w:szCs w:val="20"/>
          <w:color w:val="auto"/>
        </w:rPr>
      </w:pPr>
    </w:p>
    <w:p>
      <w:pPr>
        <w:ind w:right="20" w:firstLine="389"/>
        <w:spacing w:after="0" w:line="270" w:lineRule="auto"/>
        <w:rPr>
          <w:sz w:val="20"/>
          <w:szCs w:val="20"/>
          <w:color w:val="auto"/>
        </w:rPr>
      </w:pPr>
      <w:r>
        <w:rPr>
          <w:rFonts w:ascii="Arial" w:cs="Arial" w:eastAsia="Arial" w:hAnsi="Arial"/>
          <w:sz w:val="17"/>
          <w:szCs w:val="17"/>
          <w:color w:val="auto"/>
        </w:rPr>
        <w:t>Third parties may claim that our products infringe their patents and other intellectual property rights. Identifying third-party patent rights can be particularly difficult because, in general, patent applications can be maintained in secrecy for at least 18 months after their earliest priority date.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 pay royalties or other fees to license rights in order to continue manufacturing and selling our products, or pay substantial damages. Third-party infringement claims, regardless of their outcome, would not only consume our financial resources but also divert our management’s time and effort. Such claims could also cause our customers or potential customers to purchase competitors’ products or defer or limit their purchase or use of our affected products until resolution of the claim. See Note 17 in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 PRICE</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future operating results are difficult to predict and may vary significantly from quarter to quarter, which may adversely affect the price of our common stock.</w:t>
      </w:r>
    </w:p>
    <w:p>
      <w:pPr>
        <w:spacing w:after="0" w:line="116" w:lineRule="exact"/>
        <w:rPr>
          <w:sz w:val="20"/>
          <w:szCs w:val="20"/>
          <w:color w:val="auto"/>
        </w:rPr>
      </w:pPr>
    </w:p>
    <w:p>
      <w:pPr>
        <w:ind w:right="140" w:firstLine="389"/>
        <w:spacing w:after="0" w:line="279" w:lineRule="auto"/>
        <w:rPr>
          <w:sz w:val="20"/>
          <w:szCs w:val="20"/>
          <w:color w:val="auto"/>
        </w:rPr>
      </w:pPr>
      <w:r>
        <w:rPr>
          <w:rFonts w:ascii="Arial" w:cs="Arial" w:eastAsia="Arial" w:hAnsi="Arial"/>
          <w:sz w:val="17"/>
          <w:szCs w:val="17"/>
          <w:color w:val="auto"/>
        </w:rPr>
        <w:t>The ongoing introduction of new products and services that affect our overall product mix make the prediction of future operating results difficult. You should not rely on our past results as any indication of future operating results. The price of our common stock will likely fall in the event that our operating results do not meet the expectations of analysts and investors. Comparisons of our quarterly operating results are an unreliable indication of our future performance because they are likely to vary significantly based on many factors, including:</w:t>
      </w:r>
    </w:p>
    <w:p>
      <w:pPr>
        <w:spacing w:after="0" w:line="11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sales of our products and services in our markets;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introduce new products or services and enhancements in a timely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demand for and acceptance of our products and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competition and the introduction of alternative products or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command favorable pricing for our products and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growth of the market for our devices and services;</w:t>
      </w:r>
    </w:p>
    <w:p>
      <w:pPr>
        <w:spacing w:after="0" w:line="9" w:lineRule="exact"/>
        <w:rPr>
          <w:rFonts w:ascii="Arial" w:cs="Arial" w:eastAsia="Arial" w:hAnsi="Arial"/>
          <w:sz w:val="18"/>
          <w:szCs w:val="18"/>
          <w:color w:val="auto"/>
        </w:rPr>
      </w:pPr>
    </w:p>
    <w:p>
      <w:pPr>
        <w:ind w:left="980" w:right="860" w:hanging="324"/>
        <w:spacing w:after="0" w:line="250"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expansion and rate of success of our direct sales force in the United States and internationally and our independent distributors internationally;</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relating to ongoing FDA compliance;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integrate acquired assets or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timely divest of assets that are covered by Transition Service Agreements;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intellectual property disputes;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timing of orders from independent distributors or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attraction and retention of key personnel, particularly in sales and marketing, regulatory, manufacturing and research and development;</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delays or an inability to control costs;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as well as those specific to our customers and markets;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fluctuations in revenue due to the elective nature of some procedures.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which may cause the value of our stock to decline or subject us to a securities class action litigation.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36" w:name="page37"/>
    <w:bookmarkEnd w:id="36"/>
    <w:p>
      <w:pPr>
        <w:ind w:right="20" w:firstLine="389"/>
        <w:spacing w:after="0" w:line="277" w:lineRule="auto"/>
        <w:rPr>
          <w:sz w:val="20"/>
          <w:szCs w:val="20"/>
          <w:color w:val="auto"/>
        </w:rPr>
      </w:pPr>
      <w:r>
        <w:rPr>
          <w:rFonts w:ascii="Arial" w:cs="Arial" w:eastAsia="Arial" w:hAnsi="Arial"/>
          <w:sz w:val="18"/>
          <w:szCs w:val="18"/>
          <w:color w:val="auto"/>
        </w:rPr>
        <w:t>The trading price of our common stock price may be volatile and could be subject to wide fluctuations in price in response to various factors, many of which are beyond our control, including:</w:t>
      </w:r>
    </w:p>
    <w:p>
      <w:pPr>
        <w:spacing w:after="0" w:line="11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by institutional or other large stockholders;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volume and timing of orders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generally affecting medical device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 perceptions of us and our business, including changes in market valuations of medical device companies;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results of operations and financial performance.</w:t>
      </w:r>
    </w:p>
    <w:p>
      <w:pPr>
        <w:spacing w:after="0" w:line="157" w:lineRule="exact"/>
        <w:rPr>
          <w:sz w:val="20"/>
          <w:szCs w:val="20"/>
          <w:color w:val="auto"/>
        </w:rPr>
      </w:pPr>
    </w:p>
    <w:p>
      <w:pPr>
        <w:ind w:right="340" w:firstLine="389"/>
        <w:spacing w:after="0" w:line="279" w:lineRule="auto"/>
        <w:rPr>
          <w:sz w:val="20"/>
          <w:szCs w:val="20"/>
          <w:color w:val="auto"/>
        </w:rPr>
      </w:pPr>
      <w:r>
        <w:rPr>
          <w:rFonts w:ascii="Arial" w:cs="Arial" w:eastAsia="Arial" w:hAnsi="Arial"/>
          <w:sz w:val="17"/>
          <w:szCs w:val="17"/>
          <w:color w:val="auto"/>
        </w:rPr>
        <w:t>In connection with the recent stock market decline that began in March 2020, the closing market price of our common stock has declined significantly. In recent years, the stock market in general has experienced extreme price and volume fluctuations that have affected the market price for many companies in industries similar to ours. Some of these fluctuations have been unrelated to operating performance and are attributable, in part, to outside factors such as the recent coronavirus (COVID-19) outbreak and its potential impact on the world economy.</w:t>
      </w:r>
    </w:p>
    <w:p>
      <w:pPr>
        <w:spacing w:after="0" w:line="117" w:lineRule="exact"/>
        <w:rPr>
          <w:sz w:val="20"/>
          <w:szCs w:val="20"/>
          <w:color w:val="auto"/>
        </w:rPr>
      </w:pPr>
    </w:p>
    <w:p>
      <w:pPr>
        <w:ind w:firstLine="389"/>
        <w:spacing w:after="0" w:line="275" w:lineRule="auto"/>
        <w:rPr>
          <w:sz w:val="20"/>
          <w:szCs w:val="20"/>
          <w:color w:val="auto"/>
        </w:rPr>
      </w:pPr>
      <w:r>
        <w:rPr>
          <w:rFonts w:ascii="Arial" w:cs="Arial" w:eastAsia="Arial" w:hAnsi="Arial"/>
          <w:sz w:val="17"/>
          <w:szCs w:val="17"/>
          <w:color w:val="auto"/>
        </w:rPr>
        <w:t>In addition, the stock market in general, and the NASDAQ Stock Market and the market for medical devices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market price of its common stock. We may become involved in this type of litigation in the future. Any securities litigation claims brought against us could result in substantial expense and the diversion of management’s attention from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7" w:name="page38"/>
    <w:bookmarkEnd w:id="37"/>
    <w:p>
      <w:pPr>
        <w:spacing w:after="0"/>
        <w:tabs>
          <w:tab w:leader="none" w:pos="12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1350" w:right="1440" w:bottom="1440" w:gutter="0" w:footer="0" w:header="0"/>
        </w:sectPr>
      </w:pPr>
    </w:p>
    <w:bookmarkStart w:id="38" w:name="page39"/>
    <w:bookmarkEnd w:id="38"/>
    <w:p>
      <w:pPr>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year ended May 31, 2020, we operated in the following locations:</w:t>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5000" w:type="dxa"/>
            <w:vAlign w:val="bottom"/>
            <w:vMerge w:val="restart"/>
          </w:tcPr>
          <w:p>
            <w:pPr>
              <w:jc w:val="center"/>
              <w:ind w:left="733"/>
              <w:spacing w:after="0"/>
              <w:rPr>
                <w:sz w:val="20"/>
                <w:szCs w:val="20"/>
                <w:color w:val="auto"/>
              </w:rPr>
            </w:pPr>
            <w:r>
              <w:rPr>
                <w:rFonts w:ascii="Arial" w:cs="Arial" w:eastAsia="Arial" w:hAnsi="Arial"/>
                <w:sz w:val="14"/>
                <w:szCs w:val="14"/>
                <w:b w:val="1"/>
                <w:bCs w:val="1"/>
                <w:color w:val="auto"/>
                <w:w w:val="89"/>
              </w:rPr>
              <w:t>Purpose</w:t>
            </w:r>
          </w:p>
        </w:tc>
        <w:tc>
          <w:tcPr>
            <w:tcW w:w="1800" w:type="dxa"/>
            <w:vAlign w:val="bottom"/>
          </w:tcPr>
          <w:p>
            <w:pPr>
              <w:jc w:val="right"/>
              <w:ind w:right="495"/>
              <w:spacing w:after="0"/>
              <w:rPr>
                <w:sz w:val="20"/>
                <w:szCs w:val="20"/>
                <w:color w:val="auto"/>
              </w:rPr>
            </w:pPr>
            <w:r>
              <w:rPr>
                <w:rFonts w:ascii="Arial" w:cs="Arial" w:eastAsia="Arial" w:hAnsi="Arial"/>
                <w:sz w:val="14"/>
                <w:szCs w:val="14"/>
                <w:b w:val="1"/>
                <w:bCs w:val="1"/>
                <w:color w:val="auto"/>
              </w:rPr>
              <w:t>Approx.</w:t>
            </w:r>
          </w:p>
        </w:tc>
        <w:tc>
          <w:tcPr>
            <w:tcW w:w="1300" w:type="dxa"/>
            <w:vAlign w:val="bottom"/>
          </w:tcPr>
          <w:p>
            <w:pPr>
              <w:jc w:val="right"/>
              <w:ind w:right="315"/>
              <w:spacing w:after="0"/>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auto"/>
            </w:tcBorders>
            <w:vMerge w:val="continue"/>
          </w:tcPr>
          <w:p>
            <w:pPr>
              <w:spacing w:after="0"/>
              <w:rPr>
                <w:sz w:val="16"/>
                <w:szCs w:val="16"/>
                <w:color w:val="auto"/>
              </w:rPr>
            </w:pPr>
          </w:p>
        </w:tc>
        <w:tc>
          <w:tcPr>
            <w:tcW w:w="50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Sq. Ft.</w:t>
            </w:r>
          </w:p>
        </w:tc>
        <w:tc>
          <w:tcPr>
            <w:tcW w:w="13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Latham, NY</w:t>
            </w:r>
          </w:p>
        </w:tc>
        <w:tc>
          <w:tcPr>
            <w:tcW w:w="5000" w:type="dxa"/>
            <w:vAlign w:val="bottom"/>
            <w:tcBorders>
              <w:bottom w:val="single" w:sz="8" w:color="CCEEFF"/>
            </w:tcBorders>
            <w:shd w:val="clear" w:color="auto" w:fill="CCEEFF"/>
          </w:tcPr>
          <w:p>
            <w:pPr>
              <w:jc w:val="center"/>
              <w:ind w:left="753"/>
              <w:spacing w:after="0"/>
              <w:rPr>
                <w:sz w:val="20"/>
                <w:szCs w:val="20"/>
                <w:color w:val="auto"/>
              </w:rPr>
            </w:pPr>
            <w:r>
              <w:rPr>
                <w:rFonts w:ascii="Arial" w:cs="Arial" w:eastAsia="Arial" w:hAnsi="Arial"/>
                <w:sz w:val="18"/>
                <w:szCs w:val="18"/>
                <w:color w:val="auto"/>
                <w:w w:val="87"/>
              </w:rPr>
              <w:t>Corporate headquarters</w:t>
            </w:r>
          </w:p>
        </w:tc>
        <w:tc>
          <w:tcPr>
            <w:tcW w:w="180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39,000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Glens Falls, NY</w:t>
            </w:r>
          </w:p>
        </w:tc>
        <w:tc>
          <w:tcPr>
            <w:tcW w:w="5000" w:type="dxa"/>
            <w:vAlign w:val="bottom"/>
          </w:tcPr>
          <w:p>
            <w:pPr>
              <w:jc w:val="center"/>
              <w:ind w:left="733"/>
              <w:spacing w:after="0"/>
              <w:rPr>
                <w:sz w:val="20"/>
                <w:szCs w:val="20"/>
                <w:color w:val="auto"/>
              </w:rPr>
            </w:pPr>
            <w:r>
              <w:rPr>
                <w:rFonts w:ascii="Arial" w:cs="Arial" w:eastAsia="Arial" w:hAnsi="Arial"/>
                <w:sz w:val="18"/>
                <w:szCs w:val="18"/>
                <w:color w:val="auto"/>
                <w:w w:val="92"/>
              </w:rPr>
              <w:t>Manufacturing</w:t>
            </w:r>
          </w:p>
        </w:tc>
        <w:tc>
          <w:tcPr>
            <w:tcW w:w="1800" w:type="dxa"/>
            <w:vAlign w:val="bottom"/>
          </w:tcPr>
          <w:p>
            <w:pPr>
              <w:jc w:val="right"/>
              <w:ind w:right="235"/>
              <w:spacing w:after="0"/>
              <w:rPr>
                <w:sz w:val="20"/>
                <w:szCs w:val="20"/>
                <w:color w:val="auto"/>
              </w:rPr>
            </w:pPr>
            <w:r>
              <w:rPr>
                <w:rFonts w:ascii="Arial" w:cs="Arial" w:eastAsia="Arial" w:hAnsi="Arial"/>
                <w:sz w:val="18"/>
                <w:szCs w:val="18"/>
                <w:color w:val="auto"/>
              </w:rPr>
              <w:t>41,000</w:t>
            </w:r>
          </w:p>
        </w:tc>
        <w:tc>
          <w:tcPr>
            <w:tcW w:w="130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Queensbury, NY</w:t>
            </w:r>
          </w:p>
        </w:tc>
        <w:tc>
          <w:tcPr>
            <w:tcW w:w="5000" w:type="dxa"/>
            <w:vAlign w:val="bottom"/>
            <w:tcBorders>
              <w:bottom w:val="single" w:sz="8" w:color="CCEEFF"/>
            </w:tcBorders>
            <w:shd w:val="clear" w:color="auto" w:fill="CCEEFF"/>
          </w:tcPr>
          <w:p>
            <w:pPr>
              <w:jc w:val="center"/>
              <w:ind w:left="753"/>
              <w:spacing w:after="0"/>
              <w:rPr>
                <w:sz w:val="20"/>
                <w:szCs w:val="20"/>
                <w:color w:val="auto"/>
              </w:rPr>
            </w:pPr>
            <w:r>
              <w:rPr>
                <w:rFonts w:ascii="Arial" w:cs="Arial" w:eastAsia="Arial" w:hAnsi="Arial"/>
                <w:sz w:val="18"/>
                <w:szCs w:val="18"/>
                <w:color w:val="auto"/>
                <w:w w:val="92"/>
              </w:rPr>
              <w:t>Manufacturing and distribution</w:t>
            </w:r>
          </w:p>
        </w:tc>
        <w:tc>
          <w:tcPr>
            <w:tcW w:w="180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194,000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Marlborough, MA</w:t>
            </w:r>
          </w:p>
        </w:tc>
        <w:tc>
          <w:tcPr>
            <w:tcW w:w="5000" w:type="dxa"/>
            <w:vAlign w:val="bottom"/>
          </w:tcPr>
          <w:p>
            <w:pPr>
              <w:jc w:val="center"/>
              <w:ind w:left="733"/>
              <w:spacing w:after="0"/>
              <w:rPr>
                <w:sz w:val="20"/>
                <w:szCs w:val="20"/>
                <w:color w:val="auto"/>
              </w:rPr>
            </w:pPr>
            <w:r>
              <w:rPr>
                <w:rFonts w:ascii="Arial" w:cs="Arial" w:eastAsia="Arial" w:hAnsi="Arial"/>
                <w:sz w:val="18"/>
                <w:szCs w:val="18"/>
                <w:color w:val="auto"/>
                <w:w w:val="88"/>
              </w:rPr>
              <w:t>Research and development</w:t>
            </w:r>
          </w:p>
        </w:tc>
        <w:tc>
          <w:tcPr>
            <w:tcW w:w="1800" w:type="dxa"/>
            <w:vAlign w:val="bottom"/>
          </w:tcPr>
          <w:p>
            <w:pPr>
              <w:jc w:val="right"/>
              <w:ind w:right="235"/>
              <w:spacing w:after="0"/>
              <w:rPr>
                <w:sz w:val="20"/>
                <w:szCs w:val="20"/>
                <w:color w:val="auto"/>
              </w:rPr>
            </w:pPr>
            <w:r>
              <w:rPr>
                <w:rFonts w:ascii="Arial" w:cs="Arial" w:eastAsia="Arial" w:hAnsi="Arial"/>
                <w:sz w:val="18"/>
                <w:szCs w:val="18"/>
                <w:color w:val="auto"/>
              </w:rPr>
              <w:t>31,000</w:t>
            </w:r>
          </w:p>
        </w:tc>
        <w:tc>
          <w:tcPr>
            <w:tcW w:w="130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Amsterdam, NL</w:t>
            </w:r>
          </w:p>
        </w:tc>
        <w:tc>
          <w:tcPr>
            <w:tcW w:w="5000" w:type="dxa"/>
            <w:vAlign w:val="bottom"/>
            <w:tcBorders>
              <w:bottom w:val="single" w:sz="8" w:color="CCEEFF"/>
            </w:tcBorders>
            <w:shd w:val="clear" w:color="auto" w:fill="CCEEFF"/>
          </w:tcPr>
          <w:p>
            <w:pPr>
              <w:jc w:val="center"/>
              <w:ind w:left="733"/>
              <w:spacing w:after="0"/>
              <w:rPr>
                <w:sz w:val="20"/>
                <w:szCs w:val="20"/>
                <w:color w:val="auto"/>
              </w:rPr>
            </w:pPr>
            <w:r>
              <w:rPr>
                <w:rFonts w:ascii="Arial" w:cs="Arial" w:eastAsia="Arial" w:hAnsi="Arial"/>
                <w:sz w:val="18"/>
                <w:szCs w:val="18"/>
                <w:color w:val="auto"/>
                <w:w w:val="91"/>
              </w:rPr>
              <w:t>Selling, marketing and administrative</w:t>
            </w:r>
          </w:p>
        </w:tc>
        <w:tc>
          <w:tcPr>
            <w:tcW w:w="180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8,100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Rehovot, IL</w:t>
            </w:r>
          </w:p>
        </w:tc>
        <w:tc>
          <w:tcPr>
            <w:tcW w:w="5000" w:type="dxa"/>
            <w:vAlign w:val="bottom"/>
          </w:tcPr>
          <w:p>
            <w:pPr>
              <w:jc w:val="center"/>
              <w:ind w:left="753"/>
              <w:spacing w:after="0"/>
              <w:rPr>
                <w:sz w:val="20"/>
                <w:szCs w:val="20"/>
                <w:color w:val="auto"/>
              </w:rPr>
            </w:pPr>
            <w:r>
              <w:rPr>
                <w:rFonts w:ascii="Arial" w:cs="Arial" w:eastAsia="Arial" w:hAnsi="Arial"/>
                <w:sz w:val="18"/>
                <w:szCs w:val="18"/>
                <w:color w:val="auto"/>
                <w:w w:val="92"/>
              </w:rPr>
              <w:t>Manufacturing and distribution</w:t>
            </w:r>
          </w:p>
        </w:tc>
        <w:tc>
          <w:tcPr>
            <w:tcW w:w="1800" w:type="dxa"/>
            <w:vAlign w:val="bottom"/>
          </w:tcPr>
          <w:p>
            <w:pPr>
              <w:jc w:val="right"/>
              <w:ind w:right="235"/>
              <w:spacing w:after="0"/>
              <w:rPr>
                <w:sz w:val="20"/>
                <w:szCs w:val="20"/>
                <w:color w:val="auto"/>
              </w:rPr>
            </w:pPr>
            <w:r>
              <w:rPr>
                <w:rFonts w:ascii="Arial" w:cs="Arial" w:eastAsia="Arial" w:hAnsi="Arial"/>
                <w:sz w:val="18"/>
                <w:szCs w:val="18"/>
                <w:color w:val="auto"/>
              </w:rPr>
              <w:t>4,300</w:t>
            </w:r>
          </w:p>
        </w:tc>
        <w:tc>
          <w:tcPr>
            <w:tcW w:w="130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we lease sales offices in various other jurisdictions.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40" w:top="1107" w:right="459" w:bottom="1440" w:gutter="0" w:footer="0" w:header="0"/>
        </w:sectPr>
      </w:pPr>
    </w:p>
    <w:bookmarkStart w:id="39" w:name="page40"/>
    <w:bookmarkEnd w:id="39"/>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00" w:firstLine="389"/>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171" w:lineRule="exact"/>
        <w:rPr>
          <w:sz w:val="20"/>
          <w:szCs w:val="20"/>
          <w:color w:val="auto"/>
        </w:rPr>
      </w:pPr>
    </w:p>
    <w:p>
      <w:pPr>
        <w:ind w:firstLine="389"/>
        <w:spacing w:after="0" w:line="288"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For US Patent No. 7,785,302, the rejections of six of the ten claims under reexamination were affirmed, but were reversed on four of the ten claims. For U.S. Patent No. 7,959,615 the rejections of eight of the ten claims under reexamination were affirmed but the rejections of the other two of the ten claims were reversed. In the third, for U.S. Patent No. 7,947,022 the rejections of all twenty claims under reexamination were affirmed. Thereafter, Bard sought Rehearing in all three appeals and the Company sought Rehearing in the ‘302 and ‘615 appeals. The PTO denied all three Rehearing Requests, but modified its characterization of one prior art reference for the ‘302 and ‘022 decisions.</w:t>
      </w:r>
    </w:p>
    <w:p>
      <w:pPr>
        <w:spacing w:after="0" w:line="114" w:lineRule="exact"/>
        <w:rPr>
          <w:sz w:val="20"/>
          <w:szCs w:val="20"/>
          <w:color w:val="auto"/>
        </w:rPr>
      </w:pPr>
    </w:p>
    <w:p>
      <w:pPr>
        <w:ind w:firstLine="389"/>
        <w:spacing w:after="0" w:line="285" w:lineRule="auto"/>
        <w:rPr>
          <w:sz w:val="20"/>
          <w:szCs w:val="20"/>
          <w:color w:val="auto"/>
        </w:rPr>
      </w:pPr>
      <w:r>
        <w:rPr>
          <w:rFonts w:ascii="Arial" w:cs="Arial" w:eastAsia="Arial" w:hAnsi="Arial"/>
          <w:sz w:val="16"/>
          <w:szCs w:val="16"/>
          <w:color w:val="auto"/>
        </w:rPr>
        <w:t>Bard filed appeals to the Federal Circuit Court of Appeals in all three reexams and the Company Cross-Appealed for the ‘302 and the ‘615 reexams. MedComp also filed an Amicus Brief in support of the Company on November 22, 2017. Meanwhile, on July 12, 2017 Bard assigned the asserted patents to Bard Peripheral Vascular, Inc. (“BPV”) which was added as co-Appellant before the Federal Circuit and as a co-Plaintiff in the Utah action. An oral hearing was held on September 5, 2018 and the Court rendered its decision on September 28, 2018, affirming that claims 1-5 and 10 of the ‘615 patent were invalid, but that claims 6-7 of the 615 patent and claims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8-9. The USPTO has since issued Inter Partes Reexamination Certificates for the ‘302 Patent for the ‘022 patent and for the ‘615 patent. The Company thereafter filed a Motion to Unstay the Utah Case and that motion was granted. On November 4, 2019 the Court held a joint Status Conference among the Company’s Utah Action and two other cases filed by Bard on the same patents against MedComp and Smiths. The Court set a schedule for defendant's Motions to Dismiss or Transfer. The Company filed its motion on November 25, 2019; and Bard filed a responsive brief and a motion for venue discovery on December 9, 2019. The Company filed a responsive brief on December 16, 2019 and Bard filed a reply on December 23, 2019. On February 27, 2020, the Court referred all non-dispositive motions to the presiding Magistrate and on March 3, 2020 the Court granted Bard’s Motion for Venue Discovery and denied the Company’s transfer motion without prejudice to re-filing after completion of the venue discovery, but no later than June 30, 2020. The parties have since engaged in venue discovery and AngioDynamics re-filed its Motion to Dismiss or Transfer on June 30, 2020. Bard filed an opposition brief on July 28, 2020, and the Company’s Reply is due 14 days thereafter.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333" w:lineRule="exact"/>
        <w:rPr>
          <w:sz w:val="20"/>
          <w:szCs w:val="20"/>
          <w:color w:val="auto"/>
        </w:rPr>
      </w:pPr>
    </w:p>
    <w:p>
      <w:pPr>
        <w:ind w:right="40" w:firstLine="389"/>
        <w:spacing w:after="0" w:line="255" w:lineRule="auto"/>
        <w:rPr>
          <w:sz w:val="20"/>
          <w:szCs w:val="20"/>
          <w:color w:val="auto"/>
        </w:rPr>
      </w:pPr>
      <w:r>
        <w:rPr>
          <w:rFonts w:ascii="Arial" w:cs="Arial" w:eastAsia="Arial" w:hAnsi="Arial"/>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0" w:name="page41"/>
    <w:bookmarkEnd w:id="40"/>
    <w:p>
      <w:pPr>
        <w:ind w:right="160" w:firstLine="389"/>
        <w:spacing w:after="0" w:line="263" w:lineRule="auto"/>
        <w:rPr>
          <w:sz w:val="20"/>
          <w:szCs w:val="20"/>
          <w:color w:val="auto"/>
        </w:rPr>
      </w:pPr>
      <w:r>
        <w:rPr>
          <w:rFonts w:ascii="Arial" w:cs="Arial" w:eastAsia="Arial" w:hAnsi="Arial"/>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30" w:lineRule="exact"/>
        <w:rPr>
          <w:sz w:val="20"/>
          <w:szCs w:val="20"/>
          <w:color w:val="auto"/>
        </w:rPr>
      </w:pPr>
    </w:p>
    <w:p>
      <w:pPr>
        <w:ind w:right="60" w:firstLine="389"/>
        <w:spacing w:after="0" w:line="267" w:lineRule="auto"/>
        <w:rPr>
          <w:sz w:val="20"/>
          <w:szCs w:val="20"/>
          <w:color w:val="auto"/>
        </w:rPr>
      </w:pPr>
      <w:r>
        <w:rPr>
          <w:rFonts w:ascii="Arial" w:cs="Arial" w:eastAsia="Arial" w:hAnsi="Arial"/>
          <w:sz w:val="17"/>
          <w:szCs w:val="17"/>
          <w:color w:val="auto"/>
        </w:rPr>
        <w:t>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(by Magistrate-Judge Fallon) was issued on February 11, 2019 and entered by the Court on February 28, 2019. Jury selection was held on Friday March 1, 2019 and trial began on March 4, 2019. On day four of the jury trial, at the close of C.R. Bard’s case, the Court granted the Company's oral motion for judgment as a matter of law under rule 50(a) as well as its motions for summary judgement on the grounds that the asserted patents are invalid, ineligible, not infringed and not willfully infringed.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filed on September 27, 2019; the Company's answering brief was filed on January 15, 2020; and Bard’s reply brief was filed on March 4, 2020. A hearing date was held on June 1, 2020, and the Company is currently awaiting a decision from the Federal Circuit .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171" w:lineRule="exact"/>
        <w:rPr>
          <w:sz w:val="20"/>
          <w:szCs w:val="20"/>
          <w:color w:val="auto"/>
        </w:rPr>
      </w:pPr>
    </w:p>
    <w:p>
      <w:pPr>
        <w:ind w:right="80" w:firstLine="389"/>
        <w:spacing w:after="0" w:line="257" w:lineRule="auto"/>
        <w:rPr>
          <w:sz w:val="20"/>
          <w:szCs w:val="20"/>
          <w:color w:val="auto"/>
        </w:rPr>
      </w:pPr>
      <w:r>
        <w:rPr>
          <w:rFonts w:ascii="Arial" w:cs="Arial" w:eastAsia="Arial" w:hAnsi="Arial"/>
          <w:sz w:val="17"/>
          <w:szCs w:val="17"/>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Discovery is largely complete, summary judgment will be fully briefed by September 11, 2020, and the case will subsequently proceed to trial thereafter.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171" w:lineRule="exact"/>
        <w:rPr>
          <w:sz w:val="20"/>
          <w:szCs w:val="20"/>
          <w:color w:val="auto"/>
        </w:rPr>
      </w:pPr>
    </w:p>
    <w:p>
      <w:pPr>
        <w:ind w:firstLine="389"/>
        <w:spacing w:after="0" w:line="301" w:lineRule="auto"/>
        <w:rPr>
          <w:sz w:val="20"/>
          <w:szCs w:val="20"/>
          <w:color w:val="auto"/>
        </w:rPr>
      </w:pPr>
      <w:r>
        <w:rPr>
          <w:rFonts w:ascii="Arial" w:cs="Arial" w:eastAsia="Arial" w:hAnsi="Arial"/>
          <w:sz w:val="16"/>
          <w:szCs w:val="16"/>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of fiscal year 2020. The case was subsequently dismissed.</w:t>
      </w:r>
    </w:p>
    <w:p>
      <w:pPr>
        <w:spacing w:after="0" w:line="234"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02"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Our common stock is traded on the Global Select Market tier of the NASDAQ Stock Market LLC (formerly the Nasdaq National Market), under the symbol “ANGO.”</w:t>
      </w:r>
    </w:p>
    <w:p>
      <w:pPr>
        <w:spacing w:after="0" w:line="11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sets forth, for the fiscal quarters indicated, the high and low sale prices for our common stock as reported by the NASDAQ Stock Market.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color w:val="auto"/>
              </w:rPr>
              <w:t>Sale Price</w:t>
            </w:r>
          </w:p>
        </w:tc>
        <w:tc>
          <w:tcPr>
            <w:tcW w:w="1280" w:type="dxa"/>
            <w:vAlign w:val="bottom"/>
            <w:tcBorders>
              <w:bottom w:val="single" w:sz="8" w:color="auto"/>
            </w:tcBorders>
          </w:tcPr>
          <w:p>
            <w:pPr>
              <w:spacing w:after="0"/>
              <w:rPr>
                <w:sz w:val="16"/>
                <w:szCs w:val="16"/>
                <w:color w:val="auto"/>
              </w:rPr>
            </w:pPr>
          </w:p>
        </w:tc>
      </w:tr>
      <w:tr>
        <w:trPr>
          <w:trHeight w:val="196"/>
        </w:trPr>
        <w:tc>
          <w:tcPr>
            <w:tcW w:w="7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ind w:left="320"/>
              <w:spacing w:after="0"/>
              <w:rPr>
                <w:sz w:val="20"/>
                <w:szCs w:val="20"/>
                <w:color w:val="auto"/>
              </w:rPr>
            </w:pPr>
            <w:r>
              <w:rPr>
                <w:rFonts w:ascii="Arial" w:cs="Arial" w:eastAsia="Arial" w:hAnsi="Arial"/>
                <w:sz w:val="14"/>
                <w:szCs w:val="14"/>
                <w:color w:val="auto"/>
              </w:rPr>
              <w:t>High</w:t>
            </w:r>
          </w:p>
        </w:tc>
        <w:tc>
          <w:tcPr>
            <w:tcW w:w="480" w:type="dxa"/>
            <w:vAlign w:val="bottom"/>
          </w:tcPr>
          <w:p>
            <w:pPr>
              <w:spacing w:after="0"/>
              <w:rPr>
                <w:sz w:val="17"/>
                <w:szCs w:val="17"/>
                <w:color w:val="auto"/>
              </w:rPr>
            </w:pPr>
          </w:p>
        </w:tc>
        <w:tc>
          <w:tcPr>
            <w:tcW w:w="1280" w:type="dxa"/>
            <w:vAlign w:val="bottom"/>
          </w:tcPr>
          <w:p>
            <w:pPr>
              <w:jc w:val="right"/>
              <w:ind w:right="674"/>
              <w:spacing w:after="0"/>
              <w:rPr>
                <w:sz w:val="20"/>
                <w:szCs w:val="20"/>
                <w:color w:val="auto"/>
              </w:rPr>
            </w:pPr>
            <w:r>
              <w:rPr>
                <w:rFonts w:ascii="Arial" w:cs="Arial" w:eastAsia="Arial" w:hAnsi="Arial"/>
                <w:sz w:val="14"/>
                <w:szCs w:val="14"/>
                <w:color w:val="auto"/>
              </w:rPr>
              <w:t>Low</w:t>
            </w:r>
          </w:p>
        </w:tc>
      </w:tr>
      <w:tr>
        <w:trPr>
          <w:trHeight w:val="236"/>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May 31, 2020</w:t>
            </w: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8.33</w:t>
            </w:r>
          </w:p>
        </w:tc>
      </w:tr>
      <w:tr>
        <w:trPr>
          <w:trHeight w:val="27"/>
        </w:trPr>
        <w:tc>
          <w:tcPr>
            <w:tcW w:w="7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11.40</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14.23</w:t>
            </w:r>
          </w:p>
        </w:tc>
      </w:tr>
      <w:tr>
        <w:trPr>
          <w:trHeight w:val="27"/>
        </w:trPr>
        <w:tc>
          <w:tcPr>
            <w:tcW w:w="7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18.27</w:t>
            </w:r>
          </w:p>
        </w:tc>
      </w:tr>
      <w:tr>
        <w:trPr>
          <w:trHeight w:val="251"/>
        </w:trPr>
        <w:tc>
          <w:tcPr>
            <w:tcW w:w="75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color w:val="auto"/>
              </w:rPr>
              <w:t>Sale Price</w:t>
            </w:r>
          </w:p>
        </w:tc>
        <w:tc>
          <w:tcPr>
            <w:tcW w:w="1280" w:type="dxa"/>
            <w:vAlign w:val="bottom"/>
            <w:tcBorders>
              <w:bottom w:val="single" w:sz="8" w:color="auto"/>
            </w:tcBorders>
          </w:tcPr>
          <w:p>
            <w:pPr>
              <w:spacing w:after="0"/>
              <w:rPr>
                <w:sz w:val="21"/>
                <w:szCs w:val="21"/>
                <w:color w:val="auto"/>
              </w:rPr>
            </w:pPr>
          </w:p>
        </w:tc>
      </w:tr>
      <w:tr>
        <w:trPr>
          <w:trHeight w:val="196"/>
        </w:trPr>
        <w:tc>
          <w:tcPr>
            <w:tcW w:w="7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ind w:left="320"/>
              <w:spacing w:after="0"/>
              <w:rPr>
                <w:sz w:val="20"/>
                <w:szCs w:val="20"/>
                <w:color w:val="auto"/>
              </w:rPr>
            </w:pPr>
            <w:r>
              <w:rPr>
                <w:rFonts w:ascii="Arial" w:cs="Arial" w:eastAsia="Arial" w:hAnsi="Arial"/>
                <w:sz w:val="14"/>
                <w:szCs w:val="14"/>
                <w:color w:val="auto"/>
              </w:rPr>
              <w:t>High</w:t>
            </w:r>
          </w:p>
        </w:tc>
        <w:tc>
          <w:tcPr>
            <w:tcW w:w="480" w:type="dxa"/>
            <w:vAlign w:val="bottom"/>
          </w:tcPr>
          <w:p>
            <w:pPr>
              <w:spacing w:after="0"/>
              <w:rPr>
                <w:sz w:val="17"/>
                <w:szCs w:val="17"/>
                <w:color w:val="auto"/>
              </w:rPr>
            </w:pPr>
          </w:p>
        </w:tc>
        <w:tc>
          <w:tcPr>
            <w:tcW w:w="1280" w:type="dxa"/>
            <w:vAlign w:val="bottom"/>
          </w:tcPr>
          <w:p>
            <w:pPr>
              <w:jc w:val="right"/>
              <w:ind w:right="674"/>
              <w:spacing w:after="0"/>
              <w:rPr>
                <w:sz w:val="20"/>
                <w:szCs w:val="20"/>
                <w:color w:val="auto"/>
              </w:rPr>
            </w:pPr>
            <w:r>
              <w:rPr>
                <w:rFonts w:ascii="Arial" w:cs="Arial" w:eastAsia="Arial" w:hAnsi="Arial"/>
                <w:sz w:val="14"/>
                <w:szCs w:val="14"/>
                <w:color w:val="auto"/>
              </w:rPr>
              <w:t>Low</w:t>
            </w:r>
          </w:p>
        </w:tc>
      </w:tr>
      <w:tr>
        <w:trPr>
          <w:trHeight w:val="236"/>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May 31, 2019</w:t>
            </w: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18.79</w:t>
            </w:r>
          </w:p>
        </w:tc>
      </w:tr>
      <w:tr>
        <w:trPr>
          <w:trHeight w:val="27"/>
        </w:trPr>
        <w:tc>
          <w:tcPr>
            <w:tcW w:w="7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18.90</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19.84</w:t>
            </w:r>
          </w:p>
        </w:tc>
      </w:tr>
      <w:tr>
        <w:trPr>
          <w:trHeight w:val="27"/>
        </w:trPr>
        <w:tc>
          <w:tcPr>
            <w:tcW w:w="7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18.95</w:t>
            </w:r>
          </w:p>
        </w:tc>
      </w:tr>
      <w:tr>
        <w:trPr>
          <w:trHeight w:val="27"/>
        </w:trPr>
        <w:tc>
          <w:tcPr>
            <w:tcW w:w="7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August 5, 2020, there were 174 holders of record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did not declare any cash dividends on our common stock during our last three fiscal years. We do not anticipate paying any cash dividends on our common stock for the foreseeable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71" w:lineRule="exact"/>
        <w:rPr>
          <w:sz w:val="20"/>
          <w:szCs w:val="20"/>
          <w:color w:val="auto"/>
        </w:rPr>
      </w:pPr>
    </w:p>
    <w:p>
      <w:pPr>
        <w:ind w:right="220" w:firstLine="445"/>
        <w:spacing w:after="0" w:line="279" w:lineRule="auto"/>
        <w:rPr>
          <w:sz w:val="20"/>
          <w:szCs w:val="20"/>
          <w:color w:val="auto"/>
        </w:rPr>
      </w:pPr>
      <w:r>
        <w:rPr>
          <w:rFonts w:ascii="Arial" w:cs="Arial" w:eastAsia="Arial" w:hAnsi="Arial"/>
          <w:sz w:val="17"/>
          <w:szCs w:val="17"/>
          <w:color w:val="auto"/>
        </w:rPr>
        <w:t>The graph below matches AngioDynamics, Inc.’s cumulative 5-year total shareholder return on common stock with the cumulative total returns of the NASDAQ Composite index, the RDG SmallCap Medical Devices index, and the NASDAQ Medical Equipment index. The graph tracks the performance of a $100 investment in our common stock and in each index (with the reinvestment of all dividends) from May 31, 2015 to May 31, 2020. 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5863590" cy="4603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60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ind w:left="20"/>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48" w:lineRule="exact"/>
        <w:rPr>
          <w:sz w:val="20"/>
          <w:szCs w:val="20"/>
          <w:color w:val="auto"/>
        </w:rPr>
      </w:pPr>
    </w:p>
    <w:p>
      <w:pPr>
        <w:ind w:right="400" w:firstLine="389"/>
        <w:spacing w:after="0" w:line="342"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and the related notes and “Management’s Discussion and Analysis of Financial Condition and Results of Operations” included elsewhere in this Annual Report on Form 10-K.</w:t>
      </w:r>
    </w:p>
    <w:p>
      <w:pPr>
        <w:spacing w:after="0" w:line="70" w:lineRule="exact"/>
        <w:rPr>
          <w:sz w:val="20"/>
          <w:szCs w:val="20"/>
          <w:color w:val="auto"/>
        </w:rPr>
      </w:pPr>
    </w:p>
    <w:p>
      <w:pPr>
        <w:ind w:right="20" w:firstLine="389"/>
        <w:spacing w:after="0" w:line="269" w:lineRule="auto"/>
        <w:rPr>
          <w:sz w:val="20"/>
          <w:szCs w:val="20"/>
          <w:color w:val="auto"/>
        </w:rPr>
      </w:pPr>
      <w:r>
        <w:rPr>
          <w:rFonts w:ascii="Arial" w:cs="Arial" w:eastAsia="Arial" w:hAnsi="Arial"/>
          <w:sz w:val="17"/>
          <w:szCs w:val="17"/>
          <w:color w:val="auto"/>
        </w:rPr>
        <w:t>On May 31, 2019, the Company completed the sale of the Fluid Management business and all of the assets used primarily in connection with the Fluid Management business (Note 3). As the disposal of this business represents a strategic shift with a major effect on the Company's operations, for all periods presented in our Consolidated Statements of Operations and Comprehensive Income, all sales, costs, expenses, gains and income taxes attributable to Fluid Management have been reported under the captions, “Income from Discontinued Operations, Net of Income Tax.” The consolidated statements of operations data for the fiscal years ended May 31, 2020, May 31, 2019, and May 31, 2018, and the consolidated balance sheet data as of May 31, 2020 and May 31, 2019, are derived from the consolidated financial statements that are included elsewhere in this Annual Report on Form 10-K. The consolidated statements of operations data for the fiscal years ended May 31, 2017 and May 31, 2016, and the consolidated balance sheet data as of May 31, 2018, May 31, 2017 and May 31, 2016, are derived from audited consolidated financial statements not included in this Annual Report on Form 10-K. Historical results are not necessarily indicative of the results of operations to be expected for future periods. See Note 15 of “Notes to Consolidated Financial Statements” for a description of the method that was used to compute historical basic and diluted net income per share attributable to common stockholders.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9"/>
              </w:rPr>
              <w:t>Year ended May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ind w:left="20"/>
              <w:spacing w:after="0"/>
              <w:rPr>
                <w:sz w:val="20"/>
                <w:szCs w:val="20"/>
                <w:color w:val="auto"/>
              </w:rPr>
            </w:pPr>
            <w:r>
              <w:rPr>
                <w:rFonts w:ascii="Arial" w:cs="Arial" w:eastAsia="Arial" w:hAnsi="Arial"/>
                <w:sz w:val="14"/>
                <w:szCs w:val="14"/>
                <w:color w:val="auto"/>
              </w:rPr>
              <w:t>(in thousands, except per share information)</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Consolidated Statements of Operations Data:</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264,157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270,634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269,788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271,014</w:t>
            </w: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Gross profit (exclusive of intangible amortization)</w:t>
            </w:r>
          </w:p>
        </w:tc>
        <w:tc>
          <w:tcPr>
            <w:tcW w:w="2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150,272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156,000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143,856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143,950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141,719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6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29,682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28,258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24,338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24,148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76,829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74,865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79,789</w:t>
            </w:r>
          </w:p>
        </w:tc>
        <w:tc>
          <w:tcPr>
            <w:tcW w:w="0" w:type="dxa"/>
            <w:vAlign w:val="bottom"/>
          </w:tcPr>
          <w:p>
            <w:pPr>
              <w:spacing w:after="0"/>
              <w:rPr>
                <w:sz w:val="1"/>
                <w:szCs w:val="1"/>
                <w:color w:val="auto"/>
              </w:rPr>
            </w:pPr>
          </w:p>
        </w:tc>
      </w:tr>
      <w:tr>
        <w:trPr>
          <w:trHeight w:val="243"/>
        </w:trPr>
        <w:tc>
          <w:tcPr>
            <w:tcW w:w="4740" w:type="dxa"/>
            <w:vAlign w:val="bottom"/>
          </w:tcPr>
          <w:p>
            <w:pPr>
              <w:ind w:left="6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37,872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34,902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30,991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31,133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30,314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Amortization of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17,056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14,567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43"/>
        </w:trPr>
        <w:tc>
          <w:tcPr>
            <w:tcW w:w="4740" w:type="dxa"/>
            <w:vAlign w:val="bottom"/>
          </w:tcPr>
          <w:p>
            <w:pPr>
              <w:ind w:left="66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158,578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0"/>
        </w:trPr>
        <w:tc>
          <w:tcPr>
            <w:tcW w:w="4740" w:type="dxa"/>
            <w:vAlign w:val="bottom"/>
          </w:tcPr>
          <w:p>
            <w:pPr>
              <w:ind w:left="680"/>
              <w:spacing w:after="0"/>
              <w:rPr>
                <w:sz w:val="20"/>
                <w:szCs w:val="20"/>
                <w:color w:val="auto"/>
              </w:rPr>
            </w:pPr>
            <w:r>
              <w:rPr>
                <w:rFonts w:ascii="Arial" w:cs="Arial" w:eastAsia="Arial" w:hAnsi="Arial"/>
                <w:sz w:val="18"/>
                <w:szCs w:val="18"/>
                <w:color w:val="auto"/>
              </w:rPr>
              <w:t xml:space="preserve">Acquisition, restructuring and other items, net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15,127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15,432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27,510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12,591</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Medical device excise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37"/>
        </w:trPr>
        <w:tc>
          <w:tcPr>
            <w:tcW w:w="4740" w:type="dxa"/>
            <w:vAlign w:val="bottom"/>
          </w:tcPr>
          <w:p>
            <w:pPr>
              <w:ind w:left="11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317,370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165,396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158,026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155,125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165,225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(23,506)</w:t>
            </w:r>
          </w:p>
        </w:tc>
        <w:tc>
          <w:tcPr>
            <w:tcW w:w="0" w:type="dxa"/>
            <w:vAlign w:val="bottom"/>
          </w:tcPr>
          <w:p>
            <w:pPr>
              <w:spacing w:after="0"/>
              <w:rPr>
                <w:sz w:val="1"/>
                <w:szCs w:val="1"/>
                <w:color w:val="auto"/>
              </w:rPr>
            </w:pPr>
          </w:p>
        </w:tc>
      </w:tr>
      <w:tr>
        <w:trPr>
          <w:trHeight w:val="243"/>
        </w:trPr>
        <w:tc>
          <w:tcPr>
            <w:tcW w:w="4740" w:type="dxa"/>
            <w:vAlign w:val="bottom"/>
          </w:tcPr>
          <w:p>
            <w:pPr>
              <w:ind w:left="1100"/>
              <w:spacing w:after="0"/>
              <w:rPr>
                <w:sz w:val="20"/>
                <w:szCs w:val="20"/>
                <w:color w:val="auto"/>
              </w:rPr>
            </w:pPr>
            <w:r>
              <w:rPr>
                <w:rFonts w:ascii="Arial" w:cs="Arial" w:eastAsia="Arial" w:hAnsi="Arial"/>
                <w:sz w:val="18"/>
                <w:szCs w:val="18"/>
                <w:color w:val="auto"/>
              </w:rPr>
              <w:t>Total other expenses, net</w:t>
            </w:r>
          </w:p>
        </w:tc>
        <w:tc>
          <w:tcPr>
            <w:tcW w:w="2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(5,306)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Net loss from continuing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(166,787)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(55,895)</w:t>
            </w:r>
          </w:p>
        </w:tc>
        <w:tc>
          <w:tcPr>
            <w:tcW w:w="0" w:type="dxa"/>
            <w:vAlign w:val="bottom"/>
          </w:tcPr>
          <w:p>
            <w:pPr>
              <w:spacing w:after="0"/>
              <w:rPr>
                <w:sz w:val="1"/>
                <w:szCs w:val="1"/>
                <w:color w:val="auto"/>
              </w:rPr>
            </w:pPr>
          </w:p>
        </w:tc>
      </w:tr>
      <w:tr>
        <w:trPr>
          <w:trHeight w:val="237"/>
        </w:trPr>
        <w:tc>
          <w:tcPr>
            <w:tcW w:w="4740" w:type="dxa"/>
            <w:vAlign w:val="bottom"/>
          </w:tcPr>
          <w:p>
            <w:pPr>
              <w:ind w:left="1100"/>
              <w:spacing w:after="0"/>
              <w:rPr>
                <w:sz w:val="20"/>
                <w:szCs w:val="20"/>
                <w:color w:val="auto"/>
              </w:rPr>
            </w:pPr>
            <w:r>
              <w:rPr>
                <w:rFonts w:ascii="Arial" w:cs="Arial" w:eastAsia="Arial" w:hAnsi="Arial"/>
                <w:sz w:val="18"/>
                <w:szCs w:val="18"/>
                <w:color w:val="auto"/>
              </w:rPr>
              <w:t>Net income from discontinued operations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72,486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22,562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12,060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12,305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(166,787)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61,340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(43,590)</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per share - continuing operations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Income per share - discontinued operations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4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Income (loss) per share</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107" w:right="3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type w:val="continuous"/>
        </w:sectPr>
      </w:pPr>
    </w:p>
    <w:bookmarkStart w:id="44" w:name="page45"/>
    <w:bookmarkEnd w:id="44"/>
    <w:p>
      <w:pPr>
        <w:ind w:right="200" w:firstLine="8"/>
        <w:spacing w:after="0" w:line="275" w:lineRule="auto"/>
        <w:tabs>
          <w:tab w:leader="none" w:pos="2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Acquisition, restructuring and one-time items include restructuring expenses or expenses incurred as part of M&amp;A, product discontinuance, legal settlements and legal costs that are related to litigation that is not in the ordinary course of business.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As of May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96"/>
        </w:trPr>
        <w:tc>
          <w:tcPr>
            <w:tcW w:w="50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2016</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Consolidated Balance Sheet Data:</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cash equivalents and marketable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54,435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227,641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75,413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33,986</w:t>
            </w: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594,214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836,438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705,472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707,961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726,194</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131,907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91,621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96,320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120,541</w:t>
            </w: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Contingent consideration, including current portion</w:t>
            </w:r>
          </w:p>
        </w:tc>
        <w:tc>
          <w:tcPr>
            <w:tcW w:w="26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15,647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13,486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38,275</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87,897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148,321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105,576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121,418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152,239</w:t>
            </w: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454,872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614,815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542,595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515,027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507,228</w:t>
            </w:r>
          </w:p>
        </w:tc>
      </w:tr>
    </w:tbl>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Conditions and Results of Operations.</w:t>
      </w:r>
    </w:p>
    <w:p>
      <w:pPr>
        <w:spacing w:after="0" w:line="202" w:lineRule="exact"/>
        <w:rPr>
          <w:sz w:val="20"/>
          <w:szCs w:val="20"/>
          <w:color w:val="auto"/>
        </w:rPr>
      </w:pPr>
    </w:p>
    <w:p>
      <w:pPr>
        <w:ind w:right="400" w:firstLine="389"/>
        <w:spacing w:after="0" w:line="277" w:lineRule="auto"/>
        <w:rPr>
          <w:sz w:val="20"/>
          <w:szCs w:val="20"/>
          <w:color w:val="auto"/>
        </w:rPr>
      </w:pPr>
      <w:r>
        <w:rPr>
          <w:rFonts w:ascii="Arial" w:cs="Arial" w:eastAsia="Arial" w:hAnsi="Arial"/>
          <w:sz w:val="18"/>
          <w:szCs w:val="18"/>
          <w:color w:val="auto"/>
        </w:rPr>
        <w:t>The following information should be read together with the audited consolidated financial statements and the notes thereto and other information included elsewhere in this annual report on Form 10-K.</w:t>
      </w:r>
    </w:p>
    <w:p>
      <w:pPr>
        <w:spacing w:after="0" w:line="116" w:lineRule="exact"/>
        <w:rPr>
          <w:sz w:val="20"/>
          <w:szCs w:val="20"/>
          <w:color w:val="auto"/>
        </w:rPr>
      </w:pPr>
    </w:p>
    <w:p>
      <w:pPr>
        <w:ind w:right="640" w:firstLine="389"/>
        <w:spacing w:after="0" w:line="277" w:lineRule="auto"/>
        <w:rPr>
          <w:sz w:val="20"/>
          <w:szCs w:val="20"/>
          <w:color w:val="auto"/>
        </w:rPr>
      </w:pPr>
      <w:r>
        <w:rPr>
          <w:rFonts w:ascii="Arial" w:cs="Arial" w:eastAsia="Arial" w:hAnsi="Arial"/>
          <w:sz w:val="18"/>
          <w:szCs w:val="18"/>
          <w:color w:val="auto"/>
        </w:rPr>
        <w:t>For all periods presented in Management's Discussion and Analysis of Financial Conditions and Results of Operations, all sales, cost of sales, expenses, gains and income taxes are exclusive of Fluid Management.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40" w:firstLine="389"/>
        <w:spacing w:after="0" w:line="287" w:lineRule="auto"/>
        <w:rPr>
          <w:sz w:val="20"/>
          <w:szCs w:val="20"/>
          <w:color w:val="auto"/>
        </w:rPr>
      </w:pPr>
      <w:r>
        <w:rPr>
          <w:rFonts w:ascii="Arial" w:cs="Arial" w:eastAsia="Arial" w:hAnsi="Arial"/>
          <w:sz w:val="16"/>
          <w:szCs w:val="16"/>
          <w:color w:val="auto"/>
        </w:rPr>
        <w:t>This annual report on Form 10-K,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our ability to integrate purchased businesses and other factors including natural disasters and pandemics (such as the scope, scale and duration of the impact of the novel coronavirus, COVID-19). Other risks and uncertainties include, but are not limited to, the factors described from time to time in our reports filed with the SEC.</w:t>
      </w:r>
    </w:p>
    <w:p>
      <w:pPr>
        <w:spacing w:after="0" w:line="114" w:lineRule="exact"/>
        <w:rPr>
          <w:sz w:val="20"/>
          <w:szCs w:val="20"/>
          <w:color w:val="auto"/>
        </w:rPr>
      </w:pPr>
    </w:p>
    <w:p>
      <w:pPr>
        <w:ind w:right="20" w:firstLine="389"/>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and Market</w:t>
      </w:r>
    </w:p>
    <w:p>
      <w:pPr>
        <w:spacing w:after="0" w:line="175" w:lineRule="exact"/>
        <w:rPr>
          <w:sz w:val="20"/>
          <w:szCs w:val="20"/>
          <w:color w:val="auto"/>
        </w:rPr>
      </w:pPr>
    </w:p>
    <w:p>
      <w:pPr>
        <w:ind w:right="80" w:firstLine="389"/>
        <w:spacing w:after="0" w:line="311"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implanted for short or long term use.</w:t>
      </w:r>
    </w:p>
    <w:p>
      <w:pPr>
        <w:spacing w:after="0" w:line="95" w:lineRule="exact"/>
        <w:rPr>
          <w:sz w:val="20"/>
          <w:szCs w:val="20"/>
          <w:color w:val="auto"/>
        </w:rPr>
      </w:pPr>
    </w:p>
    <w:p>
      <w:pPr>
        <w:ind w:right="360" w:firstLine="389"/>
        <w:spacing w:after="0" w:line="263" w:lineRule="auto"/>
        <w:rPr>
          <w:sz w:val="20"/>
          <w:szCs w:val="20"/>
          <w:color w:val="auto"/>
        </w:rPr>
      </w:pPr>
      <w:r>
        <w:rPr>
          <w:rFonts w:ascii="Arial" w:cs="Arial" w:eastAsia="Arial" w:hAnsi="Arial"/>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w:t>
      </w:r>
    </w:p>
    <w:p>
      <w:pPr>
        <w:sectPr>
          <w:pgSz w:w="11900" w:h="16838" w:orient="portrait"/>
          <w:cols w:equalWidth="0" w:num="1">
            <w:col w:w="11240"/>
          </w:cols>
          <w:pgMar w:left="320" w:top="10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type w:val="continuous"/>
        </w:sectPr>
      </w:pPr>
    </w:p>
    <w:bookmarkStart w:id="45" w:name="page46"/>
    <w:bookmarkEnd w:id="45"/>
    <w:p>
      <w:pPr>
        <w:ind w:right="60"/>
        <w:spacing w:after="0" w:line="277" w:lineRule="auto"/>
        <w:rPr>
          <w:sz w:val="20"/>
          <w:szCs w:val="20"/>
          <w:color w:val="auto"/>
        </w:rPr>
      </w:pPr>
      <w:r>
        <w:rPr>
          <w:rFonts w:ascii="Arial" w:cs="Arial" w:eastAsia="Arial" w:hAnsi="Arial"/>
          <w:sz w:val="18"/>
          <w:szCs w:val="18"/>
          <w:color w:val="auto"/>
        </w:rPr>
        <w:t>growth is impacted by changes within our sector, such as the merging of competitors to gain scale and influence; changes in the regulatory environment for medical device; and fluctuations in the global economy.</w:t>
      </w:r>
    </w:p>
    <w:p>
      <w:pPr>
        <w:spacing w:after="0" w:line="116" w:lineRule="exact"/>
        <w:rPr>
          <w:sz w:val="20"/>
          <w:szCs w:val="20"/>
          <w:color w:val="auto"/>
        </w:rPr>
      </w:pPr>
    </w:p>
    <w:p>
      <w:pPr>
        <w:ind w:right="180" w:firstLine="389"/>
        <w:spacing w:after="0" w:line="301" w:lineRule="auto"/>
        <w:rPr>
          <w:sz w:val="20"/>
          <w:szCs w:val="20"/>
          <w:color w:val="auto"/>
        </w:rPr>
      </w:pPr>
      <w:r>
        <w:rPr>
          <w:rFonts w:ascii="Arial" w:cs="Arial" w:eastAsia="Arial" w:hAnsi="Arial"/>
          <w:sz w:val="16"/>
          <w:szCs w:val="16"/>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w:t>
      </w:r>
    </w:p>
    <w:p>
      <w:pPr>
        <w:spacing w:after="0" w:line="103" w:lineRule="exact"/>
        <w:rPr>
          <w:sz w:val="20"/>
          <w:szCs w:val="20"/>
          <w:color w:val="auto"/>
        </w:rPr>
      </w:pPr>
    </w:p>
    <w:p>
      <w:pPr>
        <w:ind w:firstLine="389"/>
        <w:spacing w:after="0" w:line="257" w:lineRule="auto"/>
        <w:rPr>
          <w:sz w:val="20"/>
          <w:szCs w:val="20"/>
          <w:color w:val="auto"/>
        </w:rPr>
      </w:pPr>
      <w:r>
        <w:rPr>
          <w:rFonts w:ascii="Arial" w:cs="Arial" w:eastAsia="Arial" w:hAnsi="Arial"/>
          <w:sz w:val="18"/>
          <w:szCs w:val="18"/>
          <w:color w:val="auto"/>
        </w:rPr>
        <w:t>On August 14, 2018, the Company acquired the BioSentry Tract Sealant System (BioSentry) technology from Surgical Specialties, LLC, a medical device company headquartered in Westwood, Massachusetts for a total purchase price of $39.8 million of which $37.0 million was paid on August 14, 2018 and $2.8 million was recorded as contingent consideration. The contingent consideration liability was recorded at fair value and was paid upon fulfillment of hydrogel orders during the fourth quarter of fiscal year 2019. This is part of the Company’s strategic focus on building a continuum of care within the oncology space. Refer to Note 2 for further disclosure on the acquisition.</w:t>
      </w:r>
    </w:p>
    <w:p>
      <w:pPr>
        <w:spacing w:after="0" w:line="134" w:lineRule="exact"/>
        <w:rPr>
          <w:sz w:val="20"/>
          <w:szCs w:val="20"/>
          <w:color w:val="auto"/>
        </w:rPr>
      </w:pPr>
    </w:p>
    <w:p>
      <w:pPr>
        <w:ind w:firstLine="389"/>
        <w:spacing w:after="0" w:line="269" w:lineRule="auto"/>
        <w:rPr>
          <w:sz w:val="20"/>
          <w:szCs w:val="20"/>
          <w:color w:val="auto"/>
        </w:rPr>
      </w:pPr>
      <w:r>
        <w:rPr>
          <w:rFonts w:ascii="Arial" w:cs="Arial" w:eastAsia="Arial" w:hAnsi="Arial"/>
          <w:sz w:val="17"/>
          <w:szCs w:val="17"/>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This acquisition expands the Company’s growing Oncology business by adding RadiaDyne’s early-stage, proprietary OARtrac® real-time radiation dose monitoring platform and other market-leading oncology solutions, including the IsoLoc®/ImmobiLoc® and Alatus® balloon stabilizing technologies. During fiscal year 2020, the Company revised the sales projections for RadiaDyne products as a result of reviews performed by executive management. The adjustments to the sales projections over the contractual earn-out period resulted in a $9.2 million reduction in the fair value of the contingent liability. It was also determined that one of the technical milestones would not be achieved, which resulted in an additional reduction in the liability of $2.7 million. In addition, an inventory reserve of $1.0 million was recorded for raw materials and existing dosimetry inventory associated with OARtrac that was purchased pursuant to the Company's acquisition of RadiaDyne, as these inventory items were deemed unmarketable absent subsequent design and development activities.</w:t>
      </w:r>
    </w:p>
    <w:p>
      <w:pPr>
        <w:spacing w:after="0" w:line="128" w:lineRule="exact"/>
        <w:rPr>
          <w:sz w:val="20"/>
          <w:szCs w:val="20"/>
          <w:color w:val="auto"/>
        </w:rPr>
      </w:pPr>
    </w:p>
    <w:p>
      <w:pPr>
        <w:jc w:val="both"/>
        <w:ind w:right="220" w:firstLine="389"/>
        <w:spacing w:after="0" w:line="263" w:lineRule="auto"/>
        <w:rPr>
          <w:sz w:val="20"/>
          <w:szCs w:val="20"/>
          <w:color w:val="auto"/>
        </w:rPr>
      </w:pPr>
      <w:r>
        <w:rPr>
          <w:rFonts w:ascii="Arial" w:cs="Arial" w:eastAsia="Arial" w:hAnsi="Arial"/>
          <w:sz w:val="18"/>
          <w:szCs w:val="18"/>
          <w:color w:val="auto"/>
        </w:rPr>
        <w:t>On March 7, 2019, the United States District Court for the District of Delaware granted judgment as a matter of law under rule 50(a) in favor of the Company. This judgment dismissed Bard's suit claiming certain of the Company's implantable port products infringe on three U.S. patents held by Bard. See Note 17 for additional disclosure.</w:t>
      </w:r>
    </w:p>
    <w:p>
      <w:pPr>
        <w:spacing w:after="0" w:line="130" w:lineRule="exact"/>
        <w:rPr>
          <w:sz w:val="20"/>
          <w:szCs w:val="20"/>
          <w:color w:val="auto"/>
        </w:rPr>
      </w:pPr>
    </w:p>
    <w:p>
      <w:pPr>
        <w:ind w:firstLine="389"/>
        <w:spacing w:after="0" w:line="274" w:lineRule="auto"/>
        <w:rPr>
          <w:sz w:val="20"/>
          <w:szCs w:val="20"/>
          <w:color w:val="auto"/>
        </w:rPr>
      </w:pPr>
      <w:r>
        <w:rPr>
          <w:rFonts w:ascii="Arial" w:cs="Arial" w:eastAsia="Arial" w:hAnsi="Arial"/>
          <w:sz w:val="17"/>
          <w:szCs w:val="17"/>
          <w:color w:val="auto"/>
        </w:rPr>
        <w:t>On March 14, 2019, the Company entered into a settlement agreement with Biolitec, Inc. related to the action commenced in the United States District Court for the Northern District of New York in January 2008. The Company sought judgment against Biolitec for defense and indemnification</w:t>
      </w:r>
    </w:p>
    <w:p>
      <w:pPr>
        <w:ind w:right="520"/>
        <w:spacing w:after="0" w:line="260" w:lineRule="auto"/>
        <w:rPr>
          <w:sz w:val="20"/>
          <w:szCs w:val="20"/>
          <w:color w:val="auto"/>
        </w:rPr>
      </w:pPr>
      <w:r>
        <w:rPr>
          <w:rFonts w:ascii="Arial" w:cs="Arial" w:eastAsia="Arial" w:hAnsi="Arial"/>
          <w:sz w:val="18"/>
          <w:szCs w:val="18"/>
          <w:color w:val="auto"/>
        </w:rPr>
        <w:t>in two lawsuits which were previously settled. As a result of the settlement, Biolitec paid the Company $3.4 million during fiscal year 2019 and $0.5 million during fiscal year 2020.</w:t>
      </w:r>
    </w:p>
    <w:p>
      <w:pPr>
        <w:spacing w:after="0" w:line="131" w:lineRule="exact"/>
        <w:rPr>
          <w:sz w:val="20"/>
          <w:szCs w:val="20"/>
          <w:color w:val="auto"/>
        </w:rPr>
      </w:pPr>
    </w:p>
    <w:p>
      <w:pPr>
        <w:ind w:right="40" w:firstLine="389"/>
        <w:spacing w:after="0" w:line="287" w:lineRule="auto"/>
        <w:rPr>
          <w:sz w:val="20"/>
          <w:szCs w:val="20"/>
          <w:color w:val="auto"/>
        </w:rPr>
      </w:pPr>
      <w:r>
        <w:rPr>
          <w:rFonts w:ascii="Arial" w:cs="Arial" w:eastAsia="Arial" w:hAnsi="Arial"/>
          <w:sz w:val="16"/>
          <w:szCs w:val="16"/>
          <w:color w:val="auto"/>
        </w:rPr>
        <w:t>On May 31, 2019, the Company completed the sale of the NAMIC Fluid Management business (the “Divestiture”) and all of the assets used primarily in connection with the Fluid Management business to Medline Industries, Inc. (“Medline”) pursuant to an asset purchase agreement dated April 17, 2019 (the “Asset Purchase Agreement”). Total consideration received by the Company for the Divestiture in the fourth quarter of fiscal year 2019 was</w:t>
      </w:r>
    </w:p>
    <w:p>
      <w:pPr>
        <w:spacing w:after="0" w:line="2"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$169.2 million in cash and resulted in a gain of $46.6 million after working capital adjustments of $0.6 million. The gain is recorded in discontinued operations. A portion of the net proceeds were used on June 3, 2019 to retire the outstanding balance on the Term Loan and Revolving Facility and the remaining net proceeds will continue to be invested in the business.</w:t>
      </w:r>
    </w:p>
    <w:p>
      <w:pPr>
        <w:spacing w:after="0" w:line="136" w:lineRule="exact"/>
        <w:rPr>
          <w:sz w:val="20"/>
          <w:szCs w:val="20"/>
          <w:color w:val="auto"/>
        </w:rPr>
      </w:pPr>
    </w:p>
    <w:p>
      <w:pPr>
        <w:ind w:right="240" w:firstLine="389"/>
        <w:spacing w:after="0" w:line="301" w:lineRule="auto"/>
        <w:rPr>
          <w:sz w:val="20"/>
          <w:szCs w:val="20"/>
          <w:color w:val="auto"/>
        </w:rPr>
      </w:pPr>
      <w:r>
        <w:rPr>
          <w:rFonts w:ascii="Arial" w:cs="Arial" w:eastAsia="Arial" w:hAnsi="Arial"/>
          <w:sz w:val="16"/>
          <w:szCs w:val="16"/>
          <w:color w:val="auto"/>
        </w:rPr>
        <w:t>On October 2, 2019, the Company entered into a share purchase agreement to acquire Eximo Medical, Ltd., a pre-commercial stage medical device company and its proprietary 355nm laser atherectomy technology. The aggregate purchase price of $60.7 million included an upfront payment of $45.8 million and contingent consideration with an estimated fair value of $14.9 million. This acquisition expands and complements the Company’s Vascular Interventions and Therapies product portfolio by adding the 355nm laser atherectomy technology which treats Peripheral Artery Disease.</w:t>
      </w:r>
    </w:p>
    <w:p>
      <w:pPr>
        <w:spacing w:after="0" w:line="103" w:lineRule="exact"/>
        <w:rPr>
          <w:sz w:val="20"/>
          <w:szCs w:val="20"/>
          <w:color w:val="auto"/>
        </w:rPr>
      </w:pPr>
    </w:p>
    <w:p>
      <w:pPr>
        <w:ind w:right="140" w:firstLine="389"/>
        <w:spacing w:after="0" w:line="301" w:lineRule="auto"/>
        <w:rPr>
          <w:sz w:val="20"/>
          <w:szCs w:val="20"/>
          <w:color w:val="auto"/>
        </w:rPr>
      </w:pPr>
      <w:r>
        <w:rPr>
          <w:rFonts w:ascii="Arial" w:cs="Arial" w:eastAsia="Arial" w:hAnsi="Arial"/>
          <w:sz w:val="16"/>
          <w:szCs w:val="16"/>
          <w:color w:val="auto"/>
        </w:rPr>
        <w:t>On December 17, 2019, the Company acquired the C3 Wave tip location asset from Medical Components Inc. for an aggregate purchase price of $10.0 million with $5.0 million of potential future contingent consideration related to technical milestones. This acquisition fills a gap in the Vascular Access portfolio and supports the Company's strategic plan. The Company accounted for this acquisition as an asset purchase. The Company recorded the amount paid at closing as inventory of $0.6 million and intangible assets of a trademark of $0.9 million and product technology of $8.5 million.</w:t>
      </w:r>
    </w:p>
    <w:p>
      <w:pPr>
        <w:spacing w:after="0" w:line="103" w:lineRule="exact"/>
        <w:rPr>
          <w:sz w:val="20"/>
          <w:szCs w:val="20"/>
          <w:color w:val="auto"/>
        </w:rPr>
      </w:pPr>
    </w:p>
    <w:p>
      <w:pPr>
        <w:ind w:right="360" w:firstLine="389"/>
        <w:spacing w:after="0" w:line="261" w:lineRule="auto"/>
        <w:rPr>
          <w:sz w:val="20"/>
          <w:szCs w:val="20"/>
          <w:color w:val="auto"/>
        </w:rPr>
      </w:pPr>
      <w:r>
        <w:rPr>
          <w:rFonts w:ascii="Arial" w:cs="Arial" w:eastAsia="Arial" w:hAnsi="Arial"/>
          <w:sz w:val="18"/>
          <w:szCs w:val="18"/>
          <w:color w:val="auto"/>
        </w:rPr>
        <w:t>As of May 31, 2020, the Company identified a triggering event resulting from the Company’s market capitalization being below its book value of equity for a sustained period of time. Following the triggering event at May 31, 2020, the Company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ind w:right="100"/>
        <w:spacing w:after="0" w:line="261" w:lineRule="auto"/>
        <w:rPr>
          <w:sz w:val="20"/>
          <w:szCs w:val="20"/>
          <w:color w:val="auto"/>
        </w:rPr>
      </w:pPr>
      <w:r>
        <w:rPr>
          <w:rFonts w:ascii="Arial" w:cs="Arial" w:eastAsia="Arial" w:hAnsi="Arial"/>
          <w:sz w:val="18"/>
          <w:szCs w:val="18"/>
          <w:color w:val="auto"/>
        </w:rPr>
        <w:t>determined its fair value using a combination of the income approach and market approach. This valuation assessment indicated that the Company’s book value exceeded its fair value, resulting in an impairment of goodwill of $158.6 million.</w:t>
      </w:r>
    </w:p>
    <w:p>
      <w:pPr>
        <w:spacing w:after="0" w:line="198" w:lineRule="exact"/>
        <w:rPr>
          <w:sz w:val="20"/>
          <w:szCs w:val="20"/>
          <w:color w:val="auto"/>
        </w:rPr>
      </w:pPr>
    </w:p>
    <w:p>
      <w:pPr>
        <w:ind w:firstLine="389"/>
        <w:spacing w:after="0" w:line="296" w:lineRule="auto"/>
        <w:rPr>
          <w:sz w:val="20"/>
          <w:szCs w:val="20"/>
          <w:color w:val="auto"/>
        </w:rPr>
      </w:pPr>
      <w:r>
        <w:rPr>
          <w:rFonts w:ascii="Arial" w:cs="Arial" w:eastAsia="Arial" w:hAnsi="Arial"/>
          <w:sz w:val="16"/>
          <w:szCs w:val="16"/>
          <w:color w:val="auto"/>
        </w:rPr>
        <w:t>The COVID-19 global pandemic may pose significant risks to our business. It is too early to quantify the impact this situation will have on fiscal year 2021 or beyond, but the public health actions being undertaken to reduce spread of the virus are causing and may continue to cause significant disruptions with respect to consumer demand, hospital operating procedures and workflow, our ability to continue to manufacture products and the reliability of our supply chain. Accordingly, management is evaluating the Company’s liquidity position, communicating with and monitoring the actions of our customers and suppliers, and reviewing our near-term financial performance as we manage the Company through the uncertainty related to the coronavirus.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the date of this report:</w:t>
      </w:r>
    </w:p>
    <w:p>
      <w:pPr>
        <w:spacing w:after="0" w:line="171" w:lineRule="exact"/>
        <w:rPr>
          <w:sz w:val="20"/>
          <w:szCs w:val="20"/>
          <w:color w:val="auto"/>
        </w:rPr>
      </w:pPr>
    </w:p>
    <w:p>
      <w:pPr>
        <w:ind w:left="980" w:right="660" w:hanging="324"/>
        <w:spacing w:after="0" w:line="25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field based sales personnel are starting to re-enter the field in a safe and well orchestrated manner in order to once again provide unparalleled service to our physicians.</w:t>
      </w:r>
    </w:p>
    <w:p>
      <w:pPr>
        <w:spacing w:after="0" w:line="1" w:lineRule="exact"/>
        <w:rPr>
          <w:rFonts w:ascii="Arial" w:cs="Arial" w:eastAsia="Arial" w:hAnsi="Arial"/>
          <w:sz w:val="18"/>
          <w:szCs w:val="18"/>
          <w:color w:val="auto"/>
        </w:rPr>
      </w:pPr>
    </w:p>
    <w:p>
      <w:pPr>
        <w:ind w:left="980" w:right="4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Latham headquarters reopened in accordance with New York State guidelines. Our other office-based employees continue to work remotely.</w:t>
      </w:r>
    </w:p>
    <w:p>
      <w:pPr>
        <w:ind w:left="980" w:right="340" w:hanging="324"/>
        <w:spacing w:after="0" w:line="26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manufacturing facility in Queensbury, New York is operating under our business continuity plan with precautions including, without limitation, creating small “work pods”, increasing distancing and regularly monitoring temperatures.</w:t>
      </w:r>
    </w:p>
    <w:p>
      <w:pPr>
        <w:spacing w:after="0" w:line="131" w:lineRule="exact"/>
        <w:rPr>
          <w:sz w:val="20"/>
          <w:szCs w:val="20"/>
          <w:color w:val="auto"/>
        </w:rPr>
      </w:pPr>
    </w:p>
    <w:p>
      <w:pPr>
        <w:ind w:right="40" w:firstLine="389"/>
        <w:spacing w:after="0" w:line="263" w:lineRule="auto"/>
        <w:rPr>
          <w:sz w:val="20"/>
          <w:szCs w:val="20"/>
          <w:color w:val="auto"/>
        </w:rPr>
      </w:pPr>
      <w:r>
        <w:rPr>
          <w:rFonts w:ascii="Arial" w:cs="Arial" w:eastAsia="Arial" w:hAnsi="Arial"/>
          <w:sz w:val="18"/>
          <w:szCs w:val="18"/>
          <w:color w:val="auto"/>
        </w:rPr>
        <w:t>We anticipate that guidance and restrictions from the Center for Medicaid Services, hospitals and hospital systems, to reduce “elective-like” procedures and prioritize critical care and coronavirus patients, will have a materially adverse impact on certain procedure volumes to which certain of our products relate.</w:t>
      </w:r>
    </w:p>
    <w:p>
      <w:pPr>
        <w:spacing w:after="0" w:line="130" w:lineRule="exact"/>
        <w:rPr>
          <w:sz w:val="20"/>
          <w:szCs w:val="20"/>
          <w:color w:val="auto"/>
        </w:rPr>
      </w:pPr>
    </w:p>
    <w:p>
      <w:pPr>
        <w:ind w:right="520" w:firstLine="389"/>
        <w:spacing w:after="0" w:line="277" w:lineRule="auto"/>
        <w:rPr>
          <w:sz w:val="20"/>
          <w:szCs w:val="20"/>
          <w:color w:val="auto"/>
        </w:rPr>
      </w:pPr>
      <w:r>
        <w:rPr>
          <w:rFonts w:ascii="Arial" w:cs="Arial" w:eastAsia="Arial" w:hAnsi="Arial"/>
          <w:sz w:val="18"/>
          <w:szCs w:val="18"/>
          <w:color w:val="auto"/>
        </w:rPr>
        <w:t>As discussed in more detail below, we will closely monitor our liquidity and capital resources through the disruption caused by the COVID-19 pandemic.</w:t>
      </w:r>
    </w:p>
    <w:p>
      <w:pPr>
        <w:spacing w:after="0" w:line="116" w:lineRule="exact"/>
        <w:rPr>
          <w:sz w:val="20"/>
          <w:szCs w:val="20"/>
          <w:color w:val="auto"/>
        </w:rPr>
      </w:pPr>
    </w:p>
    <w:p>
      <w:pPr>
        <w:ind w:right="80" w:firstLine="389"/>
        <w:spacing w:after="0" w:line="342" w:lineRule="auto"/>
        <w:rPr>
          <w:sz w:val="20"/>
          <w:szCs w:val="20"/>
          <w:color w:val="auto"/>
        </w:rPr>
      </w:pPr>
      <w:r>
        <w:rPr>
          <w:rFonts w:ascii="Arial" w:cs="Arial" w:eastAsia="Arial" w:hAnsi="Arial"/>
          <w:sz w:val="16"/>
          <w:szCs w:val="16"/>
          <w:color w:val="auto"/>
        </w:rPr>
        <w:t>In evaluating the operating performance of our business, management focuses on revenue, gross margin, operating income, earnings per share and cash flow from operations. A summary of these key financial metrics for the year ended May 31, 2020 compared to the year ended May 31, 2019 follows: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Year ended May 31, 2020:</w:t>
      </w:r>
    </w:p>
    <w:p>
      <w:pPr>
        <w:spacing w:after="0" w:line="17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decreased by 2.4% to $264.2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margin as a percentage of sales decreased by 70 bps to 56.9%</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loss increased by $157.7 million to $167.1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flow from operations decreased by $52.0 million to cash used in operations of $14.6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Initiatives to Drive Growth</w:t>
      </w:r>
    </w:p>
    <w:p>
      <w:pPr>
        <w:spacing w:after="0" w:line="175" w:lineRule="exact"/>
        <w:rPr>
          <w:sz w:val="20"/>
          <w:szCs w:val="20"/>
          <w:color w:val="auto"/>
        </w:rPr>
      </w:pPr>
    </w:p>
    <w:p>
      <w:pPr>
        <w:ind w:right="540" w:firstLine="389"/>
        <w:spacing w:after="0" w:line="277" w:lineRule="auto"/>
        <w:rPr>
          <w:sz w:val="20"/>
          <w:szCs w:val="20"/>
          <w:color w:val="auto"/>
        </w:rPr>
      </w:pPr>
      <w:r>
        <w:rPr>
          <w:rFonts w:ascii="Arial" w:cs="Arial" w:eastAsia="Arial" w:hAnsi="Arial"/>
          <w:sz w:val="18"/>
          <w:szCs w:val="18"/>
          <w:color w:val="auto"/>
        </w:rPr>
        <w:t>Throughout the year, we introduced strategic moves designed to streamline our business, improve our overall business operations and position ourselves for growth. Those initiatives included:</w:t>
      </w:r>
    </w:p>
    <w:p>
      <w:pPr>
        <w:spacing w:after="0" w:line="116" w:lineRule="exact"/>
        <w:rPr>
          <w:sz w:val="20"/>
          <w:szCs w:val="20"/>
          <w:color w:val="auto"/>
        </w:rPr>
      </w:pPr>
    </w:p>
    <w:p>
      <w:pPr>
        <w:ind w:left="660" w:right="400" w:hanging="328"/>
        <w:spacing w:after="0" w:line="25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Product development process. </w:t>
      </w:r>
      <w:r>
        <w:rPr>
          <w:rFonts w:ascii="Arial" w:cs="Arial" w:eastAsia="Arial" w:hAnsi="Arial"/>
          <w:sz w:val="18"/>
          <w:szCs w:val="18"/>
          <w:color w:val="auto"/>
        </w:rPr>
        <w:t>The Company continued its robust product development process which is intended to improve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bring new products to market.</w:t>
      </w:r>
    </w:p>
    <w:p>
      <w:pPr>
        <w:spacing w:after="0" w:line="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Value Creation. </w:t>
      </w:r>
      <w:r>
        <w:rPr>
          <w:rFonts w:ascii="Arial" w:cs="Arial" w:eastAsia="Arial" w:hAnsi="Arial"/>
          <w:sz w:val="17"/>
          <w:szCs w:val="17"/>
          <w:color w:val="auto"/>
        </w:rPr>
        <w:t>To create value and drive future growth, the Company plans to practice dispassionate portfolio optimization and continue to focus</w:t>
      </w:r>
      <w:r>
        <w:rPr>
          <w:rFonts w:ascii="Arial" w:cs="Arial" w:eastAsia="Arial" w:hAnsi="Arial"/>
          <w:sz w:val="17"/>
          <w:szCs w:val="17"/>
          <w:i w:val="1"/>
          <w:iCs w:val="1"/>
          <w:color w:val="auto"/>
        </w:rPr>
        <w:t xml:space="preserve"> </w:t>
      </w:r>
      <w:r>
        <w:rPr>
          <w:rFonts w:ascii="Arial" w:cs="Arial" w:eastAsia="Arial" w:hAnsi="Arial"/>
          <w:sz w:val="17"/>
          <w:szCs w:val="17"/>
          <w:color w:val="auto"/>
        </w:rPr>
        <w:t>on areas of compelling unmet needs including those that are patient-centric and evidenced-based. This was evident through the Auryon and C3 Wave tip location acquisitions noted. In addition, the Company is pursuing targeted global expansion opportunities.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71" w:lineRule="exact"/>
        <w:rPr>
          <w:sz w:val="20"/>
          <w:szCs w:val="20"/>
          <w:color w:val="auto"/>
        </w:rPr>
      </w:pPr>
    </w:p>
    <w:p>
      <w:pPr>
        <w:ind w:right="40" w:firstLine="389"/>
        <w:spacing w:after="0" w:line="259" w:lineRule="auto"/>
        <w:rPr>
          <w:sz w:val="20"/>
          <w:szCs w:val="20"/>
          <w:color w:val="auto"/>
        </w:rPr>
      </w:pPr>
      <w:r>
        <w:rPr>
          <w:rFonts w:ascii="Arial" w:cs="Arial" w:eastAsia="Arial" w:hAnsi="Arial"/>
          <w:sz w:val="18"/>
          <w:szCs w:val="18"/>
          <w:color w:val="auto"/>
        </w:rPr>
        <w:t>Our significant accounting policies are summarized in Note 1 to Notes to Consolidated Financial Statements included in our Form 10-K.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47" w:name="page48"/>
    <w:bookmarkEnd w:id="47"/>
    <w:p>
      <w:pPr>
        <w:ind w:right="100" w:firstLine="389"/>
        <w:spacing w:after="0" w:line="275"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2" w:lineRule="exact"/>
        <w:rPr>
          <w:sz w:val="20"/>
          <w:szCs w:val="20"/>
          <w:color w:val="auto"/>
        </w:rPr>
      </w:pPr>
    </w:p>
    <w:p>
      <w:pPr>
        <w:ind w:right="260" w:firstLine="389"/>
        <w:spacing w:after="0" w:line="296" w:lineRule="auto"/>
        <w:rPr>
          <w:sz w:val="20"/>
          <w:szCs w:val="20"/>
          <w:color w:val="auto"/>
        </w:rPr>
      </w:pPr>
      <w:r>
        <w:rPr>
          <w:rFonts w:ascii="Arial" w:cs="Arial" w:eastAsia="Arial" w:hAnsi="Arial"/>
          <w:sz w:val="16"/>
          <w:szCs w:val="16"/>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temporarily implanted for short- or longer-term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07" w:lineRule="exact"/>
        <w:rPr>
          <w:sz w:val="20"/>
          <w:szCs w:val="20"/>
          <w:color w:val="auto"/>
        </w:rPr>
      </w:pPr>
    </w:p>
    <w:p>
      <w:pPr>
        <w:ind w:right="20" w:firstLine="389"/>
        <w:spacing w:after="0" w:line="301"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3" w:lineRule="exact"/>
        <w:rPr>
          <w:sz w:val="20"/>
          <w:szCs w:val="20"/>
          <w:color w:val="auto"/>
        </w:rPr>
      </w:pPr>
    </w:p>
    <w:p>
      <w:pPr>
        <w:jc w:val="both"/>
        <w:ind w:right="340" w:firstLine="389"/>
        <w:spacing w:after="0" w:line="259" w:lineRule="auto"/>
        <w:rPr>
          <w:sz w:val="20"/>
          <w:szCs w:val="20"/>
          <w:color w:val="auto"/>
        </w:rPr>
      </w:pPr>
      <w:r>
        <w:rPr>
          <w:rFonts w:ascii="Arial" w:cs="Arial" w:eastAsia="Arial" w:hAnsi="Arial"/>
          <w:sz w:val="18"/>
          <w:szCs w:val="18"/>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 the transaction price utilizing the expected value method. As such, revenue is recorded net of rebates, returns and other deductions.</w:t>
      </w:r>
    </w:p>
    <w:p>
      <w:pPr>
        <w:spacing w:after="0" w:line="133" w:lineRule="exact"/>
        <w:rPr>
          <w:sz w:val="20"/>
          <w:szCs w:val="20"/>
          <w:color w:val="auto"/>
        </w:rPr>
      </w:pPr>
    </w:p>
    <w:p>
      <w:pPr>
        <w:ind w:right="200" w:firstLine="389"/>
        <w:spacing w:after="0" w:line="257"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 Contracts with our customers typically include a single performance obligation related to the sale of our products.</w:t>
      </w:r>
    </w:p>
    <w:p>
      <w:pPr>
        <w:spacing w:after="0" w:line="134" w:lineRule="exact"/>
        <w:rPr>
          <w:sz w:val="20"/>
          <w:szCs w:val="20"/>
          <w:color w:val="auto"/>
        </w:rPr>
      </w:pPr>
    </w:p>
    <w:p>
      <w:pPr>
        <w:ind w:right="60" w:firstLine="389"/>
        <w:spacing w:after="0" w:line="263"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30" w:lineRule="exact"/>
        <w:rPr>
          <w:sz w:val="20"/>
          <w:szCs w:val="20"/>
          <w:color w:val="auto"/>
        </w:rPr>
      </w:pPr>
    </w:p>
    <w:p>
      <w:pPr>
        <w:ind w:right="300" w:firstLine="389"/>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71" w:lineRule="exact"/>
        <w:rPr>
          <w:sz w:val="20"/>
          <w:szCs w:val="20"/>
          <w:color w:val="auto"/>
        </w:rPr>
      </w:pPr>
    </w:p>
    <w:p>
      <w:pPr>
        <w:jc w:val="both"/>
        <w:ind w:right="380" w:firstLine="389"/>
        <w:spacing w:after="0" w:line="286"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w:t>
      </w:r>
    </w:p>
    <w:p>
      <w:pPr>
        <w:spacing w:after="0" w:line="111" w:lineRule="exact"/>
        <w:rPr>
          <w:sz w:val="20"/>
          <w:szCs w:val="20"/>
          <w:color w:val="auto"/>
        </w:rPr>
      </w:pPr>
    </w:p>
    <w:p>
      <w:pPr>
        <w:ind w:firstLine="389"/>
        <w:spacing w:after="0" w:line="257" w:lineRule="auto"/>
        <w:rPr>
          <w:sz w:val="20"/>
          <w:szCs w:val="20"/>
          <w:color w:val="auto"/>
        </w:rPr>
      </w:pPr>
      <w:r>
        <w:rPr>
          <w:rFonts w:ascii="Arial" w:cs="Arial" w:eastAsia="Arial" w:hAnsi="Arial"/>
          <w:sz w:val="18"/>
          <w:szCs w:val="18"/>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4" w:lineRule="exact"/>
        <w:rPr>
          <w:sz w:val="20"/>
          <w:szCs w:val="20"/>
          <w:color w:val="auto"/>
        </w:rPr>
      </w:pPr>
    </w:p>
    <w:p>
      <w:pPr>
        <w:ind w:right="260" w:firstLine="389"/>
        <w:spacing w:after="0" w:line="263" w:lineRule="auto"/>
        <w:rPr>
          <w:sz w:val="20"/>
          <w:szCs w:val="20"/>
          <w:color w:val="auto"/>
        </w:rPr>
      </w:pPr>
      <w:r>
        <w:rPr>
          <w:rFonts w:ascii="Arial" w:cs="Arial" w:eastAsia="Arial" w:hAnsi="Arial"/>
          <w:sz w:val="18"/>
          <w:szCs w:val="18"/>
          <w:color w:val="auto"/>
        </w:rPr>
        <w:t>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consolidated balance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8" w:name="page49"/>
    <w:bookmarkEnd w:id="48"/>
    <w:p>
      <w:pPr>
        <w:ind w:right="140"/>
        <w:spacing w:after="0" w:line="277" w:lineRule="auto"/>
        <w:rPr>
          <w:sz w:val="20"/>
          <w:szCs w:val="20"/>
          <w:color w:val="auto"/>
        </w:rPr>
      </w:pPr>
      <w:r>
        <w:rPr>
          <w:rFonts w:ascii="Arial" w:cs="Arial" w:eastAsia="Arial" w:hAnsi="Arial"/>
          <w:sz w:val="18"/>
          <w:szCs w:val="18"/>
          <w:color w:val="auto"/>
        </w:rPr>
        <w:t>sheets. These rebates and allowances result from performance-based offers that are primarily based on attaining contractually specified sales volumes and administrative fees the Company is required to pay to group purchasing organizations.</w:t>
      </w:r>
    </w:p>
    <w:p>
      <w:pPr>
        <w:spacing w:after="0" w:line="116" w:lineRule="exact"/>
        <w:rPr>
          <w:sz w:val="20"/>
          <w:szCs w:val="20"/>
          <w:color w:val="auto"/>
        </w:rPr>
      </w:pPr>
    </w:p>
    <w:p>
      <w:pPr>
        <w:ind w:firstLine="389"/>
        <w:spacing w:after="0" w:line="273" w:lineRule="auto"/>
        <w:rPr>
          <w:sz w:val="20"/>
          <w:szCs w:val="20"/>
          <w:color w:val="auto"/>
        </w:rPr>
      </w:pPr>
      <w:r>
        <w:rPr>
          <w:rFonts w:ascii="Arial" w:cs="Arial" w:eastAsia="Arial" w:hAnsi="Arial"/>
          <w:sz w:val="17"/>
          <w:szCs w:val="17"/>
          <w:color w:val="auto"/>
        </w:rPr>
        <w:t>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2020, such product returns were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Contingent Consideration</w:t>
      </w:r>
    </w:p>
    <w:p>
      <w:pPr>
        <w:spacing w:after="0" w:line="171" w:lineRule="exact"/>
        <w:rPr>
          <w:sz w:val="20"/>
          <w:szCs w:val="20"/>
          <w:color w:val="auto"/>
        </w:rPr>
      </w:pPr>
    </w:p>
    <w:p>
      <w:pPr>
        <w:ind w:right="60" w:firstLine="389"/>
        <w:spacing w:after="0" w:line="254" w:lineRule="auto"/>
        <w:rPr>
          <w:sz w:val="20"/>
          <w:szCs w:val="20"/>
          <w:color w:val="auto"/>
        </w:rPr>
      </w:pPr>
      <w:r>
        <w:rPr>
          <w:rFonts w:ascii="Arial" w:cs="Arial" w:eastAsia="Arial" w:hAnsi="Arial"/>
          <w:sz w:val="18"/>
          <w:szCs w:val="18"/>
          <w:color w:val="auto"/>
        </w:rPr>
        <w:t>The Company allocates the purchase price of acquired companies to the tangible and intangible assets acquired and liabilities assumed based on their estimated fair values. The estimates used to value the net assets acquired are based in part on historical experience and information obtained from the management of the acquired company. The Company generally values the identifiable intangible assets acquired using a discounted cash flow model. The significant estimates used in valuing certain of the intangible assets include, but are not limited to: future expected cash flows of the asset, discount rates to determine the present value of the future cash flows, attrition rates of customers, royalty rates and expected technology life cycles. The Company also estimates the useful lives of the intangible assets based on the expected period over which the Company anticipates generating economic benefit from the asset.</w:t>
      </w:r>
    </w:p>
    <w:p>
      <w:pPr>
        <w:spacing w:after="0" w:line="141" w:lineRule="exact"/>
        <w:rPr>
          <w:sz w:val="20"/>
          <w:szCs w:val="20"/>
          <w:color w:val="auto"/>
        </w:rPr>
      </w:pPr>
    </w:p>
    <w:p>
      <w:pPr>
        <w:ind w:right="260" w:firstLine="389"/>
        <w:spacing w:after="0" w:line="277" w:lineRule="auto"/>
        <w:rPr>
          <w:sz w:val="20"/>
          <w:szCs w:val="20"/>
          <w:color w:val="auto"/>
        </w:rPr>
      </w:pPr>
      <w:r>
        <w:rPr>
          <w:rFonts w:ascii="Arial" w:cs="Arial" w:eastAsia="Arial" w:hAnsi="Arial"/>
          <w:sz w:val="18"/>
          <w:szCs w:val="18"/>
          <w:color w:val="auto"/>
        </w:rPr>
        <w:t>The Company’s estimates of fair value are based on assumptions believed to be reasonable at that time. If management made different estimates or judgments, material differences in the fair values of the net assets acquired may result.</w:t>
      </w:r>
    </w:p>
    <w:p>
      <w:pPr>
        <w:spacing w:after="0" w:line="116" w:lineRule="exact"/>
        <w:rPr>
          <w:sz w:val="20"/>
          <w:szCs w:val="20"/>
          <w:color w:val="auto"/>
        </w:rPr>
      </w:pPr>
    </w:p>
    <w:p>
      <w:pPr>
        <w:ind w:right="40" w:firstLine="389"/>
        <w:spacing w:after="0" w:line="268" w:lineRule="auto"/>
        <w:rPr>
          <w:sz w:val="20"/>
          <w:szCs w:val="20"/>
          <w:color w:val="auto"/>
        </w:rPr>
      </w:pPr>
      <w:r>
        <w:rPr>
          <w:rFonts w:ascii="Arial" w:cs="Arial" w:eastAsia="Arial" w:hAnsi="Arial"/>
          <w:sz w:val="17"/>
          <w:szCs w:val="17"/>
          <w:color w:val="auto"/>
        </w:rPr>
        <w:t>Certain of the Company’s business combinations involve potential payment of future consideration that is contingent upon the achievement of certain product development milestones and/or contingent on the acquired business reaching certain performance milestones. The Company records contingent consideration at fair value at the date of acquisition based on the consideration expected to be transferred, estimated as the probability weighted future cash flows, discounted back to present value. The fair value of contingent consideration is measured using projected payment dates, discount rates, probabilities of payment, and projected revenues (for revenue-based considerations). Projected revenues are based on the Company’s most recent internal operational budgets and long-range strategic plans. The discount rate used is determined at the time of measurement in accordance with accepted valuation methodologies. Changes in projected revenues, probabilities of payment, discount rates, and projected payment dates may result in adjustments to the fair value measurements. Contingent consideration is remeasured each reporting period using Level 3 inputs, and the change in fair value, including accretion for the passage of time, is recognized as income or expense within operating expenses in the consolidated statements of income. Contingent consideration payments made soon after the acquisition date are classified as investing activities in the consolidated statements of cash flows. Contingent consideration payments not made soon after the acquisition date that are related to the acquisition date fair value are reported as financing activities in the consolidated statements of cash flows, and amounts paid in excess of the original acquisition date fair value are reported as operating activities in the consolidated statements of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71" w:lineRule="exact"/>
        <w:rPr>
          <w:sz w:val="20"/>
          <w:szCs w:val="20"/>
          <w:color w:val="auto"/>
        </w:rPr>
      </w:pPr>
    </w:p>
    <w:p>
      <w:pPr>
        <w:ind w:right="40" w:firstLine="389"/>
        <w:spacing w:after="0" w:line="289" w:lineRule="auto"/>
        <w:rPr>
          <w:sz w:val="20"/>
          <w:szCs w:val="20"/>
          <w:color w:val="auto"/>
        </w:rPr>
      </w:pPr>
      <w:r>
        <w:rPr>
          <w:rFonts w:ascii="Arial" w:cs="Arial" w:eastAsia="Arial" w:hAnsi="Arial"/>
          <w:sz w:val="16"/>
          <w:szCs w:val="16"/>
          <w:color w:val="auto"/>
        </w:rPr>
        <w:t>Intangible assets other than goodwill, indefinite lived intangible assets and in process research and development ("IP R&amp;D") are amortized over their estimated useful lives, which range between two to eighteen years, on either a straight-line basis over the expected period of benefit or as revenues are earned from the sales of the related product. The Company periodically reviews the estimated useful lives of intangible assets and reviews such assets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The Company operates as a single asset group.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112" w:lineRule="exact"/>
        <w:rPr>
          <w:sz w:val="20"/>
          <w:szCs w:val="20"/>
          <w:color w:val="auto"/>
        </w:rPr>
      </w:pPr>
    </w:p>
    <w:p>
      <w:pPr>
        <w:ind w:right="160" w:firstLine="389"/>
        <w:spacing w:after="0" w:line="259"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9" w:name="page50"/>
    <w:bookmarkEnd w:id="49"/>
    <w:p>
      <w:pPr>
        <w:ind w:right="20" w:firstLine="389"/>
        <w:spacing w:after="0" w:line="273" w:lineRule="auto"/>
        <w:rPr>
          <w:sz w:val="20"/>
          <w:szCs w:val="20"/>
          <w:color w:val="auto"/>
        </w:rPr>
      </w:pPr>
      <w:r>
        <w:rPr>
          <w:rFonts w:ascii="Arial" w:cs="Arial" w:eastAsia="Arial" w:hAnsi="Arial"/>
          <w:sz w:val="17"/>
          <w:szCs w:val="17"/>
          <w:color w:val="auto"/>
        </w:rPr>
        <w:t>For goodwill, the impairment test requires a comparison of the estimated fair value of the reporting unit to which the goodwill is assigned to the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The Company operates as a single operating segment with one reporting unit and consequently evaluates goodwill for impairment based on an evaluation of the fair value of the Company as a whole. If the carrying value of the reporting unit exceeds the fair value of the reporting unit, the carrying value is reduced to its fair value through an adjustment to the goodwill balance, resulting in an impairment charge.</w:t>
      </w:r>
    </w:p>
    <w:p>
      <w:pPr>
        <w:spacing w:after="0" w:line="124" w:lineRule="exact"/>
        <w:rPr>
          <w:sz w:val="20"/>
          <w:szCs w:val="20"/>
          <w:color w:val="auto"/>
        </w:rPr>
      </w:pPr>
    </w:p>
    <w:p>
      <w:pPr>
        <w:ind w:right="200" w:firstLine="389"/>
        <w:spacing w:after="0" w:line="263" w:lineRule="auto"/>
        <w:rPr>
          <w:sz w:val="20"/>
          <w:szCs w:val="20"/>
          <w:color w:val="auto"/>
        </w:rPr>
      </w:pPr>
      <w:r>
        <w:rPr>
          <w:rFonts w:ascii="Arial" w:cs="Arial" w:eastAsia="Arial" w:hAnsi="Arial"/>
          <w:sz w:val="18"/>
          <w:szCs w:val="18"/>
          <w:color w:val="auto"/>
        </w:rPr>
        <w:t>Determining the fair value of a reporting unit is judgmental and requires the use of significant estimates and assumptions, including revenue growth rates, operating margins, discount rates and future market conditions, among others. Changes in assumptions or estimates could materially affect the estimated fair value, and therefore could affect the likelihood and amount of a potential impairment.</w:t>
      </w:r>
    </w:p>
    <w:p>
      <w:pPr>
        <w:spacing w:after="0" w:line="130" w:lineRule="exact"/>
        <w:rPr>
          <w:sz w:val="20"/>
          <w:szCs w:val="20"/>
          <w:color w:val="auto"/>
        </w:rPr>
      </w:pPr>
    </w:p>
    <w:p>
      <w:pPr>
        <w:ind w:right="380" w:firstLine="389"/>
        <w:spacing w:after="0" w:line="277" w:lineRule="auto"/>
        <w:rPr>
          <w:sz w:val="20"/>
          <w:szCs w:val="20"/>
          <w:color w:val="auto"/>
        </w:rPr>
      </w:pPr>
      <w:r>
        <w:rPr>
          <w:rFonts w:ascii="Arial" w:cs="Arial" w:eastAsia="Arial" w:hAnsi="Arial"/>
          <w:sz w:val="18"/>
          <w:szCs w:val="18"/>
          <w:color w:val="auto"/>
        </w:rPr>
        <w:t>In the fourth quarter of fiscal year 2020, the Company concluded that the sustained decline in its market capitalization represented an impairment indicator that required the Company to perform an interim test for goodwill impairment as of May 31, 2020.</w:t>
      </w:r>
    </w:p>
    <w:p>
      <w:pPr>
        <w:spacing w:after="0" w:line="116" w:lineRule="exact"/>
        <w:rPr>
          <w:sz w:val="20"/>
          <w:szCs w:val="20"/>
          <w:color w:val="auto"/>
        </w:rPr>
      </w:pPr>
    </w:p>
    <w:p>
      <w:pPr>
        <w:ind w:right="40" w:firstLine="389"/>
        <w:spacing w:after="0" w:line="270" w:lineRule="auto"/>
        <w:rPr>
          <w:sz w:val="20"/>
          <w:szCs w:val="20"/>
          <w:color w:val="auto"/>
        </w:rPr>
      </w:pPr>
      <w:r>
        <w:rPr>
          <w:rFonts w:ascii="Arial" w:cs="Arial" w:eastAsia="Arial" w:hAnsi="Arial"/>
          <w:sz w:val="17"/>
          <w:szCs w:val="17"/>
          <w:color w:val="auto"/>
        </w:rPr>
        <w:t>To determine the fair value of the single reporting unit as of May 31, 2020, the Company utilized a weighting of fair values derived from the income approach and the market approach. The income approach is based on the projected cash flows that are discounted to their present value using discount rates that consider the timing and risk of the forecasted cash flows. Fair value is estimated using internally developed forecasts and assumptions. The discount rate used is the average estimated value of a market participant’s cost of capital and debt, derived using customary market metrics and includes an additional risk premium to account for additional forecast and company specific risk. Other significant assumptions include revenue growth rates, profitability projections, and terminal value growth rates. The market approach estimates fair values based on the determination of appropriate publicly traded market comparison companies and market multiples of revenue and earnings derived from those companies with similar operating and investment characteristics as the Company being valued. Finally, the Company compared and reconciled the Company’s overall fair value to its market capitalization in order to assess the reasonableness of the calculated fair values of the reporting unit.</w:t>
      </w:r>
    </w:p>
    <w:p>
      <w:pPr>
        <w:spacing w:after="0" w:line="127"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As detailed in Note 9, "Goodwill and Intangible Assets," the Company recorded a goodwill impairment loss of $158.6 million for the year ended May 31, 2020 as the fair value of the reporting unit was less than its carrying value.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May 31, 2020 and 2019</w:t>
      </w:r>
    </w:p>
    <w:p>
      <w:pPr>
        <w:spacing w:after="0" w:line="175" w:lineRule="exact"/>
        <w:rPr>
          <w:sz w:val="20"/>
          <w:szCs w:val="20"/>
          <w:color w:val="auto"/>
        </w:rPr>
      </w:pPr>
    </w:p>
    <w:p>
      <w:pPr>
        <w:ind w:right="380" w:firstLine="389"/>
        <w:spacing w:after="0" w:line="342" w:lineRule="auto"/>
        <w:rPr>
          <w:sz w:val="20"/>
          <w:szCs w:val="20"/>
          <w:color w:val="auto"/>
        </w:rPr>
      </w:pPr>
      <w:r>
        <w:rPr>
          <w:rFonts w:ascii="Arial" w:cs="Arial" w:eastAsia="Arial" w:hAnsi="Arial"/>
          <w:sz w:val="16"/>
          <w:szCs w:val="16"/>
          <w:color w:val="auto"/>
        </w:rPr>
        <w:t>For the fiscal year ended May 31, 2020, we reported net loss from continuing operations of $166.8 million, or $4.39 loss per diluted share, on net sales of $264.2 million compared to a fiscal year 2019 net loss of $11.1 million, or $0.30 loss per diluted share, on net sales of $270.6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our products and related freight charges, less discounts and returns.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year ended May 31, 2020 and 2019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1"/>
              </w:rPr>
              <w:t>Year ended May 31,</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 Growth</w:t>
            </w: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Product Category</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112,706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119,901</w:t>
            </w:r>
          </w:p>
        </w:tc>
        <w:tc>
          <w:tcPr>
            <w:tcW w:w="1520" w:type="dxa"/>
            <w:vAlign w:val="bottom"/>
            <w:gridSpan w:val="2"/>
          </w:tcPr>
          <w:p>
            <w:pPr>
              <w:jc w:val="right"/>
              <w:ind w:right="448"/>
              <w:spacing w:after="0"/>
              <w:rPr>
                <w:sz w:val="20"/>
                <w:szCs w:val="20"/>
                <w:color w:val="auto"/>
              </w:rPr>
            </w:pPr>
            <w:r>
              <w:rPr>
                <w:rFonts w:ascii="Arial" w:cs="Arial" w:eastAsia="Arial" w:hAnsi="Arial"/>
                <w:sz w:val="18"/>
                <w:szCs w:val="18"/>
                <w:color w:val="auto"/>
              </w:rPr>
              <w:t>(6)%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94,730</w:t>
            </w:r>
          </w:p>
        </w:tc>
        <w:tc>
          <w:tcPr>
            <w:tcW w:w="1520" w:type="dxa"/>
            <w:vAlign w:val="bottom"/>
            <w:tcBorders>
              <w:bottom w:val="single" w:sz="8" w:color="CCEEFF"/>
            </w:tcBorders>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Oncology/Surgery</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57,152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56,003</w:t>
            </w:r>
          </w:p>
        </w:tc>
        <w:tc>
          <w:tcPr>
            <w:tcW w:w="1520" w:type="dxa"/>
            <w:vAlign w:val="bottom"/>
            <w:gridSpan w:val="2"/>
          </w:tcPr>
          <w:p>
            <w:pPr>
              <w:jc w:val="right"/>
              <w:ind w:right="508"/>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8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264,157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270,634</w:t>
            </w:r>
          </w:p>
        </w:tc>
        <w:tc>
          <w:tcPr>
            <w:tcW w:w="152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207,980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216,957</w:t>
            </w:r>
          </w:p>
        </w:tc>
        <w:tc>
          <w:tcPr>
            <w:tcW w:w="1520" w:type="dxa"/>
            <w:vAlign w:val="bottom"/>
            <w:gridSpan w:val="2"/>
          </w:tcPr>
          <w:p>
            <w:pPr>
              <w:jc w:val="right"/>
              <w:ind w:right="448"/>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56,177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53,677</w:t>
            </w:r>
          </w:p>
        </w:tc>
        <w:tc>
          <w:tcPr>
            <w:tcW w:w="1520" w:type="dxa"/>
            <w:vAlign w:val="bottom"/>
            <w:tcBorders>
              <w:bottom w:val="single" w:sz="8" w:color="CCEEFF"/>
            </w:tcBorders>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5%</w:t>
            </w:r>
          </w:p>
        </w:tc>
      </w:tr>
      <w:tr>
        <w:trPr>
          <w:trHeight w:val="264"/>
        </w:trPr>
        <w:tc>
          <w:tcPr>
            <w:tcW w:w="674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264,157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270,634</w:t>
            </w:r>
          </w:p>
        </w:tc>
        <w:tc>
          <w:tcPr>
            <w:tcW w:w="1520" w:type="dxa"/>
            <w:vAlign w:val="bottom"/>
            <w:gridSpan w:val="2"/>
          </w:tcPr>
          <w:p>
            <w:pPr>
              <w:jc w:val="right"/>
              <w:ind w:right="448"/>
              <w:spacing w:after="0"/>
              <w:rPr>
                <w:sz w:val="20"/>
                <w:szCs w:val="20"/>
                <w:color w:val="auto"/>
              </w:rPr>
            </w:pPr>
            <w:r>
              <w:rPr>
                <w:rFonts w:ascii="Arial" w:cs="Arial" w:eastAsia="Arial" w:hAnsi="Arial"/>
                <w:sz w:val="18"/>
                <w:szCs w:val="18"/>
                <w:color w:val="auto"/>
              </w:rPr>
              <w:t>(2)%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year ended May 31, 2020, net sales decreased $6.5 million to $264.2 million compared to the year ended May 31,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auto"/>
        </w:rPr>
        <w:t>Vascular Interventions &amp; Therapies</w:t>
      </w:r>
    </w:p>
    <w:p>
      <w:pPr>
        <w:spacing w:after="0" w:line="171" w:lineRule="exact"/>
        <w:rPr>
          <w:sz w:val="20"/>
          <w:szCs w:val="20"/>
          <w:color w:val="auto"/>
        </w:rPr>
      </w:pPr>
    </w:p>
    <w:p>
      <w:pPr>
        <w:ind w:left="660" w:right="40" w:hanging="328"/>
        <w:spacing w:after="0" w:line="284"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Vascular Interventions &amp; Therapies sales decreased $7.2 million primarily attributable to decreased sales of Venous and Core products of $10.4 million and $2.3 million, respectively. The decrease in Venous products is due to the impact from COVID-19, as this is considered an elective procedure, along with the termination of the Asclera distribution agreement which contributed $5.9 million in the prior year. The decrease in Core products is a direct result of COVID-19 as Core product sales were up year-over-year through the end of the third quarter. These decreases were partially offset by continued strong performance in AngioVac, where case volumes were up 19% year-over-year. There was $0.7 million in sales of Auryon that was acquired as part of the Eximo acquisition in the second quarter of fiscal year 2020.</w:t>
      </w:r>
    </w:p>
    <w:p>
      <w:pPr>
        <w:spacing w:after="0" w:line="4" w:lineRule="exact"/>
        <w:rPr>
          <w:rFonts w:ascii="Arial" w:cs="Arial" w:eastAsia="Arial" w:hAnsi="Arial"/>
          <w:sz w:val="16"/>
          <w:szCs w:val="16"/>
          <w:color w:val="auto"/>
        </w:rPr>
      </w:pPr>
    </w:p>
    <w:p>
      <w:pPr>
        <w:ind w:left="660" w:right="320" w:hanging="328"/>
        <w:spacing w:after="0" w:line="26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U.S. Vascular Interventions &amp; Therapies sales decreased $7.8 million due to decreased sales volume in Venous and Core products as discussed above. This was partially offset by increased case volume in AngioVac and $0.7 million in sales of Auryon.</w:t>
      </w:r>
    </w:p>
    <w:p>
      <w:pPr>
        <w:ind w:left="660" w:right="42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increased $0.6 million due to increased volume in Angiographic catheters primarily in EMEA (Europe, the Middle East and Africa).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171" w:lineRule="exact"/>
        <w:rPr>
          <w:sz w:val="20"/>
          <w:szCs w:val="20"/>
          <w:color w:val="auto"/>
        </w:rPr>
      </w:pPr>
    </w:p>
    <w:p>
      <w:pPr>
        <w:jc w:val="both"/>
        <w:ind w:left="660" w:right="400" w:hanging="328"/>
        <w:spacing w:after="0" w:line="255"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Vascular Access sales decreased $0.4 million primarily due to lower port sales. This was partially offset by increased PICC and Midline sales as a result of the new distribution agreement with MedComp and the C3 Wave tip location acquisition. The Company's BioFlo portfolio comprises 51% of overall Vascular Access sales, consistent with prior year.</w:t>
      </w:r>
    </w:p>
    <w:p>
      <w:pPr>
        <w:spacing w:after="0" w:line="2" w:lineRule="exact"/>
        <w:rPr>
          <w:rFonts w:ascii="Arial" w:cs="Arial" w:eastAsia="Arial" w:hAnsi="Arial"/>
          <w:sz w:val="18"/>
          <w:szCs w:val="18"/>
          <w:color w:val="auto"/>
        </w:rPr>
      </w:pPr>
    </w:p>
    <w:p>
      <w:pPr>
        <w:ind w:left="660" w:right="80" w:hanging="328"/>
        <w:spacing w:after="0" w:line="28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U.S. Vascular Access sales decreased by $2.8 million due to competitive pressures in the PICC and Port product lines. This was partially offset by growth in Midlines and BioFlo Dialysis which continue to gain traction in the marketplace along with the C3 Wave tip location acquisition.</w:t>
      </w:r>
    </w:p>
    <w:p>
      <w:pPr>
        <w:spacing w:after="0" w:line="1" w:lineRule="exact"/>
        <w:rPr>
          <w:rFonts w:ascii="Arial" w:cs="Arial" w:eastAsia="Arial" w:hAnsi="Arial"/>
          <w:sz w:val="16"/>
          <w:szCs w:val="16"/>
          <w:color w:val="auto"/>
        </w:rPr>
      </w:pPr>
    </w:p>
    <w:p>
      <w:pPr>
        <w:ind w:left="660" w:right="12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International Vascular Access sales increased by $2.4 million as the Company continues to expand its global reach of its Vascular Access product offerings.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Oncology/Surgery</w:t>
      </w:r>
    </w:p>
    <w:p>
      <w:pPr>
        <w:spacing w:after="0" w:line="171" w:lineRule="exact"/>
        <w:rPr>
          <w:sz w:val="20"/>
          <w:szCs w:val="20"/>
          <w:color w:val="auto"/>
        </w:rPr>
      </w:pPr>
    </w:p>
    <w:p>
      <w:pPr>
        <w:ind w:left="660" w:right="40" w:hanging="328"/>
        <w:spacing w:after="0" w:line="25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Oncology/Surgery sales increased $1.1 million year over year primarily due to $4.8 million in NanoKnife capital sales and increased sales of BioSentry and Balloon products of $0.4 million and $1.4 million, respectively. This was partially offset by decreased sales in Radiofrequency Ablation, Microwave and NanoKnife disposables.</w:t>
      </w:r>
    </w:p>
    <w:p>
      <w:pPr>
        <w:spacing w:after="0" w:line="2"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Oncology sales increased by $1.7 million primarily due to $2.4 million in NanoKnife capital sales and increased sales of BioSentry and Balloon products of $0.2 million and $1.4 million, respectively. This was partially offset by a $1.5 million decrease in RadioFrequency Ablation and Microwave sales and a $0.4 decrease in NanoKnife disposable sales.</w:t>
      </w:r>
    </w:p>
    <w:p>
      <w:pPr>
        <w:spacing w:after="0" w:line="1" w:lineRule="exact"/>
        <w:rPr>
          <w:rFonts w:ascii="Arial" w:cs="Arial" w:eastAsia="Arial" w:hAnsi="Arial"/>
          <w:sz w:val="18"/>
          <w:szCs w:val="18"/>
          <w:color w:val="auto"/>
        </w:rPr>
      </w:pPr>
    </w:p>
    <w:p>
      <w:pPr>
        <w:ind w:left="660" w:right="480" w:hanging="328"/>
        <w:spacing w:after="0" w:line="323"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International Oncology sales decreased by $0.6 million due to decreased RadioFrequency Ablation and Microwave sales of $2.4 million and decreased NanoKnife disposables of $0.8 million. This was partially offset by increased NanoKnife capital sales of $2.4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Year ended May 31,</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 Change</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(exclusive of intangible amortization)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150,272</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29,682</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28,258</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 of sales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78,634</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76,829</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 of sales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37,872</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34,902</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 of sales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$5.7 million compared to the prior year. The decrease is attributable to the following: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volume negatively impacted gross margin by $1.9 million, while price positively impacted gross margin by $3.0 million.</w:t>
      </w:r>
    </w:p>
    <w:p>
      <w:pPr>
        <w:spacing w:after="0" w:line="23" w:lineRule="exact"/>
        <w:rPr>
          <w:rFonts w:ascii="Arial" w:cs="Arial" w:eastAsia="Arial" w:hAnsi="Arial"/>
          <w:sz w:val="18"/>
          <w:szCs w:val="18"/>
          <w:color w:val="auto"/>
        </w:rPr>
      </w:pPr>
    </w:p>
    <w:p>
      <w:pPr>
        <w:jc w:val="both"/>
        <w:ind w:left="660" w:right="1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productivity negatively impacted gross margin by $1.0 million as a result of under absorption in manufacturing operations as the Company maintained staffing levels and continued producing product in the plant to provide flexibility during the severe uncertainty brought about by the COVID-19 global pandemic.</w:t>
      </w:r>
    </w:p>
    <w:p>
      <w:pPr>
        <w:spacing w:after="0" w:line="1" w:lineRule="exact"/>
        <w:rPr>
          <w:rFonts w:ascii="Arial" w:cs="Arial" w:eastAsia="Arial" w:hAnsi="Arial"/>
          <w:sz w:val="18"/>
          <w:szCs w:val="18"/>
          <w:color w:val="auto"/>
        </w:rPr>
      </w:pPr>
    </w:p>
    <w:p>
      <w:pPr>
        <w:ind w:left="660" w:right="60" w:hanging="328"/>
        <w:spacing w:after="0" w:line="28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Inventory reserve of $1.0 million for raw materials and existing dosimetry inventory associated with OARtrac that was purchased pursuant to the Company's acquisition of RadiaDyne as these inventory items were deemed unmarketable absent subsequent design and development activities.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Mix negatively impacted gross margin by $0.7 million as a result of higher Vascular Access sales, which are lower margin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items, including a royalty step-up and a prior year supplier reimbursement, negatively impacted gross margin by $0.8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termination of the Asclera distribution agreement negatively impacted gross margin by $3.4 million.</w:t>
      </w:r>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$1.4 million compared to the prior year. The increase is attributable to the following:</w:t>
      </w:r>
    </w:p>
    <w:p>
      <w:pPr>
        <w:spacing w:after="0" w:line="171" w:lineRule="exact"/>
        <w:rPr>
          <w:sz w:val="20"/>
          <w:szCs w:val="20"/>
          <w:color w:val="auto"/>
        </w:rPr>
      </w:pPr>
    </w:p>
    <w:p>
      <w:pPr>
        <w:ind w:left="660" w:right="300" w:hanging="328"/>
        <w:spacing w:after="0" w:line="25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Compensation and benefits increased approximately $0.4 million due to increased variable compensation along with increased headcount as a result of the Eximo acquisition.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Research and development spend related to the Eximo acquisition contributed $2.3 million along with $1.2 million in other project spend.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Outside consultant and other spend decreased $2.2 million.</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by $1.8 million compared to the prior year. The increase is attributable to the following:</w:t>
      </w:r>
    </w:p>
    <w:p>
      <w:pPr>
        <w:spacing w:after="0" w:line="171" w:lineRule="exact"/>
        <w:rPr>
          <w:sz w:val="20"/>
          <w:szCs w:val="20"/>
          <w:color w:val="auto"/>
        </w:rPr>
      </w:pPr>
    </w:p>
    <w:p>
      <w:pPr>
        <w:ind w:left="660" w:hanging="328"/>
        <w:spacing w:after="0" w:line="25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$0.7 million which is primarily attributed to increased variable compensation and increased commissions as a result of NanoKnife capital sales.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related to the build-out of the Eximo sales and marketing teams to prepare for full product launch of $3.1 million.</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Travel expenses decreased $1.6 million directly as a result of the COVID-19 pandemic and the fact that the sales force could not travel in the fourth quarter of fiscal year 2020.</w:t>
      </w:r>
    </w:p>
    <w:p>
      <w:pPr>
        <w:ind w:left="660" w:right="60" w:hanging="328"/>
        <w:spacing w:after="0" w:line="26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Outside service and other fees decreased $1.3 million which was partially offset by other sales and marketing expenses of $1.1 million to support company-wide initiatives.</w:t>
      </w:r>
    </w:p>
    <w:p>
      <w:pPr>
        <w:spacing w:after="0" w:line="21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u w:val="single" w:color="auto"/>
          <w:color w:val="auto"/>
        </w:rPr>
        <w:t>General and administrative expenses</w:t>
      </w:r>
      <w:r>
        <w:rPr>
          <w:rFonts w:ascii="Arial" w:cs="Arial" w:eastAsia="Arial" w:hAnsi="Arial"/>
          <w:sz w:val="17"/>
          <w:szCs w:val="17"/>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by $3.0 million compared to the prior year. The increase is attributable to the following:</w:t>
      </w:r>
    </w:p>
    <w:p>
      <w:pPr>
        <w:spacing w:after="0" w:line="171" w:lineRule="exact"/>
        <w:rPr>
          <w:sz w:val="20"/>
          <w:szCs w:val="20"/>
          <w:color w:val="auto"/>
        </w:rPr>
      </w:pPr>
    </w:p>
    <w:p>
      <w:pPr>
        <w:ind w:left="660" w:right="140" w:hanging="328"/>
        <w:spacing w:after="0" w:line="25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and professional fees relating to ongoing litigation that is within the normal course of business increased $3.7 million, primarily related to the Company's suit against C.R. Bard.</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and benefits decreased approximately $2.9 million primarily as a result of reversal of share based compensation expense of $1.8 million for employees who are no longer with the Company and favorable benefits expense of $0.9 million.</w:t>
      </w:r>
    </w:p>
    <w:p>
      <w:pPr>
        <w:ind w:left="660" w:right="20" w:hanging="328"/>
        <w:spacing w:after="0" w:line="26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consultant spend of $0.4 million, increased expenses related to the Eximo acquisition to integrate the business of $0.8 million and other expenses of $0.9 million.</w:t>
      </w: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57" w:right="4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 Change</w:t>
            </w: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17,056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1,065</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158,578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158,578</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(4,755)</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15,127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(9,113)</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4,269</w:t>
            </w:r>
          </w:p>
        </w:tc>
      </w:tr>
      <w:tr>
        <w:trPr>
          <w:trHeight w:val="27"/>
        </w:trPr>
        <w:tc>
          <w:tcPr>
            <w:tcW w:w="6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 assets held by the Company.</w:t>
      </w:r>
    </w:p>
    <w:p>
      <w:pPr>
        <w:spacing w:after="0" w:line="171" w:lineRule="exact"/>
        <w:rPr>
          <w:sz w:val="20"/>
          <w:szCs w:val="20"/>
          <w:color w:val="auto"/>
        </w:rPr>
      </w:pPr>
    </w:p>
    <w:p>
      <w:pPr>
        <w:ind w:left="660" w:right="8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Amortization expense increased $1.1 million compared to the prior year. The Eximo Medical and C3 Wave tip location acquisitions increased intangible assets by $60.3 million and $9.4 million, respectively. These additions resulted in additional amortization expense of $2.9 million. This was partially offset by the write-off of the Merz intangible in the fourth quarter of fiscal year 2019 and other intangibles that became fully amortized.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w:t>
      </w:r>
      <w:r>
        <w:rPr>
          <w:rFonts w:ascii="Arial" w:cs="Arial" w:eastAsia="Arial" w:hAnsi="Arial"/>
          <w:sz w:val="18"/>
          <w:szCs w:val="18"/>
          <w:color w:val="auto"/>
        </w:rPr>
        <w:t xml:space="preserve"> - Represents the impairment charge taken on goodwill.</w:t>
      </w:r>
    </w:p>
    <w:p>
      <w:pPr>
        <w:spacing w:after="0" w:line="171" w:lineRule="exact"/>
        <w:rPr>
          <w:sz w:val="20"/>
          <w:szCs w:val="20"/>
          <w:color w:val="auto"/>
        </w:rPr>
      </w:pPr>
    </w:p>
    <w:p>
      <w:pPr>
        <w:ind w:left="660" w:right="64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recorded a non-cash goodwill impairment charge of $158.6 million for the year ended May 31, 2020 as the fair value of the reporting unit was less than its carrying value.</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73" w:lineRule="exact"/>
        <w:rPr>
          <w:sz w:val="20"/>
          <w:szCs w:val="20"/>
          <w:color w:val="auto"/>
        </w:rPr>
      </w:pPr>
    </w:p>
    <w:p>
      <w:pPr>
        <w:ind w:left="660" w:right="80" w:hanging="328"/>
        <w:spacing w:after="0" w:line="25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change from the prior year is primarily due to revised sales projections for RadiaDyne products as a result of reviews performed by executive management. The adjustments to the sales projections over the contractual earn-out period resulted in a $9.2 million reduction in the fair value of the contingent liability. It was also determined that one of the technical milestones would not be achieved, which resulted in an additional reduction in the liability of $2.7 million. These reductions in the fair value were offset by normal amortization of the present value of the remaining contingent consideration, including the Eximo contingent consideration that was recorded for $14.9 million in the second quarter of fiscal year 2020. In addition, the final minimum payment of $1.2 million was paid for the Microsulis contingent consideration during the first quarter of fiscal year 2020.</w:t>
      </w:r>
    </w:p>
    <w:p>
      <w:pPr>
        <w:spacing w:after="0" w:line="14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u w:val="single" w:color="auto"/>
          <w:color w:val="auto"/>
        </w:rPr>
        <w:t>Acquisition, restructuring and other items, net</w:t>
      </w:r>
      <w:r>
        <w:rPr>
          <w:rFonts w:ascii="Arial" w:cs="Arial" w:eastAsia="Arial" w:hAnsi="Arial"/>
          <w:sz w:val="16"/>
          <w:szCs w:val="16"/>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Acquisition, restructuring and other items, net decreased by $9.1 million compared to the prior year. The decrease is attributable to the following:</w:t>
      </w:r>
    </w:p>
    <w:p>
      <w:pPr>
        <w:spacing w:after="0" w:line="18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M&amp;A expense of $0.8 million was incurred in fiscal year 2020 compared to $4.0 million in the prior year.</w:t>
      </w:r>
    </w:p>
    <w:p>
      <w:pPr>
        <w:spacing w:after="0" w:line="23"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$2.7 million was recorded in fiscal year 2020, which includes an offset of $0.5 million from the Biolitec bankruptcy settlement, compared to $7.8 million in the prior year. Included in the $7.8 million from prior year, is a $3.4 million settlement received for the Biolitec litigation and a $2.5 million accrual for the settlement of the Merz contract termination.</w:t>
      </w:r>
    </w:p>
    <w:p>
      <w:pPr>
        <w:spacing w:after="0" w:line="1" w:lineRule="exact"/>
        <w:rPr>
          <w:rFonts w:ascii="Arial" w:cs="Arial" w:eastAsia="Arial" w:hAnsi="Arial"/>
          <w:sz w:val="18"/>
          <w:szCs w:val="18"/>
          <w:color w:val="auto"/>
        </w:rPr>
      </w:pPr>
    </w:p>
    <w:p>
      <w:pPr>
        <w:ind w:left="660" w:right="98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fiscal year 2020, the Company incurred $2.8 million of expense to move manufacturing facilities as a result of the sale of the Fluid Management business.</w:t>
      </w:r>
    </w:p>
    <w:p>
      <w:pPr>
        <w:jc w:val="both"/>
        <w:ind w:left="660" w:right="30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part of the sale of the Fluid Management business, the Company entered into a transition services agreement with Medline for certain legal, human resource, tax, accounting and information technology services from the Company for a period not to exceed 24 months. Income of $1.8 million for these services was recognized in fiscal year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 year had a $1.7 million asset impairment charge.</w:t>
      </w:r>
    </w:p>
    <w:p>
      <w:pPr>
        <w:spacing w:after="0" w:line="9" w:lineRule="exact"/>
        <w:rPr>
          <w:rFonts w:ascii="Arial" w:cs="Arial" w:eastAsia="Arial" w:hAnsi="Arial"/>
          <w:sz w:val="18"/>
          <w:szCs w:val="18"/>
          <w:color w:val="auto"/>
        </w:rPr>
      </w:pPr>
    </w:p>
    <w:p>
      <w:pPr>
        <w:ind w:left="660" w:right="240" w:hanging="328"/>
        <w:spacing w:after="0" w:line="26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expenses of $1.5 million in fiscal year 2020 compared to $1.3 million in the prior year consists of expenses to move the manufacturing of BioSentry products and severance associated with the sale of the Fluid Management business.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expenses</w:t>
      </w:r>
      <w:r>
        <w:rPr>
          <w:rFonts w:ascii="Arial" w:cs="Arial" w:eastAsia="Arial" w:hAnsi="Arial"/>
          <w:sz w:val="17"/>
          <w:szCs w:val="17"/>
          <w:color w:val="auto"/>
        </w:rPr>
        <w:t xml:space="preserve"> - Other expenses include interest expense, foreign currency impacts, bank fees, and amortization of deferred financing costs.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3" w:name="page54"/>
    <w:bookmarkEnd w:id="53"/>
    <w:p>
      <w:pPr>
        <w:ind w:left="660" w:right="60" w:hanging="328"/>
        <w:spacing w:after="0" w:line="25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decrease in other expenses from the prior year of $4.3 million is due to decreased interest expense of $4.6 million as the Credit Facility was paid down in full at the beginning of the first quarter of fiscal year 2020. In addition to the decrease in interest expense, interest income increased $0.3 million from the prior year as a result of increased cash due to proceeds from the sale of the Fluid Management business. These increases are partially offset by the write-off of the deferred financing fees that were associated with the old Credit Facility of $0.5 million. Other expenses also include foreign currency fluctuations which increased by $0.2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 May 31,</w:t>
            </w:r>
          </w:p>
        </w:tc>
        <w:tc>
          <w:tcPr>
            <w:tcW w:w="940" w:type="dxa"/>
            <w:vAlign w:val="bottom"/>
            <w:tcBorders>
              <w:bottom w:val="single" w:sz="8" w:color="auto"/>
            </w:tcBorders>
          </w:tcPr>
          <w:p>
            <w:pPr>
              <w:spacing w:after="0"/>
              <w:rPr>
                <w:sz w:val="16"/>
                <w:szCs w:val="16"/>
                <w:color w:val="auto"/>
              </w:rPr>
            </w:pPr>
          </w:p>
        </w:tc>
      </w:tr>
      <w:tr>
        <w:trPr>
          <w:trHeight w:val="196"/>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color w:val="auto"/>
                <w:w w:val="96"/>
              </w:rPr>
              <w:t>2019</w:t>
            </w: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(3,556)</w:t>
            </w:r>
          </w:p>
        </w:tc>
      </w:tr>
      <w:tr>
        <w:trPr>
          <w:trHeight w:val="243"/>
        </w:trPr>
        <w:tc>
          <w:tcPr>
            <w:tcW w:w="81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24 %</w:t>
            </w:r>
          </w:p>
        </w:tc>
      </w:tr>
    </w:tbl>
    <w:p>
      <w:pPr>
        <w:spacing w:after="0" w:line="175" w:lineRule="exact"/>
        <w:rPr>
          <w:sz w:val="20"/>
          <w:szCs w:val="20"/>
          <w:color w:val="auto"/>
        </w:rPr>
      </w:pPr>
    </w:p>
    <w:p>
      <w:pPr>
        <w:ind w:right="160" w:firstLine="389"/>
        <w:spacing w:after="0" w:line="263" w:lineRule="auto"/>
        <w:rPr>
          <w:sz w:val="20"/>
          <w:szCs w:val="20"/>
          <w:color w:val="auto"/>
        </w:rPr>
      </w:pPr>
      <w:r>
        <w:rPr>
          <w:rFonts w:ascii="Arial" w:cs="Arial" w:eastAsia="Arial" w:hAnsi="Arial"/>
          <w:sz w:val="18"/>
          <w:szCs w:val="18"/>
          <w:color w:val="auto"/>
        </w:rPr>
        <w:t>Our effective tax rate was a benefit of 1% for fiscal year 2020 compared with an effective tax rate benefit of 24% for the prior year. The current year effective tax rate differs from the U.S. Federal statutory tax rate of 21% primarily due to no tax benefit being recorded on the goodwill impairment of $158.6 million.</w:t>
      </w:r>
    </w:p>
    <w:p>
      <w:pPr>
        <w:spacing w:after="0" w:line="130" w:lineRule="exact"/>
        <w:rPr>
          <w:sz w:val="20"/>
          <w:szCs w:val="20"/>
          <w:color w:val="auto"/>
        </w:rPr>
      </w:pPr>
    </w:p>
    <w:p>
      <w:pPr>
        <w:ind w:right="40" w:firstLine="389"/>
        <w:spacing w:after="0" w:line="301"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year 2016, except the naked credit deferred tax liability.</w:t>
      </w:r>
    </w:p>
    <w:p>
      <w:pPr>
        <w:spacing w:after="0" w:line="103" w:lineRule="exact"/>
        <w:rPr>
          <w:sz w:val="20"/>
          <w:szCs w:val="20"/>
          <w:color w:val="auto"/>
        </w:rPr>
      </w:pPr>
    </w:p>
    <w:p>
      <w:pPr>
        <w:ind w:right="20" w:firstLine="389"/>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May 31, 2020.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May 31, 2019 and 2018</w:t>
      </w:r>
    </w:p>
    <w:p>
      <w:pPr>
        <w:spacing w:after="0" w:line="175" w:lineRule="exact"/>
        <w:rPr>
          <w:sz w:val="20"/>
          <w:szCs w:val="20"/>
          <w:color w:val="auto"/>
        </w:rPr>
      </w:pPr>
    </w:p>
    <w:p>
      <w:pPr>
        <w:jc w:val="both"/>
        <w:ind w:right="40" w:firstLine="389"/>
        <w:spacing w:after="0" w:line="263" w:lineRule="auto"/>
        <w:rPr>
          <w:sz w:val="20"/>
          <w:szCs w:val="20"/>
          <w:color w:val="auto"/>
        </w:rPr>
      </w:pPr>
      <w:r>
        <w:rPr>
          <w:rFonts w:ascii="Arial" w:cs="Arial" w:eastAsia="Arial" w:hAnsi="Arial"/>
          <w:sz w:val="18"/>
          <w:szCs w:val="18"/>
          <w:color w:val="auto"/>
        </w:rPr>
        <w:t>For the fiscal year ended May 31, 2019, we reported net loss from continuing operations of $11.1 million, or $0.30 loss per basic and diluted common share, on net sales of $270.6 million compared to a fiscal year 2018 net loss of $6.2 million, or $0.17 loss per basic and diluted common share, on net sales of $261.7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our products and related freight charges, less discounts and returns.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year ended May 31, 2019 and 2018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1"/>
              </w:rPr>
              <w:t>Year ended May 31,</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 Growth</w:t>
            </w: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Product Category</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119,901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119,704</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94,730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92,760</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Oncology/Surgery</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56,003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49,191</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8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270,634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261,655</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216,957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213,727</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53,677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47,928</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12%</w:t>
            </w:r>
          </w:p>
        </w:tc>
      </w:tr>
      <w:tr>
        <w:trPr>
          <w:trHeight w:val="263"/>
        </w:trPr>
        <w:tc>
          <w:tcPr>
            <w:tcW w:w="674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270,634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261,655</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year ended May 31, 2019, net sales increased $9.0 million to $270.6 million compared to the year ended May 31, 2018.</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auto"/>
        </w:rPr>
        <w:t>Vascular Interventions &amp; Therapies</w:t>
      </w:r>
    </w:p>
    <w:p>
      <w:pPr>
        <w:spacing w:after="0" w:line="171" w:lineRule="exact"/>
        <w:rPr>
          <w:sz w:val="20"/>
          <w:szCs w:val="20"/>
          <w:color w:val="auto"/>
        </w:rPr>
      </w:pPr>
    </w:p>
    <w:p>
      <w:pPr>
        <w:ind w:left="660" w:right="300" w:hanging="328"/>
        <w:spacing w:after="0" w:line="254"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Vascular Interventions &amp; Therapies sales increased $0.2 million primarily attributable to strong performance in AngioVac and Core Peripheral products. The Company continues to see strong case volumes in AngioVac, which increased 20% percent from the prior year due to increased adoption of the Company's unique technology. This was partially offset by decreases in Venous products due to reimbursement challenges and the termination of the Asclera distribution agreement.</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Vascular Interventions &amp; Therapies sales decreased $1.1 million due to decreased sales volume in Venous products and the termination of the Asclera distribution agreement. This was partially offset by increased case volume in AngioVac and increased sales volume of Core Peripheral products.</w:t>
      </w:r>
    </w:p>
    <w:p>
      <w:pPr>
        <w:spacing w:after="0" w:line="1" w:lineRule="exact"/>
        <w:rPr>
          <w:rFonts w:ascii="Arial" w:cs="Arial" w:eastAsia="Arial" w:hAnsi="Arial"/>
          <w:sz w:val="18"/>
          <w:szCs w:val="18"/>
          <w:color w:val="auto"/>
        </w:rPr>
      </w:pPr>
    </w:p>
    <w:p>
      <w:pPr>
        <w:ind w:left="660" w:right="240" w:hanging="328"/>
        <w:spacing w:after="0" w:line="260"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increased $1.3 million due to increased volume in Venous and Angiographic catheters in EMEA and China.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171" w:lineRule="exact"/>
        <w:rPr>
          <w:sz w:val="20"/>
          <w:szCs w:val="20"/>
          <w:color w:val="auto"/>
        </w:rPr>
      </w:pPr>
    </w:p>
    <w:p>
      <w:pPr>
        <w:ind w:left="660" w:right="80" w:hanging="328"/>
        <w:spacing w:after="0" w:line="254"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Vascular Access sales increased $2.0 million due to growth in BioFlo which increased $2.8 million year over year. The increase in sales is also due to the launch of the BIIM ultrasound product in fiscal year 2019 which had $0.5 million in sales. This was partially offset by a decline in non-BioFlo PICCs of $1.8 million. The Company's BioFlo portfolio now comprises 51% of overall Vascular Access sales, compared to 49% a year ago.</w:t>
      </w:r>
    </w:p>
    <w:p>
      <w:pPr>
        <w:spacing w:after="0" w:line="2"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Vascular Access sales decreased by $1.2 million due to competitive pressures in the PICC product line. This was partially offset by growth in Midlines and BioFlo Dialysis and Ports which continue to gain traction in the marketplace.</w:t>
      </w:r>
    </w:p>
    <w:p>
      <w:pPr>
        <w:ind w:left="660" w:right="100" w:hanging="328"/>
        <w:spacing w:after="0" w:line="26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International Vascular Access sales increased by $3.2 million as the Company continues to expand its global reach of its Vascular Access product offerings.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Oncology/Surgery</w:t>
      </w:r>
    </w:p>
    <w:p>
      <w:pPr>
        <w:spacing w:after="0" w:line="171" w:lineRule="exact"/>
        <w:rPr>
          <w:sz w:val="20"/>
          <w:szCs w:val="20"/>
          <w:color w:val="auto"/>
        </w:rPr>
      </w:pPr>
    </w:p>
    <w:p>
      <w:pPr>
        <w:ind w:left="660" w:right="60" w:hanging="328"/>
        <w:spacing w:after="0" w:line="268"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Total Oncology/Surgery sales increased $6.8 million year over year primarily due to $4.9 million in sales of BioSentry products and $4.8 million in sales of RadiaDyne products along with increased sales of NanoKnife disposables of $0.5 million. This was partially offset by decreased sales in Radiofrequency Ablation, Microwave and NanoKnife capital. Microwave sales were negatively impacted by the timing of the Company's prior year replacement shipments of $2.6 million which took place primarily in the first and second quarters of the prior year as a result of the market withdrawal of Acculis. NanoKnife capital decreased $0.9 million due to the timing of capital sales.</w:t>
      </w:r>
    </w:p>
    <w:p>
      <w:pPr>
        <w:spacing w:after="0" w:line="2"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Oncology sales increased by $6.9 million primarily due to $4.8 million in sales of BioSentry products and $4.8 million in sales of RadiaDyne products. This was partially offset by a $1.5 million decrease in NanoKnife capital and disposable sales and a $0.6 million decrease in RadioFrequency Ablation and Microwave sales.</w:t>
      </w:r>
    </w:p>
    <w:p>
      <w:pPr>
        <w:spacing w:after="0" w:line="1" w:lineRule="exact"/>
        <w:rPr>
          <w:rFonts w:ascii="Arial" w:cs="Arial" w:eastAsia="Arial" w:hAnsi="Arial"/>
          <w:sz w:val="18"/>
          <w:szCs w:val="18"/>
          <w:color w:val="auto"/>
        </w:rPr>
      </w:pPr>
    </w:p>
    <w:p>
      <w:pPr>
        <w:ind w:left="660" w:right="80" w:hanging="328"/>
        <w:spacing w:after="0" w:line="260"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International Oncology sales decreased by $0.1 million due to decreased RadioFrequency Ablation and Microwave sales of $0.7 million, partially offset by increased NanoKnife capital and disposable sales of $0.8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Year ended May 31,</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96"/>
        </w:trPr>
        <w:tc>
          <w:tcPr>
            <w:tcW w:w="6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2018</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 Change</w:t>
            </w:r>
          </w:p>
        </w:tc>
      </w:tr>
      <w:tr>
        <w:trPr>
          <w:trHeight w:val="250"/>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143,856</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Gross profit % of sales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28,258</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24,338</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 of sales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76,829</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73,109</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 of sales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34,902</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30,991</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 of sales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1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u w:val="single" w:color="auto"/>
          <w:color w:val="auto"/>
        </w:rPr>
        <w:t>Gross profit</w:t>
      </w:r>
      <w:r>
        <w:rPr>
          <w:rFonts w:ascii="Arial" w:cs="Arial" w:eastAsia="Arial" w:hAnsi="Arial"/>
          <w:sz w:val="16"/>
          <w:szCs w:val="16"/>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$12.1 million compared to the prior year. The increase is attributable to the following: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55" w:name="page56"/>
    <w:bookmarkEnd w:id="55"/>
    <w:p>
      <w:pPr>
        <w:ind w:left="660" w:right="80" w:hanging="328"/>
        <w:spacing w:after="0" w:line="258"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productivity of $2.5 million, where plant consolidation contributed $3.3 million of favorability partially offset by increased freight expense of $0.8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volume and mix positively contributed $1.5 million year over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Currency and pricing headwinds negatively impacting gross margin by $2.0 million year over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BioSentry and RadiaDyne products contributed $6.9 million to gross profit.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year reserve of $1.7 million related to the discontinuation of our RadioFrequency Ablation product in Japan.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expiration of a royalty agreement in fiscal year 2018 resulted in $1.5 million of favorability compared to the prior year.</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$3.9 million compared to the prior year. The increase is attributable to the following:</w:t>
      </w:r>
    </w:p>
    <w:p>
      <w:pPr>
        <w:spacing w:after="0" w:line="171" w:lineRule="exact"/>
        <w:rPr>
          <w:sz w:val="20"/>
          <w:szCs w:val="20"/>
          <w:color w:val="auto"/>
        </w:rPr>
      </w:pPr>
    </w:p>
    <w:p>
      <w:pPr>
        <w:ind w:left="660" w:right="480" w:hanging="328"/>
        <w:spacing w:after="0" w:line="258"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product development and clinical efforts related to the Company’s investment areas of NanoKnife, Thrombus Management and BioFlo increased $3.5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compensation and benefits of $0.5 million primarily as a result of increased variable compensation.</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by $3.7 million compared to the prior year. The increase is attributable to the following:</w:t>
      </w:r>
    </w:p>
    <w:p>
      <w:pPr>
        <w:spacing w:after="0" w:line="171" w:lineRule="exact"/>
        <w:rPr>
          <w:sz w:val="20"/>
          <w:szCs w:val="20"/>
          <w:color w:val="auto"/>
        </w:rPr>
      </w:pPr>
    </w:p>
    <w:p>
      <w:pPr>
        <w:ind w:left="660" w:right="78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$3.7 million which is primarily attributed to increased headcount as a result of the BioSentry and RadiaDyne acquisitions along with higher variable compensation.</w:t>
      </w:r>
    </w:p>
    <w:p>
      <w:pPr>
        <w:spacing w:after="0" w:line="11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u w:val="single" w:color="auto"/>
          <w:color w:val="auto"/>
        </w:rPr>
        <w:t>General and administrative expenses</w:t>
      </w:r>
      <w:r>
        <w:rPr>
          <w:rFonts w:ascii="Arial" w:cs="Arial" w:eastAsia="Arial" w:hAnsi="Arial"/>
          <w:sz w:val="17"/>
          <w:szCs w:val="17"/>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by $3.9 million compared to the prior year. The increase is attributable to the following:</w:t>
      </w:r>
    </w:p>
    <w:p>
      <w:pPr>
        <w:spacing w:after="0" w:line="171" w:lineRule="exact"/>
        <w:rPr>
          <w:sz w:val="20"/>
          <w:szCs w:val="20"/>
          <w:color w:val="auto"/>
        </w:rPr>
      </w:pPr>
    </w:p>
    <w:p>
      <w:pPr>
        <w:ind w:left="660" w:right="180" w:hanging="328"/>
        <w:spacing w:after="0" w:line="25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$2.8 million primarily as a result of increased variable compensation, salaries and benefits and stock based compensation.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legal fees related to ongoing litigation that is within the normal course of business of $0.6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other expenses for technology investments of $0.3 million and lease expense of $0.2 million.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May 31,</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 Change</w:t>
            </w: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17,056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3,150</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440"/>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(7,026)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440"/>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(2,213)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 assets held by the Company.</w:t>
      </w:r>
    </w:p>
    <w:p>
      <w:pPr>
        <w:spacing w:after="0" w:line="171" w:lineRule="exact"/>
        <w:rPr>
          <w:sz w:val="20"/>
          <w:szCs w:val="20"/>
          <w:color w:val="auto"/>
        </w:rPr>
      </w:pPr>
    </w:p>
    <w:p>
      <w:pPr>
        <w:ind w:left="660" w:right="200" w:hanging="328"/>
        <w:spacing w:after="0" w:line="311"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change in amortization expense from the prior year is due to intangible asset additions as a result of the BioSentry and RadiaDyne acquisitions. The BioSentry acquisition increased intangible assets by $26.0 million and resulted in additional amortization expense of $1.5 million. The RadiaDyne acquisition increased intangible assets by $25.6 million and resulted in additional amortization expense of $1.7 million.</w:t>
      </w:r>
    </w:p>
    <w:p>
      <w:pPr>
        <w:spacing w:after="0" w:line="9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92" w:lineRule="exact"/>
        <w:rPr>
          <w:sz w:val="20"/>
          <w:szCs w:val="20"/>
          <w:color w:val="auto"/>
        </w:rPr>
      </w:pPr>
    </w:p>
    <w:p>
      <w:pPr>
        <w:ind w:left="660" w:right="120" w:hanging="328"/>
        <w:spacing w:after="0" w:line="259"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increase from the prior year is due to contingent considerations that were recorded as part of the BioSentry and RadiaDyne acquisitions of $2.8 million and $22.3 million, respectively. In the fourth quarter, adjustments to the sales projections for RadiaDyne products resulted in an $8.4 million gain. The remaining change in the fair value in contingent consideration is the result of amortization of the present value discount of $1.6 million. In addition, in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6" w:name="page57"/>
    <w:bookmarkEnd w:id="56"/>
    <w:p>
      <w:pPr>
        <w:ind w:left="660" w:right="60"/>
        <w:spacing w:after="0" w:line="263" w:lineRule="auto"/>
        <w:rPr>
          <w:sz w:val="20"/>
          <w:szCs w:val="20"/>
          <w:color w:val="auto"/>
        </w:rPr>
      </w:pPr>
      <w:r>
        <w:rPr>
          <w:rFonts w:ascii="Arial" w:cs="Arial" w:eastAsia="Arial" w:hAnsi="Arial"/>
          <w:sz w:val="18"/>
          <w:szCs w:val="18"/>
          <w:color w:val="auto"/>
        </w:rPr>
        <w:t>second quarter of fiscal year 2018, the final minimum payment was made on the AngioVac product contingent consideration and a $2.1 million payment was made on the Microsulis contingent consideration during the first quarter of fiscal 2019. Only one minimum payment is remaining on the Microsulis contingent consideration.</w:t>
      </w:r>
    </w:p>
    <w:p>
      <w:pPr>
        <w:spacing w:after="0" w:line="13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u w:val="single" w:color="auto"/>
          <w:color w:val="auto"/>
        </w:rPr>
        <w:t>Acquisition, restructuring and other items, net</w:t>
      </w:r>
      <w:r>
        <w:rPr>
          <w:rFonts w:ascii="Arial" w:cs="Arial" w:eastAsia="Arial" w:hAnsi="Arial"/>
          <w:sz w:val="16"/>
          <w:szCs w:val="16"/>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Acquisition, restructuring and other items, net decreased $0.3 million compared to the prior year. The decrease is attributable to the following:</w:t>
      </w:r>
    </w:p>
    <w:p>
      <w:pPr>
        <w:spacing w:after="0" w:line="18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M&amp;A expense of $4.0 million was incurred in fiscal year 2019 compared to $1.7 million in the prior year.</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$7.8 million was recorded in fiscal year 2019 compared to $8.4 million in fiscal year 2018. Included in the $7.8 million, is a $3.4 million settlement received for the Biolitec litigation and a $2.5 million accrual for the settlement of the Merz contract termination.</w:t>
      </w:r>
    </w:p>
    <w:p>
      <w:pPr>
        <w:spacing w:after="0" w:line="1" w:lineRule="exact"/>
        <w:rPr>
          <w:rFonts w:ascii="Arial" w:cs="Arial" w:eastAsia="Arial" w:hAnsi="Arial"/>
          <w:sz w:val="18"/>
          <w:szCs w:val="18"/>
          <w:color w:val="auto"/>
        </w:rPr>
      </w:pPr>
    </w:p>
    <w:p>
      <w:pPr>
        <w:ind w:left="660" w:right="80" w:hanging="328"/>
        <w:spacing w:after="0" w:line="25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year ended 2018, the Company incurred $4.7 million of expense which consisted of $1.4 million of severance, $2.9 million of costs to move the product lines and $0.2 million in contract termination expenses related to the plant consolidation that was announced in the third quarter of fiscal year 2017. The plant consolidation was completed in the fourth quarter of fiscal year 2018; therefore, only $0.3 million of expense was incurred for the year ended 2019.</w:t>
      </w:r>
    </w:p>
    <w:p>
      <w:pPr>
        <w:spacing w:after="0" w:line="1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 and remained consistent with the prior year.</w:t>
      </w:r>
    </w:p>
    <w:p>
      <w:pPr>
        <w:spacing w:after="0" w:line="116" w:lineRule="exact"/>
        <w:rPr>
          <w:sz w:val="20"/>
          <w:szCs w:val="20"/>
          <w:color w:val="auto"/>
        </w:rPr>
      </w:pPr>
    </w:p>
    <w:p>
      <w:pPr>
        <w:ind w:left="660" w:right="6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increase in other expenses from the prior year of $2.2 million is due to increased interest expense of $1.9 million primarily due to the draw on the Revolving Facility during fiscal year 2019. In addition, foreign currency fluctuations increased $0.7 million. These increases were partially offset by other income of $0.4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 May 31,</w:t>
            </w:r>
          </w:p>
        </w:tc>
        <w:tc>
          <w:tcPr>
            <w:tcW w:w="940" w:type="dxa"/>
            <w:vAlign w:val="bottom"/>
            <w:tcBorders>
              <w:bottom w:val="single" w:sz="8" w:color="auto"/>
            </w:tcBorders>
          </w:tcPr>
          <w:p>
            <w:pPr>
              <w:spacing w:after="0"/>
              <w:rPr>
                <w:sz w:val="16"/>
                <w:szCs w:val="16"/>
                <w:color w:val="auto"/>
              </w:rPr>
            </w:pPr>
          </w:p>
        </w:tc>
      </w:tr>
      <w:tr>
        <w:trPr>
          <w:trHeight w:val="196"/>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color w:val="auto"/>
                <w:w w:val="96"/>
              </w:rPr>
              <w:t>2018</w:t>
            </w: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(11,036)</w:t>
            </w:r>
          </w:p>
        </w:tc>
      </w:tr>
      <w:tr>
        <w:trPr>
          <w:trHeight w:val="243"/>
        </w:trPr>
        <w:tc>
          <w:tcPr>
            <w:tcW w:w="812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64 %</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benefit was 24% for fiscal year 2019 compared with a benefit of 64% for the prior year.</w:t>
      </w:r>
    </w:p>
    <w:p>
      <w:pPr>
        <w:spacing w:after="0" w:line="171" w:lineRule="exact"/>
        <w:rPr>
          <w:sz w:val="20"/>
          <w:szCs w:val="20"/>
          <w:color w:val="auto"/>
        </w:rPr>
      </w:pPr>
    </w:p>
    <w:p>
      <w:pPr>
        <w:ind w:right="200" w:firstLine="389"/>
        <w:spacing w:after="0" w:line="263" w:lineRule="auto"/>
        <w:rPr>
          <w:sz w:val="20"/>
          <w:szCs w:val="20"/>
          <w:color w:val="auto"/>
        </w:rPr>
      </w:pPr>
      <w:r>
        <w:rPr>
          <w:rFonts w:ascii="Arial" w:cs="Arial" w:eastAsia="Arial" w:hAnsi="Arial"/>
          <w:sz w:val="18"/>
          <w:szCs w:val="18"/>
          <w:color w:val="auto"/>
        </w:rPr>
        <w:t>The prior year rate primarily reflects income tax benefit of $8.9 million driven by the impact of the U.S. Tax Reform, the valuation allowance recorded and the deferred tax liability related to intangibles that have an indefinite reversal period ("naked credit deferred tax liability"), which as a result of U.S. Tax Reform can now be considered as a source of income to recover indefinite lived NOLs.</w:t>
      </w:r>
    </w:p>
    <w:p>
      <w:pPr>
        <w:spacing w:after="0" w:line="130" w:lineRule="exact"/>
        <w:rPr>
          <w:sz w:val="20"/>
          <w:szCs w:val="20"/>
          <w:color w:val="auto"/>
        </w:rPr>
      </w:pPr>
    </w:p>
    <w:p>
      <w:pPr>
        <w:ind w:right="40" w:firstLine="389"/>
        <w:spacing w:after="0" w:line="301"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year 2016, except the naked credit deferred tax liability.</w:t>
      </w:r>
    </w:p>
    <w:p>
      <w:pPr>
        <w:spacing w:after="0" w:line="103" w:lineRule="exact"/>
        <w:rPr>
          <w:sz w:val="20"/>
          <w:szCs w:val="20"/>
          <w:color w:val="auto"/>
        </w:rPr>
      </w:pPr>
    </w:p>
    <w:p>
      <w:pPr>
        <w:ind w:right="20" w:firstLine="389"/>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May 31, 2019.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 May 31,</w:t>
            </w:r>
          </w:p>
        </w:tc>
        <w:tc>
          <w:tcPr>
            <w:tcW w:w="880" w:type="dxa"/>
            <w:vAlign w:val="bottom"/>
            <w:tcBorders>
              <w:bottom w:val="single" w:sz="8" w:color="auto"/>
            </w:tcBorders>
          </w:tcPr>
          <w:p>
            <w:pPr>
              <w:spacing w:after="0"/>
              <w:rPr>
                <w:sz w:val="16"/>
                <w:szCs w:val="16"/>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w w:val="89"/>
              </w:rPr>
              <w:t>2018</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gain on sale of Fluid Management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27,579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24,728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Gain on sale of Fluid Management</w:t>
            </w: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46,592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74,171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24,728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2,166</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72,486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22,562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389"/>
        <w:spacing w:after="0" w:line="257" w:lineRule="auto"/>
        <w:rPr>
          <w:sz w:val="20"/>
          <w:szCs w:val="20"/>
          <w:color w:val="auto"/>
        </w:rPr>
      </w:pPr>
      <w:r>
        <w:rPr>
          <w:rFonts w:ascii="Arial" w:cs="Arial" w:eastAsia="Arial" w:hAnsi="Arial"/>
          <w:sz w:val="18"/>
          <w:szCs w:val="18"/>
          <w:color w:val="auto"/>
        </w:rPr>
        <w:t>The Company applied the “Intraperiod Tax Allocation” rules under ASC 740, which requires the allocation of an entity’s total annual income tax provision among continuing operations and, in the Company’s case, discontinued operations. Included in the $1.6 million income tax expense for fiscal year 2019 is $0.6 million tax expense related to the gain on the Divestiture. The taxes on the gain were calculated using various state statutory tax rates and are partially offset by the utilization of historical state net operating losses. There are no current federal taxes on the gain due to utilization of historical net operating losses which had a corresponding valuation allowance.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260" w:firstLine="389"/>
        <w:spacing w:after="0" w:line="279" w:lineRule="auto"/>
        <w:rPr>
          <w:sz w:val="20"/>
          <w:szCs w:val="20"/>
          <w:color w:val="auto"/>
        </w:rPr>
      </w:pPr>
      <w:r>
        <w:rPr>
          <w:rFonts w:ascii="Arial" w:cs="Arial" w:eastAsia="Arial" w:hAnsi="Arial"/>
          <w:sz w:val="17"/>
          <w:szCs w:val="17"/>
          <w:color w:val="auto"/>
        </w:rPr>
        <w:t>We are continuously and critically reviewing our liquidity and anticipated capital requirements in light of the significant uncertainty created by the COVID-19 global pandemic. We believe that our current cash on hand and availability under the Revolving Facility provides sufficient liquidity to meet our anticipated needs for capital for at least the next 12 months. We are closely monitoring receivables and payables. In addition, we believe that our recently increased inventory levels provide additional risk mitigation in the event we incur a manufacturing disruption.</w:t>
      </w:r>
    </w:p>
    <w:p>
      <w:pPr>
        <w:spacing w:after="0" w:line="117" w:lineRule="exact"/>
        <w:rPr>
          <w:sz w:val="20"/>
          <w:szCs w:val="20"/>
          <w:color w:val="auto"/>
        </w:rPr>
      </w:pPr>
    </w:p>
    <w:p>
      <w:pPr>
        <w:ind w:right="20" w:firstLine="389"/>
        <w:spacing w:after="0" w:line="263" w:lineRule="auto"/>
        <w:rPr>
          <w:sz w:val="20"/>
          <w:szCs w:val="20"/>
          <w:color w:val="auto"/>
        </w:rPr>
      </w:pPr>
      <w:r>
        <w:rPr>
          <w:rFonts w:ascii="Arial" w:cs="Arial" w:eastAsia="Arial" w:hAnsi="Arial"/>
          <w:sz w:val="18"/>
          <w:szCs w:val="18"/>
          <w:color w:val="auto"/>
        </w:rPr>
        <w:t>Our cash and cash equivalents totaled $54.4 million as of May 31, 2020, compared with $227.6 million as of May 31, 2019. As of May 31, 2020, total debt outstanding related to the Revolving Facility was $40.0 million. The fair value of the contingent consideration liability as of May 31, 2020 was $15.6 million.</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summarizes our cash flows for the years ended May 31, 2020,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2018</w:t>
            </w: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(14,554)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37,440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41,287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82,554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(3,656)</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(95,242)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33,931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(11,551)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472</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(173,206)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153,545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26,552</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May 31, 2020, 2019 and 2018, cash flows consisted of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(used in)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Year ended 2020:</w:t>
      </w:r>
    </w:p>
    <w:p>
      <w:pPr>
        <w:spacing w:after="0" w:line="171" w:lineRule="exact"/>
        <w:rPr>
          <w:sz w:val="20"/>
          <w:szCs w:val="20"/>
          <w:color w:val="auto"/>
        </w:rPr>
      </w:pPr>
    </w:p>
    <w:p>
      <w:pPr>
        <w:ind w:left="660" w:right="220" w:hanging="328"/>
        <w:spacing w:after="0" w:line="258"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loss of $166.8 million plus the non-cash items, primarily driven by the goodwill impairment, depreciation and amortization and share based compensation, contributed to cash used in operations of $14.6 million.</w:t>
      </w:r>
    </w:p>
    <w:p>
      <w:pPr>
        <w:spacing w:after="0" w:line="1" w:lineRule="exact"/>
        <w:rPr>
          <w:rFonts w:ascii="Arial" w:cs="Arial" w:eastAsia="Arial" w:hAnsi="Arial"/>
          <w:sz w:val="18"/>
          <w:szCs w:val="18"/>
          <w:color w:val="auto"/>
        </w:rPr>
      </w:pPr>
    </w:p>
    <w:p>
      <w:pPr>
        <w:jc w:val="both"/>
        <w:ind w:left="660" w:right="140" w:hanging="328"/>
        <w:spacing w:after="0" w:line="255"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Working capital was negatively impacted by increased inventory on hand of $18.8 million and decreased accounts payable and accrued liabilities of $15.5 million. Accounts receivable had a favorable impact of $11.9 million on working capital as a result of the sale of the Fluid Management business and decreased sales in the fourth quarter as a result of the impact from COVID-19.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Year ended 2019:</w:t>
      </w:r>
    </w:p>
    <w:p>
      <w:pPr>
        <w:spacing w:after="0" w:line="171" w:lineRule="exact"/>
        <w:rPr>
          <w:sz w:val="20"/>
          <w:szCs w:val="20"/>
          <w:color w:val="auto"/>
        </w:rPr>
      </w:pPr>
    </w:p>
    <w:p>
      <w:pPr>
        <w:ind w:left="660" w:right="620" w:hanging="328"/>
        <w:spacing w:after="0" w:line="271" w:lineRule="auto"/>
        <w:tabs>
          <w:tab w:leader="none" w:pos="6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Net income was driven by the sale of the Fluid Management business. Net loss from continuing operations was driven by higher operating expenses in research and development, selling and marketing and general administrative as well as costs related to our acquisition and restructuring activities. The loss was partially offset by increased sales and improved gross profit.</w:t>
      </w:r>
    </w:p>
    <w:p>
      <w:pPr>
        <w:ind w:left="660" w:right="100" w:hanging="328"/>
        <w:spacing w:after="0" w:line="260"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Working capital was negatively impacted by increased inventory on hand of $1.4 million. Days sales outstanding ("DSO") increased as a result of increased sales during the fourth quarter. This had a $3.2 million negative impact on</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58" w:name="page59"/>
    <w:bookmarkEnd w:id="58"/>
    <w:p>
      <w:pPr>
        <w:ind w:left="660" w:right="220"/>
        <w:spacing w:after="0" w:line="277" w:lineRule="auto"/>
        <w:rPr>
          <w:sz w:val="20"/>
          <w:szCs w:val="20"/>
          <w:color w:val="auto"/>
        </w:rPr>
      </w:pPr>
      <w:r>
        <w:rPr>
          <w:rFonts w:ascii="Arial" w:cs="Arial" w:eastAsia="Arial" w:hAnsi="Arial"/>
          <w:sz w:val="18"/>
          <w:szCs w:val="18"/>
          <w:color w:val="auto"/>
        </w:rPr>
        <w:t>working capital. The Company continued to optimize days payables outstanding ("DPO"), which resulted in a $5.2 million favorable impact on working capital.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Year ended 2018:</w:t>
      </w:r>
    </w:p>
    <w:p>
      <w:pPr>
        <w:spacing w:after="0" w:line="171" w:lineRule="exact"/>
        <w:rPr>
          <w:sz w:val="20"/>
          <w:szCs w:val="20"/>
          <w:color w:val="auto"/>
        </w:rPr>
      </w:pPr>
    </w:p>
    <w:p>
      <w:pPr>
        <w:jc w:val="both"/>
        <w:ind w:left="660" w:right="240" w:hanging="328"/>
        <w:spacing w:after="0" w:line="287"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Net income was driven by higher gross margin, lower operating expenses in selling and marketing, general and administrative and acquisition, restructuring and other items, net. Partially offsetting the positive cash impact was a $9.3 million non-cash discrete tax benefit as a result of the Tax Reform Act and the revaluation of the Company's deferred tax assets and liabilities to reflect the lower statutory rate.</w:t>
      </w:r>
    </w:p>
    <w:p>
      <w:pPr>
        <w:spacing w:after="0" w:line="2" w:lineRule="exact"/>
        <w:rPr>
          <w:rFonts w:ascii="Arial" w:cs="Arial" w:eastAsia="Arial" w:hAnsi="Arial"/>
          <w:sz w:val="16"/>
          <w:szCs w:val="16"/>
          <w:color w:val="auto"/>
        </w:rPr>
      </w:pPr>
    </w:p>
    <w:p>
      <w:pPr>
        <w:ind w:left="660" w:right="120" w:hanging="328"/>
        <w:spacing w:after="0" w:line="25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continues to focus on optimizing days sales outstanding ("DSO") which contributed $5.0 million to working capital improvement. Working capital was also positively impacted by decreased inventory on hand of $5.7 million. Even though the Company continued to optimize days payables outstanding ("DPO"), the decrease in raw material purchases at year end negatively impacted working capital from accounts payable and accrued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Year ended 2020:</w:t>
      </w:r>
    </w:p>
    <w:p>
      <w:pPr>
        <w:spacing w:after="0" w:line="171" w:lineRule="exact"/>
        <w:rPr>
          <w:sz w:val="20"/>
          <w:szCs w:val="20"/>
          <w:color w:val="auto"/>
        </w:rPr>
      </w:pPr>
    </w:p>
    <w:p>
      <w:pPr>
        <w:ind w:left="660" w:right="660" w:hanging="328"/>
        <w:spacing w:after="0" w:line="25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$45.8 million payment to acquire Eximo Medical Ltd. and $10.0 million payment to acquire the C3 Wave tip location asset from Medical Components, Inc. Refer to Note 2 of the financial statements.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$7.2 million in fixed asset additions primarily related to building improvements along with maintenance of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Year ended 2019:</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$3.1 million in fixed asset additions, primarily for maintenance of equipment.</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$37.0 million cash payment to acquire the BioSentry product from SSC and a $47.9 million cash payment to acquire RadiaDyne as described in Note 2 to the financial statements.</w:t>
      </w: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$169.2 million in cash proceeds as a result of the Divestiture described in Note 3 to the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$1.3 million in proceeds from the sale of an auction rate security.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Year ended 2018:</w:t>
      </w:r>
    </w:p>
    <w:p>
      <w:pPr>
        <w:spacing w:after="0" w:line="17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$2.4 million in fixed asset additions.</w:t>
      </w:r>
    </w:p>
    <w:p>
      <w:pPr>
        <w:spacing w:after="0" w:line="2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third quarter, we entered into a distribution and license agreement where we recorded the upfront license fee of $1.3 million as an intangible asset that will be amortized over thirty-six months.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Year ended 2020:</w:t>
      </w:r>
    </w:p>
    <w:p>
      <w:pPr>
        <w:spacing w:after="0" w:line="171" w:lineRule="exact"/>
        <w:rPr>
          <w:sz w:val="20"/>
          <w:szCs w:val="20"/>
          <w:color w:val="auto"/>
        </w:rPr>
      </w:pPr>
    </w:p>
    <w:p>
      <w:pPr>
        <w:ind w:left="660" w:right="440" w:hanging="328"/>
        <w:spacing w:after="0" w:line="258"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$132.5 million repayment of long-term debt in conjunction with the new Credit Agreement that was entered into at the beginning of the first quarter of fiscal year 2020. Refer to Note 12 of the financial statements.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$40.0 million draw on the Revolving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$0.8 million of outlays from stock option and ESPP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$1.2 million payment on earn-out liabilities.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Year ended 2019:</w:t>
      </w:r>
    </w:p>
    <w:p>
      <w:pPr>
        <w:spacing w:after="0" w:line="17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$55.0 million draw on the Revolving Facility as a result of the RadiaDyne acquisition described in Note 2 to the financial statements.</w:t>
      </w:r>
    </w:p>
    <w:p>
      <w:pPr>
        <w:spacing w:after="0" w:line="23"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$5.0 million repayment on the Term Loan. This is consistent with the required amortization payment on the Term Loan. There was also a $10.0 million repayment on the Revolving Facility in the third quarter of fiscal year 2019.</w:t>
      </w: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million of proceeds from stock option and ESPP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$8.1 million payment on earn-out liabilities.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Year ended 2018:</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$5.0 million in repayments on long-term debt, consistent with the required amortization payment on the Term Loan.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$2.9 million of proceeds from stock option and ESPP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$9.5 million payment on earn-out liabilities.</w:t>
      </w:r>
    </w:p>
    <w:p>
      <w:pPr>
        <w:spacing w:after="0" w:line="157" w:lineRule="exact"/>
        <w:rPr>
          <w:sz w:val="20"/>
          <w:szCs w:val="20"/>
          <w:color w:val="auto"/>
        </w:rPr>
      </w:pPr>
    </w:p>
    <w:p>
      <w:pPr>
        <w:ind w:right="160" w:firstLine="389"/>
        <w:spacing w:after="0" w:line="277" w:lineRule="auto"/>
        <w:rPr>
          <w:sz w:val="20"/>
          <w:szCs w:val="20"/>
          <w:color w:val="auto"/>
        </w:rPr>
      </w:pPr>
      <w:r>
        <w:rPr>
          <w:rFonts w:ascii="Arial" w:cs="Arial" w:eastAsia="Arial" w:hAnsi="Arial"/>
          <w:sz w:val="18"/>
          <w:szCs w:val="18"/>
          <w:color w:val="auto"/>
        </w:rPr>
        <w:t>On June 3, 2019 and in connection with the completion of the Fluid Management divestiture, the Company repaid all amounts outstanding under its existing Credit Agreement and entered into a new Credit Agreement. The Credit Agreement</w:t>
      </w:r>
    </w:p>
    <w:p>
      <w:pPr>
        <w:sectPr>
          <w:pgSz w:w="11900" w:h="16838" w:orient="portrait"/>
          <w:cols w:equalWidth="0" w:num="1">
            <w:col w:w="11200"/>
          </w:cols>
          <w:pgMar w:left="320" w:top="105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bookmarkStart w:id="59" w:name="page60"/>
    <w:bookmarkEnd w:id="59"/>
    <w:p>
      <w:pPr>
        <w:ind w:right="20"/>
        <w:spacing w:after="0" w:line="293" w:lineRule="auto"/>
        <w:rPr>
          <w:sz w:val="20"/>
          <w:szCs w:val="20"/>
          <w:color w:val="auto"/>
        </w:rPr>
      </w:pPr>
      <w:r>
        <w:rPr>
          <w:rFonts w:ascii="Arial" w:cs="Arial" w:eastAsia="Arial" w:hAnsi="Arial"/>
          <w:sz w:val="16"/>
          <w:szCs w:val="16"/>
          <w:color w:val="auto"/>
        </w:rPr>
        <w:t>provides for a $125.0 million secured Revolving Facility, which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adjusted EBITDA (as defined in the Credit Agreement). The amount that we can borrow under our Credit Agreement is directly based on our leverage ratio.</w:t>
      </w:r>
    </w:p>
    <w:p>
      <w:pPr>
        <w:spacing w:after="0" w:line="110" w:lineRule="exact"/>
        <w:rPr>
          <w:sz w:val="20"/>
          <w:szCs w:val="20"/>
          <w:color w:val="auto"/>
        </w:rPr>
      </w:pPr>
    </w:p>
    <w:p>
      <w:pPr>
        <w:ind w:firstLine="389"/>
        <w:spacing w:after="0" w:line="275" w:lineRule="auto"/>
        <w:rPr>
          <w:sz w:val="20"/>
          <w:szCs w:val="20"/>
          <w:color w:val="auto"/>
        </w:rPr>
      </w:pPr>
      <w:r>
        <w:rPr>
          <w:rFonts w:ascii="Arial" w:cs="Arial" w:eastAsia="Arial" w:hAnsi="Arial"/>
          <w:sz w:val="17"/>
          <w:szCs w:val="17"/>
          <w:color w:val="auto"/>
        </w:rPr>
        <w:t>On December 17, 2019, the Company made a $15.0 million draw on the Revolving Facility as part of the acquisition of the C3 Wave tip location asset from Medical Components Inc. that is described Note 2 to the financial statements. In the fourth quarter of fiscal year 2020, the Company made an additional $25.0 million draw on the Revolving Facility. We believe that our current cash balance, together with cash generated from operations and access to our Revolving Facility,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122" w:lineRule="exact"/>
        <w:rPr>
          <w:sz w:val="20"/>
          <w:szCs w:val="20"/>
          <w:color w:val="auto"/>
        </w:rPr>
      </w:pPr>
    </w:p>
    <w:p>
      <w:pPr>
        <w:ind w:right="500" w:firstLine="389"/>
        <w:spacing w:after="0" w:line="277" w:lineRule="auto"/>
        <w:rPr>
          <w:sz w:val="20"/>
          <w:szCs w:val="20"/>
          <w:color w:val="auto"/>
        </w:rPr>
      </w:pPr>
      <w:r>
        <w:rPr>
          <w:rFonts w:ascii="Arial" w:cs="Arial" w:eastAsia="Arial" w:hAnsi="Arial"/>
          <w:sz w:val="18"/>
          <w:szCs w:val="18"/>
          <w:color w:val="auto"/>
        </w:rPr>
        <w:t>Our contractual obligations as of May 31, 2020 are set forth in the table below (in thousands). We have no variable interest entities or other off-balance sheet obligations.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color w:val="auto"/>
                <w:w w:val="92"/>
              </w:rPr>
              <w:t>Cash payments due by period as of May 31, 2020</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6"/>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80"/>
              <w:spacing w:after="0" w:line="156" w:lineRule="exact"/>
              <w:rPr>
                <w:sz w:val="20"/>
                <w:szCs w:val="20"/>
                <w:color w:val="auto"/>
              </w:rPr>
            </w:pPr>
            <w:r>
              <w:rPr>
                <w:rFonts w:ascii="Arial" w:cs="Arial" w:eastAsia="Arial" w:hAnsi="Arial"/>
                <w:sz w:val="14"/>
                <w:szCs w:val="14"/>
                <w:color w:val="auto"/>
              </w:rPr>
              <w:t>Less than</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254"/>
              <w:spacing w:after="0" w:line="156" w:lineRule="exact"/>
              <w:rPr>
                <w:sz w:val="20"/>
                <w:szCs w:val="20"/>
                <w:color w:val="auto"/>
              </w:rPr>
            </w:pPr>
            <w:r>
              <w:rPr>
                <w:rFonts w:ascii="Arial" w:cs="Arial" w:eastAsia="Arial" w:hAnsi="Arial"/>
                <w:sz w:val="14"/>
                <w:szCs w:val="14"/>
                <w:color w:val="auto"/>
              </w:rPr>
              <w:t>After 5</w:t>
            </w:r>
          </w:p>
        </w:tc>
      </w:tr>
      <w:tr>
        <w:trPr>
          <w:trHeight w:val="188"/>
        </w:trPr>
        <w:tc>
          <w:tcPr>
            <w:tcW w:w="5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One Year</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1-3 Years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3-5 Years</w:t>
            </w:r>
          </w:p>
        </w:tc>
        <w:tc>
          <w:tcPr>
            <w:tcW w:w="240" w:type="dxa"/>
            <w:vAlign w:val="bottom"/>
          </w:tcPr>
          <w:p>
            <w:pPr>
              <w:spacing w:after="0"/>
              <w:rPr>
                <w:sz w:val="16"/>
                <w:szCs w:val="16"/>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color w:val="auto"/>
              </w:rPr>
              <w:t>Years</w:t>
            </w:r>
          </w:p>
        </w:tc>
      </w:tr>
      <w:tr>
        <w:trPr>
          <w:trHeight w:val="236"/>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Long term debt and 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42,286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12,009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4,889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1,188</w:t>
            </w:r>
          </w:p>
        </w:tc>
      </w:tr>
      <w:tr>
        <w:trPr>
          <w:trHeight w:val="270"/>
        </w:trPr>
        <w:tc>
          <w:tcPr>
            <w:tcW w:w="5160" w:type="dxa"/>
            <w:vAlign w:val="bottom"/>
          </w:tcPr>
          <w:p>
            <w:pPr>
              <w:ind w:left="36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(2)</w:t>
            </w:r>
          </w:p>
        </w:tc>
        <w:tc>
          <w:tcPr>
            <w:tcW w:w="2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Acquisition-related future obligations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Indemnification holdback</w:t>
            </w:r>
          </w:p>
        </w:tc>
        <w:tc>
          <w:tcPr>
            <w:tcW w:w="2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Royalties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7,600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32,500</w:t>
            </w:r>
          </w:p>
        </w:tc>
      </w:tr>
      <w:tr>
        <w:trPr>
          <w:trHeight w:val="237"/>
        </w:trPr>
        <w:tc>
          <w:tcPr>
            <w:tcW w:w="516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132,348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13,921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24,013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60,726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33,688</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40" w:hanging="232"/>
        <w:spacing w:after="0"/>
        <w:tabs>
          <w:tab w:leader="none" w:pos="2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Operating leases include short-term leases that are not recorded on our consolidated balance sheet under </w:t>
      </w:r>
      <w:r>
        <w:rPr>
          <w:rFonts w:ascii="Arial" w:cs="Arial" w:eastAsia="Arial" w:hAnsi="Arial"/>
          <w:sz w:val="17"/>
          <w:szCs w:val="17"/>
          <w:color w:val="auto"/>
        </w:rPr>
        <w:t>ASU No. 2016-02.</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inventory purchase obligations are not reflected on our consolidated balance sheets under accounting principles generally accepted in the United States of America.</w:t>
      </w:r>
    </w:p>
    <w:p>
      <w:pPr>
        <w:spacing w:after="0" w:line="55" w:lineRule="exact"/>
        <w:rPr>
          <w:rFonts w:ascii="Arial" w:cs="Arial" w:eastAsia="Arial" w:hAnsi="Arial"/>
          <w:sz w:val="14"/>
          <w:szCs w:val="14"/>
          <w:color w:val="auto"/>
        </w:rPr>
      </w:pPr>
    </w:p>
    <w:p>
      <w:pPr>
        <w:ind w:right="40" w:firstLine="8"/>
        <w:spacing w:after="0" w:line="256" w:lineRule="auto"/>
        <w:tabs>
          <w:tab w:leader="none" w:pos="22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Acquisition-related future obligations include scheduled minimum payments and contingent payments based upon achievement of performance measures or milestones such as sales or profitability targets, the achievement of research and development objectives or the receipt of regulatory approvals. The amount represents the undiscounted value of contingent liabilities recorded on the balance sheet. Timing of payments are as contractually scheduled, or where contingent, the Company's best estimate of payment timing.</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Refer to Note 1 of the Notes to the Consolidated Financial Statements for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0" w:name="page61"/>
    <w:bookmarkEnd w:id="60"/>
    <w:p>
      <w:pPr>
        <w:ind w:left="2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75"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16" w:lineRule="exact"/>
        <w:rPr>
          <w:sz w:val="20"/>
          <w:szCs w:val="20"/>
          <w:color w:val="auto"/>
        </w:rPr>
      </w:pPr>
    </w:p>
    <w:p>
      <w:pPr>
        <w:ind w:right="40" w:firstLine="389"/>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6.8% of our sales in fiscal year 2020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right="80" w:firstLine="389"/>
        <w:spacing w:after="0" w:line="259" w:lineRule="auto"/>
        <w:rPr>
          <w:sz w:val="20"/>
          <w:szCs w:val="20"/>
          <w:color w:val="auto"/>
        </w:rPr>
      </w:pPr>
      <w:r>
        <w:rPr>
          <w:rFonts w:ascii="Arial" w:cs="Arial" w:eastAsia="Arial" w:hAnsi="Arial"/>
          <w:sz w:val="18"/>
          <w:szCs w:val="18"/>
          <w:color w:val="auto"/>
        </w:rPr>
        <w:t>On June 3, 2019, we entered into the Credit Agreement which provides for a $125.0 million Revolving Facility. Interest on the facility will be based, at the Company’s option, on a base rate of LIBOR plus an applicable margin tied to the Company’s total leverage ratio and having ranges between 0.25% and 0.75% for base rate loans and between 1.25% and 1.75% for LIBOR loans. In the event of default, the interest rate may be increased by 2.0%. As of May 31, 2020, there was $40.0 million outstanding on the Revolving Facility.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ind w:right="740" w:firstLine="389"/>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16" w:lineRule="exact"/>
        <w:rPr>
          <w:sz w:val="20"/>
          <w:szCs w:val="20"/>
          <w:color w:val="auto"/>
        </w:rPr>
      </w:pPr>
    </w:p>
    <w:p>
      <w:pPr>
        <w:jc w:val="both"/>
        <w:ind w:right="200" w:firstLine="389"/>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investment grade banks. The Company has the ability to draw equally amongst the five banks which limits the concentration of credit risk of one institution.</w:t>
      </w:r>
    </w:p>
    <w:p>
      <w:pPr>
        <w:spacing w:after="0" w:line="111" w:lineRule="exact"/>
        <w:rPr>
          <w:sz w:val="20"/>
          <w:szCs w:val="20"/>
          <w:color w:val="auto"/>
        </w:rPr>
      </w:pPr>
    </w:p>
    <w:p>
      <w:pPr>
        <w:ind w:right="60" w:firstLine="389"/>
        <w:spacing w:after="0" w:line="279" w:lineRule="auto"/>
        <w:rPr>
          <w:sz w:val="20"/>
          <w:szCs w:val="20"/>
          <w:color w:val="auto"/>
        </w:rPr>
      </w:pPr>
      <w:r>
        <w:rPr>
          <w:rFonts w:ascii="Arial" w:cs="Arial" w:eastAsia="Arial" w:hAnsi="Arial"/>
          <w:sz w:val="17"/>
          <w:szCs w:val="17"/>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48" w:lineRule="exact"/>
        <w:rPr>
          <w:sz w:val="20"/>
          <w:szCs w:val="20"/>
          <w:color w:val="auto"/>
        </w:rPr>
      </w:pPr>
    </w:p>
    <w:p>
      <w:pPr>
        <w:ind w:right="120" w:firstLine="389"/>
        <w:spacing w:after="0" w:line="277" w:lineRule="auto"/>
        <w:rPr>
          <w:sz w:val="20"/>
          <w:szCs w:val="20"/>
          <w:color w:val="auto"/>
        </w:rPr>
      </w:pPr>
      <w:r>
        <w:rPr>
          <w:rFonts w:ascii="Arial" w:cs="Arial" w:eastAsia="Arial" w:hAnsi="Arial"/>
          <w:sz w:val="18"/>
          <w:szCs w:val="18"/>
          <w:color w:val="auto"/>
        </w:rPr>
        <w:t>Financial statements and supplementary data required by Part II, Item 8 are included in Part IV of this report as indexed as Item 15 (a) (1) and (2) of this report, and are incorporated by reference into this Item 8.</w:t>
      </w: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61" w:name="page62"/>
    <w:bookmarkEnd w:id="61"/>
    <w:p>
      <w:pPr>
        <w:ind w:left="2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0" w:firstLine="389"/>
        <w:spacing w:after="0" w:line="291" w:lineRule="auto"/>
        <w:rPr>
          <w:sz w:val="20"/>
          <w:szCs w:val="20"/>
          <w:color w:val="auto"/>
        </w:rPr>
      </w:pPr>
      <w:r>
        <w:rPr>
          <w:rFonts w:ascii="Arial" w:cs="Arial" w:eastAsia="Arial" w:hAnsi="Arial"/>
          <w:sz w:val="16"/>
          <w:szCs w:val="16"/>
          <w:color w:val="auto"/>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140" w:firstLine="389"/>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and includes those policies and procedures that:</w:t>
      </w:r>
    </w:p>
    <w:p>
      <w:pPr>
        <w:spacing w:after="0" w:line="10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34" w:lineRule="exact"/>
        <w:rPr>
          <w:rFonts w:ascii="Arial" w:cs="Arial" w:eastAsia="Arial" w:hAnsi="Arial"/>
          <w:sz w:val="17"/>
          <w:szCs w:val="17"/>
          <w:color w:val="auto"/>
        </w:rPr>
      </w:pPr>
    </w:p>
    <w:p>
      <w:pPr>
        <w:ind w:left="660" w:right="460" w:hanging="328"/>
        <w:spacing w:after="0" w:line="250"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and that our receipts and expenditures are being made only in accordance with authorizations of our management and members of our Board of Directors; and</w:t>
      </w:r>
    </w:p>
    <w:p>
      <w:pPr>
        <w:spacing w:after="0" w:line="1" w:lineRule="exact"/>
        <w:rPr>
          <w:rFonts w:ascii="Arial" w:cs="Arial" w:eastAsia="Arial" w:hAnsi="Arial"/>
          <w:sz w:val="18"/>
          <w:szCs w:val="18"/>
          <w:color w:val="auto"/>
        </w:rPr>
      </w:pPr>
    </w:p>
    <w:p>
      <w:pPr>
        <w:ind w:left="660" w:right="60" w:hanging="328"/>
        <w:spacing w:after="0" w:line="260"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31" w:lineRule="exact"/>
        <w:rPr>
          <w:sz w:val="20"/>
          <w:szCs w:val="20"/>
          <w:color w:val="auto"/>
        </w:rPr>
      </w:pPr>
    </w:p>
    <w:p>
      <w:pPr>
        <w:ind w:firstLine="389"/>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ind w:firstLine="389"/>
        <w:spacing w:after="0" w:line="311" w:lineRule="auto"/>
        <w:rPr>
          <w:sz w:val="20"/>
          <w:szCs w:val="20"/>
          <w:color w:val="auto"/>
        </w:rPr>
      </w:pPr>
      <w:r>
        <w:rPr>
          <w:rFonts w:ascii="Arial" w:cs="Arial" w:eastAsia="Arial" w:hAnsi="Arial"/>
          <w:sz w:val="16"/>
          <w:szCs w:val="16"/>
          <w:color w:val="auto"/>
        </w:rPr>
        <w:t xml:space="preserve">Our management has assessed the effectiveness of our internal control over financial reporting as of May 31, 2020. In making this assessment,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Based on this evaluation, management concluded that our internal control over financial reporting was effective as of May 31, 2020.</w:t>
      </w:r>
    </w:p>
    <w:p>
      <w:pPr>
        <w:spacing w:after="0" w:line="95" w:lineRule="exact"/>
        <w:rPr>
          <w:sz w:val="20"/>
          <w:szCs w:val="20"/>
          <w:color w:val="auto"/>
        </w:rPr>
      </w:pPr>
    </w:p>
    <w:p>
      <w:pPr>
        <w:ind w:right="400" w:firstLine="389"/>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May 31, 2020 has been audited by Deloitte &amp; Touche LLP, an independent registered public accounting firm, as stated in their report which appears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520" w:firstLine="389"/>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May 31,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62" w:name="page63"/>
    <w:bookmarkEnd w:id="6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AngioDynamics, Inc.</w:t>
      </w:r>
    </w:p>
    <w:p>
      <w:pPr>
        <w:spacing w:after="0"/>
        <w:rPr>
          <w:sz w:val="20"/>
          <w:szCs w:val="20"/>
          <w:color w:val="auto"/>
        </w:rPr>
      </w:pPr>
      <w:r>
        <w:rPr>
          <w:rFonts w:ascii="Arial" w:cs="Arial" w:eastAsia="Arial" w:hAnsi="Arial"/>
          <w:sz w:val="18"/>
          <w:szCs w:val="18"/>
          <w:color w:val="auto"/>
        </w:rPr>
        <w:t>Latham,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3"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AngioDynamics, Inc. and subsidiaries (the “Company”) as of May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May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May 31, 2020, of the Company and our report dated August 7, 2020, expressed an unqualified opinion on those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August 7, 2020</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63" w:name="page64"/>
    <w:bookmarkEnd w:id="63"/>
    <w:p>
      <w:pPr>
        <w:spacing w:after="0"/>
        <w:tabs>
          <w:tab w:leader="none" w:pos="12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1350" w:right="1440" w:bottom="1440" w:gutter="0" w:footer="0" w:header="0"/>
        </w:sectPr>
      </w:pPr>
    </w:p>
    <w:bookmarkStart w:id="64" w:name="page65"/>
    <w:bookmarkEnd w:id="64"/>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180" w:firstLine="389"/>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within 120 days after the end of our fiscal year end pursuant to Regulation 14A (the “Proxy Statement”) for our annual meeting of Stockholders, currently scheduled for October 2020. The information included in the Proxy Statement under the respective headings noted below is incorporated herein by reference.</w:t>
      </w:r>
    </w:p>
    <w:p>
      <w:pPr>
        <w:spacing w:after="0" w:line="18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02"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8"/>
          <w:szCs w:val="18"/>
          <w:color w:val="auto"/>
        </w:rPr>
        <w:t>Information required in this Annual Report on Form 10-K with respect to Executive Officers is contained in the discussion titled “Executive Officers of the Company” in Part I of this Annual Report on Form 10-K. The balance of the information required by Item 10 is incorporated herein by reference to our Proxy Statement under the heading “Election of Directors”.</w:t>
      </w:r>
    </w:p>
    <w:p>
      <w:pPr>
        <w:spacing w:after="0" w:line="18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information required by Item 11 is incorporated herein by reference to our Proxy Statement under the heading “Executive Compensation”.</w:t>
      </w:r>
    </w:p>
    <w:p>
      <w:pPr>
        <w:spacing w:after="0" w:line="23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required by this caption is incorporated herein by reference to our Proxy Statement under the heading “Ownership of Securities”.</w:t>
      </w:r>
    </w:p>
    <w:p>
      <w:pPr>
        <w:spacing w:after="0" w:line="24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02" w:lineRule="exact"/>
        <w:rPr>
          <w:sz w:val="20"/>
          <w:szCs w:val="20"/>
          <w:color w:val="auto"/>
        </w:rPr>
      </w:pPr>
    </w:p>
    <w:p>
      <w:pPr>
        <w:ind w:right="220" w:firstLine="389"/>
        <w:spacing w:after="0" w:line="277" w:lineRule="auto"/>
        <w:rPr>
          <w:sz w:val="20"/>
          <w:szCs w:val="20"/>
          <w:color w:val="auto"/>
        </w:rPr>
      </w:pPr>
      <w:r>
        <w:rPr>
          <w:rFonts w:ascii="Arial" w:cs="Arial" w:eastAsia="Arial" w:hAnsi="Arial"/>
          <w:sz w:val="18"/>
          <w:szCs w:val="18"/>
          <w:color w:val="auto"/>
        </w:rPr>
        <w:t>The information required by this caption is incorporated herein by reference to our Proxy Statement under the heading “Certain Relationships and Related Transactions”.</w:t>
      </w:r>
    </w:p>
    <w:p>
      <w:pPr>
        <w:spacing w:after="0" w:line="16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02" w:lineRule="exact"/>
        <w:rPr>
          <w:sz w:val="20"/>
          <w:szCs w:val="20"/>
          <w:color w:val="auto"/>
        </w:rPr>
      </w:pPr>
    </w:p>
    <w:p>
      <w:pPr>
        <w:jc w:val="both"/>
        <w:ind w:right="180" w:firstLine="389"/>
        <w:spacing w:after="0" w:line="263" w:lineRule="auto"/>
        <w:rPr>
          <w:sz w:val="20"/>
          <w:szCs w:val="20"/>
          <w:color w:val="auto"/>
        </w:rPr>
      </w:pPr>
      <w:r>
        <w:rPr>
          <w:rFonts w:ascii="Arial" w:cs="Arial" w:eastAsia="Arial" w:hAnsi="Arial"/>
          <w:sz w:val="18"/>
          <w:szCs w:val="18"/>
          <w:color w:val="auto"/>
        </w:rPr>
        <w:t>The information required by this caption is incorporated herein by reference to our Proxy Statement under the headings “Audit Matters—Principal Accounting Fees and Services and—Policy on Audit Committee Pre-approval of Audit and Permissible Non-Audit Services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53" w:right="45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30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(a)(1) </w:t>
      </w:r>
      <w:r>
        <w:rPr>
          <w:rFonts w:ascii="Arial" w:cs="Arial" w:eastAsia="Arial" w:hAnsi="Arial"/>
          <w:sz w:val="18"/>
          <w:szCs w:val="18"/>
          <w:b w:val="1"/>
          <w:bCs w:val="1"/>
          <w:i w:val="1"/>
          <w:iCs w:val="1"/>
          <w:color w:val="auto"/>
        </w:rPr>
        <w:t>Financial Statements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consolidated financial statements and supplementary data of Registrant and its subsidiaries required by Part II, Item 8, are included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 IV of this report: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00" w:type="dxa"/>
            <w:vAlign w:val="bottom"/>
            <w:gridSpan w:val="8"/>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Report of Independent Registered Public Accounting Firms</w:t>
              </w:r>
            </w:hyperlink>
          </w:p>
        </w:tc>
        <w:tc>
          <w:tcPr>
            <w:tcW w:w="20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65</w:t>
              </w:r>
            </w:hyperlink>
          </w:p>
        </w:tc>
      </w:tr>
      <w:tr>
        <w:trPr>
          <w:trHeight w:val="190"/>
        </w:trPr>
        <w:tc>
          <w:tcPr>
            <w:tcW w:w="9100" w:type="dxa"/>
            <w:vAlign w:val="bottom"/>
            <w:gridSpan w:val="8"/>
          </w:tcPr>
          <w:p>
            <w:pPr>
              <w:ind w:left="20"/>
              <w:spacing w:after="0" w:line="190" w:lineRule="exact"/>
              <w:rPr>
                <w:rFonts w:ascii="Arial" w:cs="Arial" w:eastAsia="Arial" w:hAnsi="Arial"/>
                <w:sz w:val="18"/>
                <w:szCs w:val="18"/>
                <w:color w:val="0000FF"/>
              </w:rPr>
            </w:pPr>
            <w:hyperlink w:anchor="page67">
              <w:r>
                <w:rPr>
                  <w:rFonts w:ascii="Arial" w:cs="Arial" w:eastAsia="Arial" w:hAnsi="Arial"/>
                  <w:sz w:val="18"/>
                  <w:szCs w:val="18"/>
                  <w:u w:val="single" w:color="auto"/>
                  <w:color w:val="0000FF"/>
                </w:rPr>
                <w:t>Consolidated statements of operations—Year ended May 31, 2020,</w:t>
              </w:r>
              <w:r>
                <w:rPr>
                  <w:rFonts w:ascii="Arial" w:cs="Arial" w:eastAsia="Arial" w:hAnsi="Arial"/>
                  <w:sz w:val="18"/>
                  <w:szCs w:val="18"/>
                  <w:color w:val="0000FF"/>
                </w:rPr>
                <w:t xml:space="preserve"> 2019 and 2018</w:t>
              </w:r>
            </w:hyperlink>
          </w:p>
        </w:tc>
        <w:tc>
          <w:tcPr>
            <w:tcW w:w="2080" w:type="dxa"/>
            <w:vAlign w:val="bottom"/>
          </w:tcPr>
          <w:p>
            <w:pPr>
              <w:jc w:val="right"/>
              <w:spacing w:after="0" w:line="190" w:lineRule="exact"/>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66</w:t>
              </w:r>
            </w:hyperlink>
          </w:p>
        </w:tc>
      </w:tr>
      <w:tr>
        <w:trPr>
          <w:trHeight w:val="20"/>
        </w:trPr>
        <w:tc>
          <w:tcPr>
            <w:tcW w:w="492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09"/>
        </w:trPr>
        <w:tc>
          <w:tcPr>
            <w:tcW w:w="9100" w:type="dxa"/>
            <w:vAlign w:val="bottom"/>
            <w:gridSpan w:val="8"/>
          </w:tcPr>
          <w:p>
            <w:pPr>
              <w:ind w:left="20"/>
              <w:spacing w:after="0"/>
              <w:rPr>
                <w:rFonts w:ascii="Arial" w:cs="Arial" w:eastAsia="Arial" w:hAnsi="Arial"/>
                <w:sz w:val="18"/>
                <w:szCs w:val="18"/>
                <w:color w:val="0000FF"/>
              </w:rPr>
            </w:pPr>
            <w:hyperlink w:anchor="page68">
              <w:r>
                <w:rPr>
                  <w:rFonts w:ascii="Arial" w:cs="Arial" w:eastAsia="Arial" w:hAnsi="Arial"/>
                  <w:sz w:val="18"/>
                  <w:szCs w:val="18"/>
                  <w:u w:val="single" w:color="auto"/>
                  <w:color w:val="0000FF"/>
                </w:rPr>
                <w:t>Consolidated statements of comprehensive income (loss) - Year ended May 31, 2020,</w:t>
              </w:r>
              <w:r>
                <w:rPr>
                  <w:rFonts w:ascii="Arial" w:cs="Arial" w:eastAsia="Arial" w:hAnsi="Arial"/>
                  <w:sz w:val="18"/>
                  <w:szCs w:val="18"/>
                  <w:color w:val="0000FF"/>
                </w:rPr>
                <w:t xml:space="preserve"> 2019 and 2018</w:t>
              </w:r>
            </w:hyperlink>
          </w:p>
        </w:tc>
        <w:tc>
          <w:tcPr>
            <w:tcW w:w="20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67</w:t>
              </w:r>
            </w:hyperlink>
          </w:p>
        </w:tc>
      </w:tr>
      <w:tr>
        <w:trPr>
          <w:trHeight w:val="249"/>
        </w:trPr>
        <w:tc>
          <w:tcPr>
            <w:tcW w:w="6220" w:type="dxa"/>
            <w:vAlign w:val="bottom"/>
            <w:gridSpan w:val="5"/>
          </w:tcPr>
          <w:p>
            <w:pPr>
              <w:ind w:left="20"/>
              <w:spacing w:after="0"/>
              <w:rPr>
                <w:rFonts w:ascii="Arial" w:cs="Arial" w:eastAsia="Arial" w:hAnsi="Arial"/>
                <w:sz w:val="18"/>
                <w:szCs w:val="18"/>
                <w:color w:val="0000FF"/>
              </w:rPr>
            </w:pPr>
            <w:hyperlink w:anchor="page69">
              <w:r>
                <w:rPr>
                  <w:rFonts w:ascii="Arial" w:cs="Arial" w:eastAsia="Arial" w:hAnsi="Arial"/>
                  <w:sz w:val="18"/>
                  <w:szCs w:val="18"/>
                  <w:u w:val="single" w:color="auto"/>
                  <w:color w:val="0000FF"/>
                </w:rPr>
                <w:t xml:space="preserve">Consolidated balance </w:t>
              </w:r>
            </w:hyperlink>
            <w:r>
              <w:rPr>
                <w:rFonts w:ascii="Arial" w:cs="Arial" w:eastAsia="Arial" w:hAnsi="Arial"/>
                <w:sz w:val="18"/>
                <w:szCs w:val="18"/>
                <w:color w:val="0000FF"/>
              </w:rPr>
              <w:t xml:space="preserve">sheets—May </w:t>
            </w:r>
            <w:hyperlink w:anchor="page69">
              <w:r>
                <w:rPr>
                  <w:rFonts w:ascii="Arial" w:cs="Arial" w:eastAsia="Arial" w:hAnsi="Arial"/>
                  <w:sz w:val="18"/>
                  <w:szCs w:val="18"/>
                  <w:color w:val="0000FF"/>
                </w:rPr>
                <w:t xml:space="preserve">31, </w:t>
              </w:r>
              <w:r>
                <w:rPr>
                  <w:rFonts w:ascii="Arial" w:cs="Arial" w:eastAsia="Arial" w:hAnsi="Arial"/>
                  <w:sz w:val="18"/>
                  <w:szCs w:val="18"/>
                  <w:u w:val="single" w:color="auto"/>
                  <w:color w:val="0000FF"/>
                </w:rPr>
                <w:t>2020 and May 31, 2019</w:t>
              </w:r>
            </w:hyperlink>
          </w:p>
        </w:tc>
        <w:tc>
          <w:tcPr>
            <w:tcW w:w="1080" w:type="dxa"/>
            <w:vAlign w:val="bottom"/>
            <w:tcBorders>
              <w:top w:val="single" w:sz="8" w:color="0000FF"/>
            </w:tcBorders>
            <w:gridSpan w:val="2"/>
          </w:tcPr>
          <w:p>
            <w:pPr>
              <w:spacing w:after="0"/>
              <w:rPr>
                <w:sz w:val="21"/>
                <w:szCs w:val="21"/>
                <w:color w:val="auto"/>
              </w:rPr>
            </w:pPr>
          </w:p>
        </w:tc>
        <w:tc>
          <w:tcPr>
            <w:tcW w:w="1800" w:type="dxa"/>
            <w:vAlign w:val="bottom"/>
          </w:tcPr>
          <w:p>
            <w:pPr>
              <w:spacing w:after="0"/>
              <w:rPr>
                <w:sz w:val="21"/>
                <w:szCs w:val="21"/>
                <w:color w:val="auto"/>
              </w:rPr>
            </w:pPr>
          </w:p>
        </w:tc>
        <w:tc>
          <w:tcPr>
            <w:tcW w:w="208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68</w:t>
              </w:r>
            </w:hyperlink>
          </w:p>
        </w:tc>
      </w:tr>
      <w:tr>
        <w:trPr>
          <w:trHeight w:val="190"/>
        </w:trPr>
        <w:tc>
          <w:tcPr>
            <w:tcW w:w="9100" w:type="dxa"/>
            <w:vAlign w:val="bottom"/>
            <w:gridSpan w:val="8"/>
          </w:tcPr>
          <w:p>
            <w:pPr>
              <w:ind w:left="20"/>
              <w:spacing w:after="0" w:line="190" w:lineRule="exact"/>
              <w:rPr>
                <w:rFonts w:ascii="Arial" w:cs="Arial" w:eastAsia="Arial" w:hAnsi="Arial"/>
                <w:sz w:val="18"/>
                <w:szCs w:val="18"/>
                <w:color w:val="0000FF"/>
              </w:rPr>
            </w:pPr>
            <w:hyperlink w:anchor="page70">
              <w:r>
                <w:rPr>
                  <w:rFonts w:ascii="Arial" w:cs="Arial" w:eastAsia="Arial" w:hAnsi="Arial"/>
                  <w:sz w:val="18"/>
                  <w:szCs w:val="18"/>
                  <w:u w:val="single" w:color="auto"/>
                  <w:color w:val="0000FF"/>
                </w:rPr>
                <w:t>Consolidated statements of stockholders’ equity—Year ended May 31, 2020,</w:t>
              </w:r>
              <w:r>
                <w:rPr>
                  <w:rFonts w:ascii="Arial" w:cs="Arial" w:eastAsia="Arial" w:hAnsi="Arial"/>
                  <w:sz w:val="18"/>
                  <w:szCs w:val="18"/>
                  <w:color w:val="0000FF"/>
                </w:rPr>
                <w:t xml:space="preserve"> 2019 and 2018</w:t>
              </w:r>
            </w:hyperlink>
          </w:p>
        </w:tc>
        <w:tc>
          <w:tcPr>
            <w:tcW w:w="2080" w:type="dxa"/>
            <w:vAlign w:val="bottom"/>
          </w:tcPr>
          <w:p>
            <w:pPr>
              <w:jc w:val="right"/>
              <w:spacing w:after="0" w:line="190" w:lineRule="exact"/>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69</w:t>
              </w:r>
            </w:hyperlink>
          </w:p>
        </w:tc>
      </w:tr>
      <w:tr>
        <w:trPr>
          <w:trHeight w:val="20"/>
        </w:trPr>
        <w:tc>
          <w:tcPr>
            <w:tcW w:w="4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09"/>
        </w:trPr>
        <w:tc>
          <w:tcPr>
            <w:tcW w:w="9100" w:type="dxa"/>
            <w:vAlign w:val="bottom"/>
            <w:gridSpan w:val="8"/>
          </w:tcPr>
          <w:p>
            <w:pPr>
              <w:ind w:left="20"/>
              <w:spacing w:after="0"/>
              <w:rPr>
                <w:rFonts w:ascii="Arial" w:cs="Arial" w:eastAsia="Arial" w:hAnsi="Arial"/>
                <w:sz w:val="18"/>
                <w:szCs w:val="18"/>
                <w:color w:val="0000FF"/>
              </w:rPr>
            </w:pPr>
            <w:hyperlink w:anchor="page71">
              <w:r>
                <w:rPr>
                  <w:rFonts w:ascii="Arial" w:cs="Arial" w:eastAsia="Arial" w:hAnsi="Arial"/>
                  <w:sz w:val="18"/>
                  <w:szCs w:val="18"/>
                  <w:u w:val="single" w:color="auto"/>
                  <w:color w:val="0000FF"/>
                </w:rPr>
                <w:t>Consolidated statements of cash flows—Year ended May 31, 2020,</w:t>
              </w:r>
              <w:r>
                <w:rPr>
                  <w:rFonts w:ascii="Arial" w:cs="Arial" w:eastAsia="Arial" w:hAnsi="Arial"/>
                  <w:sz w:val="18"/>
                  <w:szCs w:val="18"/>
                  <w:color w:val="0000FF"/>
                </w:rPr>
                <w:t xml:space="preserve"> 2019 and 2018</w:t>
              </w:r>
            </w:hyperlink>
          </w:p>
        </w:tc>
        <w:tc>
          <w:tcPr>
            <w:tcW w:w="208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70</w:t>
              </w:r>
            </w:hyperlink>
          </w:p>
        </w:tc>
      </w:tr>
      <w:tr>
        <w:trPr>
          <w:trHeight w:val="250"/>
        </w:trPr>
        <w:tc>
          <w:tcPr>
            <w:tcW w:w="4920" w:type="dxa"/>
            <w:vAlign w:val="bottom"/>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Notes to consolidated financial statements</w:t>
              </w:r>
            </w:hyperlink>
          </w:p>
        </w:tc>
        <w:tc>
          <w:tcPr>
            <w:tcW w:w="1060" w:type="dxa"/>
            <w:vAlign w:val="bottom"/>
            <w:tcBorders>
              <w:top w:val="single" w:sz="8" w:color="0000FF"/>
            </w:tcBorders>
            <w:gridSpan w:val="3"/>
          </w:tcPr>
          <w:p>
            <w:pPr>
              <w:spacing w:after="0"/>
              <w:rPr>
                <w:sz w:val="21"/>
                <w:szCs w:val="21"/>
                <w:color w:val="auto"/>
              </w:rPr>
            </w:pPr>
          </w:p>
        </w:tc>
        <w:tc>
          <w:tcPr>
            <w:tcW w:w="3120" w:type="dxa"/>
            <w:vAlign w:val="bottom"/>
            <w:gridSpan w:val="4"/>
          </w:tcPr>
          <w:p>
            <w:pPr>
              <w:spacing w:after="0"/>
              <w:rPr>
                <w:sz w:val="21"/>
                <w:szCs w:val="21"/>
                <w:color w:val="auto"/>
              </w:rPr>
            </w:pPr>
          </w:p>
        </w:tc>
        <w:tc>
          <w:tcPr>
            <w:tcW w:w="208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72</w:t>
              </w:r>
            </w:hyperlink>
          </w:p>
        </w:tc>
      </w:tr>
      <w:tr>
        <w:trPr>
          <w:trHeight w:val="459"/>
        </w:trPr>
        <w:tc>
          <w:tcPr>
            <w:tcW w:w="910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i w:val="1"/>
                <w:iCs w:val="1"/>
                <w:color w:val="auto"/>
              </w:rPr>
              <w:t>Financial Statement Schedules</w:t>
            </w:r>
          </w:p>
        </w:tc>
        <w:tc>
          <w:tcPr>
            <w:tcW w:w="2080" w:type="dxa"/>
            <w:vAlign w:val="bottom"/>
          </w:tcPr>
          <w:p>
            <w:pPr>
              <w:spacing w:after="0"/>
              <w:rPr>
                <w:sz w:val="24"/>
                <w:szCs w:val="24"/>
                <w:color w:val="auto"/>
              </w:rPr>
            </w:pPr>
          </w:p>
        </w:tc>
      </w:tr>
      <w:tr>
        <w:trPr>
          <w:trHeight w:val="311"/>
        </w:trPr>
        <w:tc>
          <w:tcPr>
            <w:tcW w:w="9100" w:type="dxa"/>
            <w:vAlign w:val="bottom"/>
            <w:gridSpan w:val="8"/>
          </w:tcPr>
          <w:p>
            <w:pPr>
              <w:spacing w:after="0"/>
              <w:rPr>
                <w:sz w:val="20"/>
                <w:szCs w:val="20"/>
                <w:color w:val="auto"/>
              </w:rPr>
            </w:pPr>
            <w:r>
              <w:rPr>
                <w:rFonts w:ascii="Arial" w:cs="Arial" w:eastAsia="Arial" w:hAnsi="Arial"/>
                <w:sz w:val="18"/>
                <w:szCs w:val="18"/>
                <w:color w:val="auto"/>
              </w:rPr>
              <w:t>The following consolidated financial statement schedule is included in Part IV of this report:</w:t>
            </w:r>
          </w:p>
        </w:tc>
        <w:tc>
          <w:tcPr>
            <w:tcW w:w="2080" w:type="dxa"/>
            <w:vAlign w:val="bottom"/>
          </w:tcPr>
          <w:p>
            <w:pPr>
              <w:spacing w:after="0"/>
              <w:rPr>
                <w:sz w:val="24"/>
                <w:szCs w:val="24"/>
                <w:color w:val="auto"/>
              </w:rPr>
            </w:pPr>
          </w:p>
        </w:tc>
      </w:tr>
      <w:tr>
        <w:trPr>
          <w:trHeight w:val="445"/>
        </w:trPr>
        <w:tc>
          <w:tcPr>
            <w:tcW w:w="9100" w:type="dxa"/>
            <w:vAlign w:val="bottom"/>
            <w:gridSpan w:val="8"/>
          </w:tcPr>
          <w:p>
            <w:pPr>
              <w:ind w:left="2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Schedule II—Valuation and qualifying accounts</w:t>
              </w:r>
            </w:hyperlink>
          </w:p>
        </w:tc>
        <w:tc>
          <w:tcPr>
            <w:tcW w:w="2080" w:type="dxa"/>
            <w:vAlign w:val="bottom"/>
          </w:tcPr>
          <w:p>
            <w:pPr>
              <w:jc w:val="right"/>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103</w:t>
              </w:r>
            </w:hyperlink>
          </w:p>
        </w:tc>
      </w:tr>
    </w:tbl>
    <w:p>
      <w:pPr>
        <w:spacing w:after="0" w:line="148" w:lineRule="exact"/>
        <w:rPr>
          <w:sz w:val="20"/>
          <w:szCs w:val="20"/>
          <w:color w:val="auto"/>
        </w:rPr>
      </w:pPr>
    </w:p>
    <w:p>
      <w:pPr>
        <w:ind w:right="380" w:firstLine="389"/>
        <w:spacing w:after="0" w:line="273" w:lineRule="auto"/>
        <w:rPr>
          <w:sz w:val="20"/>
          <w:szCs w:val="20"/>
          <w:color w:val="auto"/>
        </w:rPr>
      </w:pPr>
      <w:r>
        <w:rPr>
          <w:rFonts w:ascii="Arial" w:cs="Arial" w:eastAsia="Arial" w:hAnsi="Arial"/>
          <w:sz w:val="18"/>
          <w:szCs w:val="18"/>
          <w:color w:val="auto"/>
        </w:rPr>
        <w:t>All other schedules are omitted because they are not applicable, not required, or because the required information is included in the consolidated financial statements or notes thereto.</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80" w:type="dxa"/>
            <w:vAlign w:val="bottom"/>
          </w:tcPr>
          <w:p>
            <w:pPr>
              <w:spacing w:after="0"/>
              <w:rPr>
                <w:rFonts w:ascii="Arial" w:cs="Arial" w:eastAsia="Arial" w:hAnsi="Arial"/>
                <w:sz w:val="18"/>
                <w:szCs w:val="18"/>
                <w:b w:val="1"/>
                <w:bCs w:val="1"/>
                <w:i w:val="1"/>
                <w:iCs w:val="1"/>
                <w:u w:val="single" w:color="auto"/>
                <w:color w:val="0000FF"/>
              </w:rPr>
            </w:pPr>
            <w:hyperlink w:anchor="page105">
              <w:r>
                <w:rPr>
                  <w:rFonts w:ascii="Arial" w:cs="Arial" w:eastAsia="Arial" w:hAnsi="Arial"/>
                  <w:sz w:val="18"/>
                  <w:szCs w:val="18"/>
                  <w:b w:val="1"/>
                  <w:bCs w:val="1"/>
                  <w:i w:val="1"/>
                  <w:iCs w:val="1"/>
                  <w:u w:val="single" w:color="auto"/>
                  <w:color w:val="0000FF"/>
                </w:rPr>
                <w:t>(b) Exhibits</w:t>
              </w:r>
            </w:hyperlink>
          </w:p>
        </w:tc>
        <w:tc>
          <w:tcPr>
            <w:tcW w:w="5280" w:type="dxa"/>
            <w:vAlign w:val="bottom"/>
          </w:tcPr>
          <w:p>
            <w:pPr>
              <w:jc w:val="right"/>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104</w:t>
              </w:r>
            </w:hyperlink>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66" w:name="page67"/>
    <w:bookmarkEnd w:id="6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AngioDynamics, Inc.</w:t>
      </w:r>
    </w:p>
    <w:p>
      <w:pPr>
        <w:spacing w:after="0"/>
        <w:rPr>
          <w:sz w:val="20"/>
          <w:szCs w:val="20"/>
          <w:color w:val="auto"/>
        </w:rPr>
      </w:pPr>
      <w:r>
        <w:rPr>
          <w:rFonts w:ascii="Arial" w:cs="Arial" w:eastAsia="Arial" w:hAnsi="Arial"/>
          <w:sz w:val="18"/>
          <w:szCs w:val="18"/>
          <w:color w:val="auto"/>
        </w:rPr>
        <w:t>Latham,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have audited the accompanying consolidated balance sheets of AngioDynamics, Inc. and subsidiaries (the "Company") as of May 31, 2020 and 2019, the related consolidated statements of operations, comprehensive income (loss), stockholders' equity, and cash flows, for each of the three years in the period ended May 31, 2020, and the related notes and the schedule listed in the Index at Item 15 (collectively referred to as the "financial statements"). In our opinion, the financial statements present fairly, in all material respects, the financial position of the Company as of May 31, 2020 and 2019, and the results of its operations and its cash flows for each of the three years in the period ended May 31, 2020, in conformity with accounting principles generally accepted in the United States of America.</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May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August 7, 2020, expressed an unqualified opinion on the Company's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August 7,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67" w:name="page68"/>
    <w:bookmarkEnd w:id="67"/>
    <w:p>
      <w:pPr>
        <w:ind w:left="4160"/>
        <w:spacing w:after="0"/>
        <w:rPr>
          <w:sz w:val="20"/>
          <w:szCs w:val="20"/>
          <w:color w:val="auto"/>
        </w:rPr>
      </w:pPr>
      <w:r>
        <w:rPr>
          <w:rFonts w:ascii="Arial" w:cs="Arial" w:eastAsia="Arial" w:hAnsi="Arial"/>
          <w:sz w:val="18"/>
          <w:szCs w:val="18"/>
          <w:b w:val="1"/>
          <w:bCs w:val="1"/>
          <w:color w:val="auto"/>
        </w:rPr>
        <w:t>AngioDynamics, Inc. and Subsidiaries</w:t>
      </w:r>
    </w:p>
    <w:p>
      <w:pPr>
        <w:spacing w:after="0" w:line="10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264,157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270,634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261,655</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113,885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114,634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117,799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150,272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143,856</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24,338</w:t>
            </w: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78,634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76,829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73,109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30,991</w:t>
            </w: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18,121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17,056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13,906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Goodwill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Acquisition, restructuring and other items,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15,432</w:t>
            </w:r>
          </w:p>
        </w:tc>
        <w:tc>
          <w:tcPr>
            <w:tcW w:w="0" w:type="dxa"/>
            <w:vAlign w:val="bottom"/>
          </w:tcPr>
          <w:p>
            <w:pPr>
              <w:spacing w:after="0"/>
              <w:rPr>
                <w:sz w:val="1"/>
                <w:szCs w:val="1"/>
                <w:color w:val="auto"/>
              </w:rPr>
            </w:pPr>
          </w:p>
        </w:tc>
      </w:tr>
      <w:tr>
        <w:trPr>
          <w:trHeight w:val="237"/>
        </w:trPr>
        <w:tc>
          <w:tcPr>
            <w:tcW w:w="674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317,370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165,396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158,026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Other expenses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expenses, net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Loss from continuing operations before income tax benefit</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(168,135)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37"/>
        </w:trPr>
        <w:tc>
          <w:tcPr>
            <w:tcW w:w="6740" w:type="dxa"/>
            <w:vAlign w:val="bottom"/>
          </w:tcPr>
          <w:p>
            <w:pPr>
              <w:ind w:left="660"/>
              <w:spacing w:after="0"/>
              <w:rPr>
                <w:sz w:val="20"/>
                <w:szCs w:val="20"/>
                <w:color w:val="auto"/>
              </w:rPr>
            </w:pPr>
            <w:r>
              <w:rPr>
                <w:rFonts w:ascii="Arial" w:cs="Arial" w:eastAsia="Arial" w:hAnsi="Arial"/>
                <w:sz w:val="18"/>
                <w:szCs w:val="18"/>
                <w:color w:val="auto"/>
              </w:rPr>
              <w:t>Net loss from continuing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(166,787)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Income from discontinued operations, net of income tax</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72,486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22,562</w:t>
            </w:r>
          </w:p>
        </w:tc>
        <w:tc>
          <w:tcPr>
            <w:tcW w:w="0" w:type="dxa"/>
            <w:vAlign w:val="bottom"/>
          </w:tcPr>
          <w:p>
            <w:pPr>
              <w:spacing w:after="0"/>
              <w:rPr>
                <w:sz w:val="1"/>
                <w:szCs w:val="1"/>
                <w:color w:val="auto"/>
              </w:rPr>
            </w:pPr>
          </w:p>
        </w:tc>
      </w:tr>
      <w:tr>
        <w:trPr>
          <w:trHeight w:val="237"/>
        </w:trPr>
        <w:tc>
          <w:tcPr>
            <w:tcW w:w="6740" w:type="dxa"/>
            <w:vAlign w:val="bottom"/>
          </w:tcPr>
          <w:p>
            <w:pPr>
              <w:ind w:left="66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(166,787)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61,340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16,335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Loss per share - continuing operations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vMerge w:val="continue"/>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per share - discontinued operations</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Income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vMerge w:val="continue"/>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37,961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37,485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37,075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37,961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37,485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37,075</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left="4160"/>
        <w:spacing w:after="0"/>
        <w:rPr>
          <w:sz w:val="20"/>
          <w:szCs w:val="20"/>
          <w:color w:val="auto"/>
        </w:rPr>
      </w:pPr>
      <w:r>
        <w:rPr>
          <w:rFonts w:ascii="Arial" w:cs="Arial" w:eastAsia="Arial" w:hAnsi="Arial"/>
          <w:sz w:val="18"/>
          <w:szCs w:val="18"/>
          <w:b w:val="1"/>
          <w:bCs w:val="1"/>
          <w:color w:val="auto"/>
        </w:rPr>
        <w:t>AngioDynamics, Inc. and Subsidiaries</w:t>
      </w:r>
    </w:p>
    <w:p>
      <w:pPr>
        <w:spacing w:after="0" w:line="10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2018</w:t>
            </w: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(166,787)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61,340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16,335</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Unrealized gain on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w:t>
            </w: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Reclassification adjustment for gains included in net income</w:t>
            </w:r>
          </w:p>
        </w:tc>
        <w:tc>
          <w:tcPr>
            <w:tcW w:w="340" w:type="dxa"/>
            <w:vAlign w:val="bottom"/>
          </w:tcPr>
          <w:p>
            <w:pPr>
              <w:spacing w:after="0"/>
              <w:rPr>
                <w:sz w:val="21"/>
                <w:szCs w:val="21"/>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w:t>
            </w: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372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1"/>
              </w:rPr>
              <w:t>Income tax benefit (expense) related to items of other comprehensive income (loss)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372</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(loss), net of tax</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(166,776)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60,940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16,707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May 31, 2020</w:t>
            </w:r>
          </w:p>
        </w:tc>
        <w:tc>
          <w:tcPr>
            <w:tcW w:w="22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Arial" w:cs="Arial" w:eastAsia="Arial" w:hAnsi="Arial"/>
                <w:sz w:val="14"/>
                <w:szCs w:val="14"/>
                <w:color w:val="auto"/>
              </w:rPr>
              <w:t>May 31, 2019</w:t>
            </w:r>
          </w:p>
        </w:tc>
        <w:tc>
          <w:tcPr>
            <w:tcW w:w="0" w:type="dxa"/>
            <w:vAlign w:val="bottom"/>
          </w:tcPr>
          <w:p>
            <w:pPr>
              <w:spacing w:after="0"/>
              <w:rPr>
                <w:sz w:val="1"/>
                <w:szCs w:val="1"/>
                <w:color w:val="auto"/>
              </w:rPr>
            </w:pPr>
          </w:p>
        </w:tc>
      </w:tr>
      <w:tr>
        <w:trPr>
          <w:trHeight w:val="236"/>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227,641</w:t>
            </w: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 net of allowances of $2,150 and $1,906, respectively</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31,263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43,577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40,071</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315,292</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28,312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24,258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197,136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145,387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200,515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347,666</w:t>
            </w:r>
          </w:p>
        </w:tc>
        <w:tc>
          <w:tcPr>
            <w:tcW w:w="0" w:type="dxa"/>
            <w:vAlign w:val="bottom"/>
          </w:tcPr>
          <w:p>
            <w:pPr>
              <w:spacing w:after="0"/>
              <w:rPr>
                <w:sz w:val="1"/>
                <w:szCs w:val="1"/>
                <w:color w:val="auto"/>
              </w:rPr>
            </w:pPr>
          </w:p>
        </w:tc>
      </w:tr>
      <w:tr>
        <w:trPr>
          <w:trHeight w:val="237"/>
        </w:trPr>
        <w:tc>
          <w:tcPr>
            <w:tcW w:w="826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594,214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836,438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22,829</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29,380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38,338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Current portion of contingent consideration</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26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51,445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73,302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124,407</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24,057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14,542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8,851</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139,342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221,623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Commitments and Contingencies (Note 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w w:val="96"/>
              </w:rPr>
              <w:t>Preferred stock, par value $0.01 per share, 5,000,000 shares authorized; no shares issued and outstanding</w:t>
            </w:r>
          </w:p>
        </w:tc>
        <w:tc>
          <w:tcPr>
            <w:tcW w:w="2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Common stock, par value $0.01 per share, 75,000,000 shares authorized; 38,448,536 and 37,984,382 shares</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issued and 38,078,536 and 37,614,382 shares outstanding at May 31, 2020 and 2019, respectively</w:t>
            </w: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561,871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555,040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66,469</w:t>
            </w: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Treasury stock, 370,000 shares, at cost at May 31, 2020 and 2019, respectively</w:t>
            </w: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37"/>
        </w:trPr>
        <w:tc>
          <w:tcPr>
            <w:tcW w:w="826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454,872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614,815</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594,214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836,438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left="4160"/>
        <w:spacing w:after="0"/>
        <w:rPr>
          <w:sz w:val="20"/>
          <w:szCs w:val="20"/>
          <w:color w:val="auto"/>
        </w:rPr>
      </w:pPr>
      <w:r>
        <w:rPr>
          <w:rFonts w:ascii="Arial" w:cs="Arial" w:eastAsia="Arial" w:hAnsi="Arial"/>
          <w:sz w:val="18"/>
          <w:szCs w:val="18"/>
          <w:b w:val="1"/>
          <w:bCs w:val="1"/>
          <w:color w:val="auto"/>
        </w:rPr>
        <w:t>AngioDynamics, Inc. and Subsidiaries</w:t>
      </w:r>
    </w:p>
    <w:p>
      <w:pPr>
        <w:spacing w:after="0" w:line="6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160" w:type="dxa"/>
            <w:vAlign w:val="bottom"/>
            <w:gridSpan w:val="5"/>
            <w:vMerge w:val="restart"/>
          </w:tcPr>
          <w:p>
            <w:pPr>
              <w:ind w:left="58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Retained</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Accumulated</w:t>
            </w:r>
          </w:p>
        </w:tc>
        <w:tc>
          <w:tcPr>
            <w:tcW w:w="1880" w:type="dxa"/>
            <w:vAlign w:val="bottom"/>
            <w:gridSpan w:val="5"/>
            <w:vMerge w:val="restart"/>
          </w:tcPr>
          <w:p>
            <w:pPr>
              <w:ind w:left="460"/>
              <w:spacing w:after="0"/>
              <w:rPr>
                <w:sz w:val="20"/>
                <w:szCs w:val="20"/>
                <w:color w:val="auto"/>
              </w:rPr>
            </w:pPr>
            <w:r>
              <w:rPr>
                <w:rFonts w:ascii="Arial" w:cs="Arial" w:eastAsia="Arial" w:hAnsi="Arial"/>
                <w:sz w:val="14"/>
                <w:szCs w:val="14"/>
                <w:color w:val="auto"/>
              </w:rPr>
              <w:t>Treasury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500" w:type="dxa"/>
            <w:vAlign w:val="bottom"/>
          </w:tcPr>
          <w:p>
            <w:pPr>
              <w:spacing w:after="0"/>
              <w:rPr>
                <w:sz w:val="13"/>
                <w:szCs w:val="13"/>
                <w:color w:val="auto"/>
              </w:rPr>
            </w:pPr>
          </w:p>
        </w:tc>
        <w:tc>
          <w:tcPr>
            <w:tcW w:w="216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3"/>
              </w:rPr>
              <w:t>earnings</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3"/>
              </w:rPr>
              <w:t>other</w:t>
            </w:r>
          </w:p>
        </w:tc>
        <w:tc>
          <w:tcPr>
            <w:tcW w:w="188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5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2"/>
              </w:rPr>
              <w:t>paid in</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2"/>
              </w:rPr>
              <w:t>(accumulated</w:t>
            </w:r>
          </w:p>
        </w:tc>
        <w:tc>
          <w:tcPr>
            <w:tcW w:w="140" w:type="dxa"/>
            <w:vAlign w:val="bottom"/>
          </w:tcPr>
          <w:p>
            <w:pPr>
              <w:spacing w:after="0"/>
              <w:rPr>
                <w:sz w:val="10"/>
                <w:szCs w:val="10"/>
                <w:color w:val="auto"/>
              </w:rPr>
            </w:pPr>
          </w:p>
        </w:tc>
        <w:tc>
          <w:tcPr>
            <w:tcW w:w="126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comprehensive</w:t>
            </w: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capital</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loss</w:t>
            </w:r>
          </w:p>
        </w:tc>
        <w:tc>
          <w:tcPr>
            <w:tcW w:w="1000" w:type="dxa"/>
            <w:vAlign w:val="bottom"/>
            <w:gridSpan w:val="2"/>
          </w:tcPr>
          <w:p>
            <w:pPr>
              <w:ind w:left="2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500" w:type="dxa"/>
            <w:vAlign w:val="bottom"/>
          </w:tcPr>
          <w:p>
            <w:pPr>
              <w:ind w:left="340"/>
              <w:spacing w:after="0"/>
              <w:rPr>
                <w:sz w:val="20"/>
                <w:szCs w:val="20"/>
                <w:color w:val="auto"/>
              </w:rPr>
            </w:pPr>
            <w:r>
              <w:rPr>
                <w:rFonts w:ascii="Arial" w:cs="Arial" w:eastAsia="Arial" w:hAnsi="Arial"/>
                <w:sz w:val="14"/>
                <w:szCs w:val="14"/>
                <w:b w:val="1"/>
                <w:bCs w:val="1"/>
                <w:color w:val="auto"/>
              </w:rPr>
              <w:t>Balance at May 31, 2017</w:t>
            </w:r>
          </w:p>
        </w:tc>
        <w:tc>
          <w:tcPr>
            <w:tcW w:w="10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37,210,091</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532,705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(11,007)</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(370,000)</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515,027</w:t>
            </w: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for ASU 2016-09</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16,335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16,335</w:t>
            </w: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148,937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157"/>
        </w:trPr>
        <w:tc>
          <w:tcPr>
            <w:tcW w:w="2500" w:type="dxa"/>
            <w:vAlign w:val="bottom"/>
          </w:tcPr>
          <w:p>
            <w:pPr>
              <w:ind w:left="20"/>
              <w:spacing w:after="0" w:line="157" w:lineRule="exact"/>
              <w:rPr>
                <w:sz w:val="20"/>
                <w:szCs w:val="20"/>
                <w:color w:val="auto"/>
              </w:rPr>
            </w:pPr>
            <w:r>
              <w:rPr>
                <w:rFonts w:ascii="Arial" w:cs="Arial" w:eastAsia="Arial" w:hAnsi="Arial"/>
                <w:sz w:val="14"/>
                <w:szCs w:val="14"/>
                <w:color w:val="auto"/>
                <w:w w:val="99"/>
              </w:rPr>
              <w:t>Issuance/cancellation of restricted stock</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rPr>
                <w:sz w:val="20"/>
                <w:szCs w:val="20"/>
                <w:color w:val="auto"/>
              </w:rPr>
            </w:pPr>
            <w:r>
              <w:rPr>
                <w:rFonts w:ascii="Arial" w:cs="Arial" w:eastAsia="Arial" w:hAnsi="Arial"/>
                <w:sz w:val="14"/>
                <w:szCs w:val="14"/>
                <w:color w:val="auto"/>
              </w:rPr>
              <w:t>units</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145,522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common stock under</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89,943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196"/>
        </w:trPr>
        <w:tc>
          <w:tcPr>
            <w:tcW w:w="25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7,912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7,912</w:t>
            </w: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Other comprehensive income, net of tax</w:t>
            </w: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90"/>
        </w:trPr>
        <w:tc>
          <w:tcPr>
            <w:tcW w:w="2500" w:type="dxa"/>
            <w:vAlign w:val="bottom"/>
          </w:tcPr>
          <w:p>
            <w:pPr>
              <w:ind w:left="340"/>
              <w:spacing w:after="0"/>
              <w:rPr>
                <w:sz w:val="20"/>
                <w:szCs w:val="20"/>
                <w:color w:val="auto"/>
              </w:rPr>
            </w:pPr>
            <w:r>
              <w:rPr>
                <w:rFonts w:ascii="Arial" w:cs="Arial" w:eastAsia="Arial" w:hAnsi="Arial"/>
                <w:sz w:val="14"/>
                <w:szCs w:val="14"/>
                <w:b w:val="1"/>
                <w:bCs w:val="1"/>
                <w:color w:val="auto"/>
              </w:rPr>
              <w:t>Balance at May 31, 2018</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37,594,493</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543,762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5,129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(370,000)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542,595</w:t>
            </w: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61,340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61,340</w:t>
            </w:r>
          </w:p>
        </w:tc>
        <w:tc>
          <w:tcPr>
            <w:tcW w:w="0" w:type="dxa"/>
            <w:vAlign w:val="bottom"/>
          </w:tcPr>
          <w:p>
            <w:pPr>
              <w:spacing w:after="0"/>
              <w:rPr>
                <w:sz w:val="1"/>
                <w:szCs w:val="1"/>
                <w:color w:val="auto"/>
              </w:rPr>
            </w:pPr>
          </w:p>
        </w:tc>
      </w:tr>
      <w:tr>
        <w:trPr>
          <w:trHeight w:val="197"/>
        </w:trPr>
        <w:tc>
          <w:tcPr>
            <w:tcW w:w="25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134,253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Issuance/cancellation of restricted stock</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177,538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96"/>
        </w:trPr>
        <w:tc>
          <w:tcPr>
            <w:tcW w:w="2500" w:type="dxa"/>
            <w:vAlign w:val="bottom"/>
          </w:tcPr>
          <w:p>
            <w:pPr>
              <w:ind w:left="20"/>
              <w:spacing w:after="0"/>
              <w:rPr>
                <w:sz w:val="20"/>
                <w:szCs w:val="20"/>
                <w:color w:val="auto"/>
              </w:rPr>
            </w:pPr>
            <w:r>
              <w:rPr>
                <w:rFonts w:ascii="Arial" w:cs="Arial" w:eastAsia="Arial" w:hAnsi="Arial"/>
                <w:sz w:val="14"/>
                <w:szCs w:val="14"/>
                <w:color w:val="auto"/>
              </w:rPr>
              <w:t>Issuance of performance share units</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5,235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common stock under</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72,863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1,172</w:t>
            </w:r>
          </w:p>
        </w:tc>
        <w:tc>
          <w:tcPr>
            <w:tcW w:w="0" w:type="dxa"/>
            <w:vAlign w:val="bottom"/>
          </w:tcPr>
          <w:p>
            <w:pPr>
              <w:spacing w:after="0"/>
              <w:rPr>
                <w:sz w:val="1"/>
                <w:szCs w:val="1"/>
                <w:color w:val="auto"/>
              </w:rPr>
            </w:pPr>
          </w:p>
        </w:tc>
      </w:tr>
      <w:tr>
        <w:trPr>
          <w:trHeight w:val="197"/>
        </w:trPr>
        <w:tc>
          <w:tcPr>
            <w:tcW w:w="25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9,249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9,249</w:t>
            </w: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90"/>
        </w:trPr>
        <w:tc>
          <w:tcPr>
            <w:tcW w:w="2500" w:type="dxa"/>
            <w:vAlign w:val="bottom"/>
          </w:tcPr>
          <w:p>
            <w:pPr>
              <w:ind w:left="340"/>
              <w:spacing w:after="0"/>
              <w:rPr>
                <w:sz w:val="20"/>
                <w:szCs w:val="20"/>
                <w:color w:val="auto"/>
              </w:rPr>
            </w:pPr>
            <w:r>
              <w:rPr>
                <w:rFonts w:ascii="Arial" w:cs="Arial" w:eastAsia="Arial" w:hAnsi="Arial"/>
                <w:sz w:val="14"/>
                <w:szCs w:val="14"/>
                <w:b w:val="1"/>
                <w:bCs w:val="1"/>
                <w:color w:val="auto"/>
              </w:rPr>
              <w:t>Balance at May 31, 2019</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37,984,382</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555,040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66,469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(1,352)</w:t>
            </w:r>
          </w:p>
        </w:tc>
        <w:tc>
          <w:tcPr>
            <w:tcW w:w="1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(370,000)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614,815</w:t>
            </w: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(166,787)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(166,787)</w:t>
            </w:r>
          </w:p>
        </w:tc>
        <w:tc>
          <w:tcPr>
            <w:tcW w:w="0" w:type="dxa"/>
            <w:vAlign w:val="bottom"/>
          </w:tcPr>
          <w:p>
            <w:pPr>
              <w:spacing w:after="0"/>
              <w:rPr>
                <w:sz w:val="1"/>
                <w:szCs w:val="1"/>
                <w:color w:val="auto"/>
              </w:rPr>
            </w:pPr>
          </w:p>
        </w:tc>
      </w:tr>
      <w:tr>
        <w:trPr>
          <w:trHeight w:val="196"/>
        </w:trPr>
        <w:tc>
          <w:tcPr>
            <w:tcW w:w="25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50,636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Issuance/cancellation of restricted stock</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312,951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157"/>
        </w:trPr>
        <w:tc>
          <w:tcPr>
            <w:tcW w:w="2500" w:type="dxa"/>
            <w:vAlign w:val="bottom"/>
          </w:tcPr>
          <w:p>
            <w:pPr>
              <w:ind w:left="20"/>
              <w:spacing w:after="0" w:line="157" w:lineRule="exact"/>
              <w:rPr>
                <w:sz w:val="20"/>
                <w:szCs w:val="20"/>
                <w:color w:val="auto"/>
              </w:rPr>
            </w:pPr>
            <w:r>
              <w:rPr>
                <w:rFonts w:ascii="Arial" w:cs="Arial" w:eastAsia="Arial" w:hAnsi="Arial"/>
                <w:sz w:val="14"/>
                <w:szCs w:val="14"/>
                <w:color w:val="auto"/>
              </w:rPr>
              <w:t>Purchase of common stock under</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100,567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7,592</w:t>
            </w:r>
          </w:p>
        </w:tc>
        <w:tc>
          <w:tcPr>
            <w:tcW w:w="0" w:type="dxa"/>
            <w:vAlign w:val="bottom"/>
          </w:tcPr>
          <w:p>
            <w:pPr>
              <w:spacing w:after="0"/>
              <w:rPr>
                <w:sz w:val="1"/>
                <w:szCs w:val="1"/>
                <w:color w:val="auto"/>
              </w:rPr>
            </w:pPr>
          </w:p>
        </w:tc>
      </w:tr>
      <w:tr>
        <w:trPr>
          <w:trHeight w:val="197"/>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9"/>
              </w:rPr>
              <w:t>Other comprehensive income, net of tax</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Balance at May 31, 2020</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38,448,536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561,871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(100,318)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(1,341)</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(370,000)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454,872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2018</w:t>
            </w: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(166,787)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61,340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16,335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Adjustments to reconcile net income (loss) to net cash (used in) provided by operating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23,805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25,880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23,163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Non-cash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158,578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Stock 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7,912</w:t>
            </w: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Gain on disposition</w:t>
            </w:r>
          </w:p>
        </w:tc>
        <w:tc>
          <w:tcPr>
            <w:tcW w:w="3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Transaction costs for disposition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Deferred income tax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(8,947)</w:t>
            </w: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Changes in accounts receivable allowances</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Asset impairments and disposals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540</w:t>
            </w: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1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5,044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5,740</w:t>
            </w:r>
          </w:p>
        </w:tc>
      </w:tr>
      <w:tr>
        <w:trPr>
          <w:trHeight w:val="243"/>
        </w:trPr>
        <w:tc>
          <w:tcPr>
            <w:tcW w:w="6740" w:type="dxa"/>
            <w:vAlign w:val="bottom"/>
          </w:tcPr>
          <w:p>
            <w:pPr>
              <w:ind w:left="1100"/>
              <w:spacing w:after="0"/>
              <w:rPr>
                <w:sz w:val="20"/>
                <w:szCs w:val="20"/>
                <w:color w:val="auto"/>
              </w:rPr>
            </w:pPr>
            <w:r>
              <w:rPr>
                <w:rFonts w:ascii="Arial" w:cs="Arial" w:eastAsia="Arial" w:hAnsi="Arial"/>
                <w:sz w:val="18"/>
                <w:szCs w:val="18"/>
                <w:color w:val="auto"/>
              </w:rPr>
              <w:t>Prepaid expenses and other</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Accounts payable, accrued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(7,093)</w:t>
            </w: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37,440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41,287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(2,391)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disposition of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169,242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Cash paid for acquisitions</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(84,920)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Acquisition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Proceeds from sale of marketable securities</w:t>
            </w:r>
          </w:p>
        </w:tc>
        <w:tc>
          <w:tcPr>
            <w:tcW w:w="3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82,554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(3,656)</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Repayment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Proceeds from borrowings on revolving credit facility</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financing costs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Payment of acquisition related contingent consideration</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(9,500)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Proceeds (outlays) from exercise of stock options and employee stock purchase plan</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2,949</w:t>
            </w:r>
          </w:p>
        </w:tc>
      </w:tr>
      <w:tr>
        <w:trPr>
          <w:trHeight w:val="236"/>
        </w:trPr>
        <w:tc>
          <w:tcPr>
            <w:tcW w:w="6740" w:type="dxa"/>
            <w:vAlign w:val="bottom"/>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33,931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(11,551)</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472</w:t>
            </w:r>
          </w:p>
        </w:tc>
      </w:tr>
      <w:tr>
        <w:trPr>
          <w:trHeight w:val="236"/>
        </w:trPr>
        <w:tc>
          <w:tcPr>
            <w:tcW w:w="6740" w:type="dxa"/>
            <w:vAlign w:val="bottom"/>
          </w:tcPr>
          <w:p>
            <w:pPr>
              <w:ind w:left="660"/>
              <w:spacing w:after="0"/>
              <w:rPr>
                <w:sz w:val="20"/>
                <w:szCs w:val="20"/>
                <w:color w:val="auto"/>
              </w:rPr>
            </w:pPr>
            <w:r>
              <w:rPr>
                <w:rFonts w:ascii="Arial" w:cs="Arial" w:eastAsia="Arial" w:hAnsi="Arial"/>
                <w:sz w:val="18"/>
                <w:szCs w:val="18"/>
                <w:color w:val="auto"/>
              </w:rPr>
              <w:t>(Decrease) increase in cash and cash equivalents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(173,206)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153,545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26,552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227,641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74,096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47,544</w:t>
            </w:r>
          </w:p>
        </w:tc>
      </w:tr>
      <w:tr>
        <w:trPr>
          <w:trHeight w:val="236"/>
        </w:trPr>
        <w:tc>
          <w:tcPr>
            <w:tcW w:w="6740" w:type="dxa"/>
            <w:vAlign w:val="bottom"/>
          </w:tcPr>
          <w:p>
            <w:pPr>
              <w:ind w:left="340"/>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54,435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227,641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74,096</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093"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72" w:name="page73"/>
    <w:bookmarkEnd w:id="72"/>
    <w:p>
      <w:pPr>
        <w:ind w:left="4160"/>
        <w:spacing w:after="0"/>
        <w:rPr>
          <w:sz w:val="20"/>
          <w:szCs w:val="20"/>
          <w:color w:val="auto"/>
        </w:rPr>
      </w:pPr>
      <w:r>
        <w:rPr>
          <w:rFonts w:ascii="Arial" w:cs="Arial" w:eastAsia="Arial" w:hAnsi="Arial"/>
          <w:sz w:val="18"/>
          <w:szCs w:val="18"/>
          <w:b w:val="1"/>
          <w:bCs w:val="1"/>
          <w:color w:val="auto"/>
        </w:rPr>
        <w:t>AngioDynamics, Inc. and Subsidiaries</w:t>
      </w:r>
    </w:p>
    <w:p>
      <w:pPr>
        <w:spacing w:after="0" w:line="10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4"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20955</wp:posOffset>
            </wp:positionV>
            <wp:extent cx="28632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2018</w:t>
            </w: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Increase (decrease) in accounts payable for purchases of fixed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Fair value of contingent consideration for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Fair value of acquisition consideration included in accrued expenses</w:t>
            </w:r>
          </w:p>
        </w:tc>
        <w:tc>
          <w:tcPr>
            <w:tcW w:w="3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paid during the year for:</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66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5,115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3,190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w:t>
            </w:r>
          </w:p>
        </w:tc>
      </w:tr>
      <w:tr>
        <w:trPr>
          <w:trHeight w:val="27"/>
        </w:trPr>
        <w:tc>
          <w:tcPr>
            <w:tcW w:w="6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AngioDynamics, Inc. and Subsidiaries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BUSINESS DESCRIPTION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Description of Business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consolidated financial statements include the accounts of AngioDynamics, Inc. and its wholly owned subsidiaries, (collectively, the “Company”).</w:t>
      </w:r>
    </w:p>
    <w:p>
      <w:pPr>
        <w:spacing w:after="0" w:line="194" w:lineRule="exact"/>
        <w:rPr>
          <w:sz w:val="20"/>
          <w:szCs w:val="20"/>
          <w:color w:val="auto"/>
        </w:rPr>
      </w:pPr>
    </w:p>
    <w:p>
      <w:pPr>
        <w:ind w:right="80" w:firstLine="389"/>
        <w:spacing w:after="0" w:line="259" w:lineRule="auto"/>
        <w:rPr>
          <w:sz w:val="20"/>
          <w:szCs w:val="20"/>
          <w:color w:val="auto"/>
        </w:rPr>
      </w:pPr>
      <w:r>
        <w:rPr>
          <w:rFonts w:ascii="Arial" w:cs="Arial" w:eastAsia="Arial" w:hAnsi="Arial"/>
          <w:sz w:val="18"/>
          <w:szCs w:val="18"/>
          <w:color w:val="auto"/>
        </w:rPr>
        <w:t>The Company designs, manufactures and sells a wide range of medical, surgical and diagnostic devices used by professional healthcare providers for vascular access, for the treatment of peripheral vascular disease and in oncology and surgical settings. The devices are generally used in minimally invasive, image-guided procedures. Most of the Company's products are intended to be used once and then discarded, or they may be temporarily implanted for short- or long-term use.</w:t>
      </w:r>
    </w:p>
    <w:p>
      <w:pPr>
        <w:spacing w:after="0" w:line="133" w:lineRule="exact"/>
        <w:rPr>
          <w:sz w:val="20"/>
          <w:szCs w:val="20"/>
          <w:color w:val="auto"/>
        </w:rPr>
      </w:pPr>
    </w:p>
    <w:p>
      <w:pPr>
        <w:ind w:right="20" w:firstLine="389"/>
        <w:spacing w:after="0" w:line="296" w:lineRule="auto"/>
        <w:rPr>
          <w:sz w:val="20"/>
          <w:szCs w:val="20"/>
          <w:color w:val="auto"/>
        </w:rPr>
      </w:pPr>
      <w:r>
        <w:rPr>
          <w:rFonts w:ascii="Arial" w:cs="Arial" w:eastAsia="Arial" w:hAnsi="Arial"/>
          <w:sz w:val="16"/>
          <w:szCs w:val="16"/>
          <w:color w:val="auto"/>
        </w:rPr>
        <w:t>On May 31, 2019, the Company completed the sale of the Fluid Management business and all of the assets used primarily in connection with the Fluid Management business (Note 3). As the disposal of this business represents a strategic shift with a major effect on the Company's operations, for all periods presented in the Consolidated Statements of Operations and Comprehensive Income, all sales, costs, expenses, gains and income taxes attributable to Fluid Management have been reported under the captions, “Income from Discontinued Operations, Net of Income Tax.” Cash flows used in or provided by Fluid Management have been reported in the Consolidated Statements of Cash Flows under operating and investing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71"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The consolidated financial statements and accompanying notes have been prepared in conformity with accounting principles generally accepted in the United States of America ("GAAP").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The consolidated financial statements include the accounts of AngioDynamics and its subsidiaries (all of which are wholly owned). All intercompany balances and transactions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right="220" w:firstLine="389"/>
        <w:spacing w:after="0" w:line="259"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Estimates also affect reported amounts of sales and expenses during the reporting period. Actual results could differ from those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right="60" w:firstLine="389"/>
        <w:spacing w:after="0" w:line="263" w:lineRule="auto"/>
        <w:rPr>
          <w:sz w:val="20"/>
          <w:szCs w:val="20"/>
          <w:color w:val="auto"/>
        </w:rPr>
      </w:pPr>
      <w:r>
        <w:rPr>
          <w:rFonts w:ascii="Arial" w:cs="Arial" w:eastAsia="Arial" w:hAnsi="Arial"/>
          <w:sz w:val="18"/>
          <w:szCs w:val="18"/>
          <w:color w:val="auto"/>
        </w:rPr>
        <w:t>The Company considers all unrestricted highly liquid investments with an initial maturity of less than three months at the date of purchase to be cash equivalents. The Company maintains cash and cash equivalent balances with financial institutions in the United States in excess of amounts insured by the Federal Deposit Insurance Corporation.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Instruments</w:t>
      </w:r>
    </w:p>
    <w:p>
      <w:pPr>
        <w:spacing w:after="0" w:line="171" w:lineRule="exact"/>
        <w:rPr>
          <w:sz w:val="20"/>
          <w:szCs w:val="20"/>
          <w:color w:val="auto"/>
        </w:rPr>
      </w:pPr>
    </w:p>
    <w:p>
      <w:pPr>
        <w:ind w:right="40" w:firstLine="389"/>
        <w:spacing w:after="0" w:line="257" w:lineRule="auto"/>
        <w:rPr>
          <w:sz w:val="20"/>
          <w:szCs w:val="20"/>
          <w:color w:val="auto"/>
        </w:rPr>
      </w:pPr>
      <w:r>
        <w:rPr>
          <w:rFonts w:ascii="Arial" w:cs="Arial" w:eastAsia="Arial" w:hAnsi="Arial"/>
          <w:sz w:val="18"/>
          <w:szCs w:val="18"/>
          <w:color w:val="auto"/>
        </w:rPr>
        <w:t>The carrying amount of the Company's cash and cash equivalents, accounts receivable, accounts payable and long-term debt approximates fair value due to the short-term nature or market interest rates of these items. The Company bases the fair value of short-term investments on quoted market prices or other relevant information generated by market transactions involving identical or comparable assets. The Company measures and records derivative financial instruments at fair value. See Note 5 for further discussion of financial instruments that are carried at fair value on a recurring and nonrecurring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320" w:firstLine="389"/>
        <w:spacing w:after="0" w:line="255" w:lineRule="auto"/>
        <w:rPr>
          <w:sz w:val="20"/>
          <w:szCs w:val="20"/>
          <w:color w:val="auto"/>
        </w:rPr>
      </w:pPr>
      <w:r>
        <w:rPr>
          <w:rFonts w:ascii="Arial" w:cs="Arial" w:eastAsia="Arial" w:hAnsi="Arial"/>
          <w:sz w:val="18"/>
          <w:szCs w:val="18"/>
          <w:color w:val="auto"/>
        </w:rPr>
        <w:t>Accounts receivable, principally trade receivables, are generally due within 30 to 90 days and are stated at amounts due from customers, net of an allowance for estimated sales returns and doubtful accounts. The Company performs ongoing credit evaluations of customers and adjusts credit limits based upon payment history and the customer’s current creditworthiness, as determined by a review of their current credit information. The Company continuously monitors aging reports, collections and payments from customers, and a provision for estimated credit losses is maintained based upon historical experience and any specific customer collection issues that have been identified. While such credit losses have historically been within expectations</w:t>
      </w:r>
    </w:p>
    <w:p>
      <w:pPr>
        <w:sectPr>
          <w:pgSz w:w="11900" w:h="16838" w:orient="portrait"/>
          <w:cols w:equalWidth="0" w:num="1">
            <w:col w:w="11200"/>
          </w:cols>
          <w:pgMar w:left="320" w:top="10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type w:val="continuous"/>
        </w:sectPr>
      </w:pPr>
    </w:p>
    <w:bookmarkStart w:id="74" w:name="page75"/>
    <w:bookmarkEnd w:id="74"/>
    <w:p>
      <w:pPr>
        <w:ind w:right="360"/>
        <w:spacing w:after="0" w:line="277" w:lineRule="auto"/>
        <w:rPr>
          <w:sz w:val="20"/>
          <w:szCs w:val="20"/>
          <w:color w:val="auto"/>
        </w:rPr>
      </w:pPr>
      <w:r>
        <w:rPr>
          <w:rFonts w:ascii="Arial" w:cs="Arial" w:eastAsia="Arial" w:hAnsi="Arial"/>
          <w:sz w:val="18"/>
          <w:szCs w:val="18"/>
          <w:color w:val="auto"/>
        </w:rPr>
        <w:t>and the provisions established, the Company cannot guarantee that the same credit loss rates will be experienced in the future. The Company writes off accounts receivable when they are determined to be uncollectible.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right="760" w:firstLine="389"/>
        <w:spacing w:after="0" w:line="277" w:lineRule="auto"/>
        <w:rPr>
          <w:sz w:val="20"/>
          <w:szCs w:val="20"/>
          <w:color w:val="auto"/>
        </w:rPr>
      </w:pPr>
      <w:r>
        <w:rPr>
          <w:rFonts w:ascii="Arial" w:cs="Arial" w:eastAsia="Arial" w:hAnsi="Arial"/>
          <w:sz w:val="18"/>
          <w:szCs w:val="18"/>
          <w:color w:val="auto"/>
        </w:rPr>
        <w:t>Inventories are stated at the lower of cost (using the first-in, first-out method) or market. Appropriate consideration is given to deterioration, obsolescence, expiring and other factors in evaluating net realizable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ind w:right="420" w:firstLine="389"/>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Refer below for useful lives by category: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Estimated useful lives</w:t>
            </w:r>
          </w:p>
        </w:tc>
      </w:tr>
      <w:tr>
        <w:trPr>
          <w:trHeight w:val="27"/>
        </w:trPr>
        <w:tc>
          <w:tcPr>
            <w:tcW w:w="90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 and building improvements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39 years</w:t>
            </w:r>
          </w:p>
        </w:tc>
      </w:tr>
      <w:tr>
        <w:trPr>
          <w:trHeight w:val="270"/>
        </w:trPr>
        <w:tc>
          <w:tcPr>
            <w:tcW w:w="906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5 to 8 years</w:t>
            </w:r>
          </w:p>
        </w:tc>
      </w:tr>
      <w:tr>
        <w:trPr>
          <w:trHeight w:val="27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to 5 years</w:t>
            </w:r>
          </w:p>
        </w:tc>
      </w:tr>
    </w:tbl>
    <w:p>
      <w:pPr>
        <w:spacing w:after="0" w:line="148" w:lineRule="exact"/>
        <w:rPr>
          <w:sz w:val="20"/>
          <w:szCs w:val="20"/>
          <w:color w:val="auto"/>
        </w:rPr>
      </w:pPr>
    </w:p>
    <w:p>
      <w:pPr>
        <w:ind w:right="240" w:firstLine="389"/>
        <w:spacing w:after="0" w:line="263" w:lineRule="auto"/>
        <w:rPr>
          <w:sz w:val="20"/>
          <w:szCs w:val="20"/>
          <w:color w:val="auto"/>
        </w:rPr>
      </w:pPr>
      <w:r>
        <w:rPr>
          <w:rFonts w:ascii="Arial" w:cs="Arial" w:eastAsia="Arial" w:hAnsi="Arial"/>
          <w:sz w:val="18"/>
          <w:szCs w:val="18"/>
          <w:color w:val="auto"/>
        </w:rPr>
        <w:t>The Company evaluates property, plant and equipment for impairment periodically to determine if changes in circumstances or the occurrence of events suggest the carrying value of the asset or asset group may not be recoverable. Expenditures for repairs and maintenance are charged to expense as incurred. Renewals and betterments are capitalized.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ind w:right="60" w:firstLine="389"/>
        <w:spacing w:after="0" w:line="269" w:lineRule="auto"/>
        <w:rPr>
          <w:sz w:val="20"/>
          <w:szCs w:val="20"/>
          <w:color w:val="auto"/>
        </w:rPr>
      </w:pPr>
      <w:r>
        <w:rPr>
          <w:rFonts w:ascii="Arial" w:cs="Arial" w:eastAsia="Arial" w:hAnsi="Arial"/>
          <w:sz w:val="17"/>
          <w:szCs w:val="17"/>
          <w:color w:val="auto"/>
        </w:rPr>
        <w:t>Intangible assets other than goodwill, indefinite lived intangible assets and in process research and development ("IP R&amp;D") are amortized over their estimated useful lives, which range between two to eighteen years, on either a straight-line basis over the expected period of benefit or as revenues are earned from the sales of the related product. The Company periodically reviews the estimated useful lives of intangible assets and reviews such assets or asset groups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The Company operates as a single asset group.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131" w:lineRule="exact"/>
        <w:rPr>
          <w:sz w:val="20"/>
          <w:szCs w:val="20"/>
          <w:color w:val="auto"/>
        </w:rPr>
      </w:pPr>
    </w:p>
    <w:p>
      <w:pPr>
        <w:ind w:right="180" w:firstLine="389"/>
        <w:spacing w:after="0" w:line="259"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33" w:lineRule="exact"/>
        <w:rPr>
          <w:sz w:val="20"/>
          <w:szCs w:val="20"/>
          <w:color w:val="auto"/>
        </w:rPr>
      </w:pPr>
    </w:p>
    <w:p>
      <w:pPr>
        <w:ind w:right="20" w:firstLine="389"/>
        <w:spacing w:after="0" w:line="273" w:lineRule="auto"/>
        <w:rPr>
          <w:sz w:val="20"/>
          <w:szCs w:val="20"/>
          <w:color w:val="auto"/>
        </w:rPr>
      </w:pPr>
      <w:r>
        <w:rPr>
          <w:rFonts w:ascii="Arial" w:cs="Arial" w:eastAsia="Arial" w:hAnsi="Arial"/>
          <w:sz w:val="17"/>
          <w:szCs w:val="17"/>
          <w:color w:val="auto"/>
        </w:rPr>
        <w:t>For goodwill, the impairment test requires a comparison of the estimated fair value of the reporting unit to which the goodwill is assigned to the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The Company operates as a single operating segment with one reporting unit and consequently evaluates goodwill for impairment based on an evaluation of the fair value of the Company as a whole. If the carrying value of the reporting unit exceeds the fair value of the reporting unit, the carrying value is reduced to its fair value through an adjustment to the goodwill balance, resulting in an impairment charge.</w:t>
      </w:r>
    </w:p>
    <w:p>
      <w:pPr>
        <w:spacing w:after="0" w:line="124"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As detailed in Note 9, "Goodwill and Intangible Assets," the Company recorded a goodwill impairment loss of $158.6 million for the year ended May 31, 2020 as the fair value of the reporting unit was less than its carrying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ind w:right="240" w:firstLine="389"/>
        <w:spacing w:after="0" w:line="259" w:lineRule="auto"/>
        <w:rPr>
          <w:sz w:val="20"/>
          <w:szCs w:val="20"/>
          <w:color w:val="auto"/>
        </w:rPr>
      </w:pPr>
      <w:r>
        <w:rPr>
          <w:rFonts w:ascii="Arial" w:cs="Arial" w:eastAsia="Arial" w:hAnsi="Arial"/>
          <w:sz w:val="18"/>
          <w:szCs w:val="18"/>
          <w:color w:val="auto"/>
        </w:rPr>
        <w:t>The fair value of the liability for contingent consideration recorded on the acquisition date for a business combination is based on probability weighted estimated cash flow streams, discounted back to present value using a discount rate determined in accordance with accepted valuation methods and reflective of the risk associated with the estimated cash flow streams. The liability for contingent consideration is remeasured to fair value at each reporting period with changes recorded in earnings until the contingency is resolved.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40" w:firstLine="389"/>
        <w:spacing w:after="0" w:line="263" w:lineRule="auto"/>
        <w:rPr>
          <w:sz w:val="20"/>
          <w:szCs w:val="20"/>
          <w:color w:val="auto"/>
        </w:rPr>
      </w:pPr>
      <w:r>
        <w:rPr>
          <w:rFonts w:ascii="Arial" w:cs="Arial" w:eastAsia="Arial" w:hAnsi="Arial"/>
          <w:sz w:val="18"/>
          <w:szCs w:val="18"/>
          <w:color w:val="auto"/>
        </w:rPr>
        <w:t>The Company recognizes revenue when it transfers control of promised goods or services to its customers in an amount that reflects the consideration to which the Company expects to be entitled to in exchange for those goods and services. See Note 4, “Revenue from Contracts with Customers” for further discussion on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20" w:firstLine="389"/>
        <w:spacing w:after="0" w:line="263" w:lineRule="auto"/>
        <w:rPr>
          <w:sz w:val="20"/>
          <w:szCs w:val="20"/>
          <w:color w:val="auto"/>
        </w:rPr>
      </w:pPr>
      <w:r>
        <w:rPr>
          <w:rFonts w:ascii="Arial" w:cs="Arial" w:eastAsia="Arial" w:hAnsi="Arial"/>
          <w:sz w:val="18"/>
          <w:szCs w:val="18"/>
          <w:color w:val="auto"/>
        </w:rPr>
        <w:t>Research and development costs, including salaries, consulting fees, building costs, utilities and administrative expenses that are related to developing new products, enhancing existing products, validating new and enhanced products, managing clinical, regulatory and medical affairs are expensed as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0" w:firstLine="389"/>
        <w:spacing w:after="0" w:line="296" w:lineRule="auto"/>
        <w:rPr>
          <w:sz w:val="20"/>
          <w:szCs w:val="20"/>
          <w:color w:val="auto"/>
        </w:rPr>
      </w:pPr>
      <w:r>
        <w:rPr>
          <w:rFonts w:ascii="Arial" w:cs="Arial" w:eastAsia="Arial" w:hAnsi="Arial"/>
          <w:sz w:val="16"/>
          <w:szCs w:val="16"/>
          <w:color w:val="auto"/>
        </w:rPr>
        <w:t>The Company calculates income tax expense for each jurisdiction in which it operates. This involves estimating actual current taxes due plus assessing temporary differences arising from differing treatment for tax and accounting purposes that are recorded as deferred tax assets and liabilities. The Company periodically evaluates deferred tax assets, capital loss carryforwards and tax credit carryforwards to determine their recoverability based primarily on the Company's ability to generate future taxable income and capital gains. Where it is more-likely-than-not these will not be recovered, the Company estimates a valuation allowance and records a corresponding additional tax expense in the consolidated statement of operations.</w:t>
      </w:r>
    </w:p>
    <w:p>
      <w:pPr>
        <w:spacing w:after="0" w:line="107" w:lineRule="exact"/>
        <w:rPr>
          <w:sz w:val="20"/>
          <w:szCs w:val="20"/>
          <w:color w:val="auto"/>
        </w:rPr>
      </w:pPr>
    </w:p>
    <w:p>
      <w:pPr>
        <w:ind w:right="120" w:firstLine="389"/>
        <w:spacing w:after="0" w:line="257" w:lineRule="auto"/>
        <w:rPr>
          <w:sz w:val="20"/>
          <w:szCs w:val="20"/>
          <w:color w:val="auto"/>
        </w:rPr>
      </w:pPr>
      <w:r>
        <w:rPr>
          <w:rFonts w:ascii="Arial" w:cs="Arial" w:eastAsia="Arial" w:hAnsi="Arial"/>
          <w:sz w:val="18"/>
          <w:szCs w:val="18"/>
          <w:color w:val="auto"/>
        </w:rPr>
        <w:t>The Company recognizes and measures uncertain tax positions taken or expected to be taken in a tax return utilizing a two-step approach. The Company first determines if the weight of available evidence indicates that it is more likely than not that the tax position will be sustained on audit, including resolution of any related appeals or litigation processes. The second step is that the Company measures the tax benefit as the largest amount that is more likely than not to be realized upon ultimate settlement. The Company recognizes interest and penalties related to uncertain tax positions in the provision for income taxes on the 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71" w:lineRule="exact"/>
        <w:rPr>
          <w:sz w:val="20"/>
          <w:szCs w:val="20"/>
          <w:color w:val="auto"/>
        </w:rPr>
      </w:pPr>
    </w:p>
    <w:p>
      <w:pPr>
        <w:ind w:firstLine="389"/>
        <w:spacing w:after="0" w:line="272" w:lineRule="auto"/>
        <w:rPr>
          <w:sz w:val="20"/>
          <w:szCs w:val="20"/>
          <w:color w:val="auto"/>
        </w:rPr>
      </w:pPr>
      <w:r>
        <w:rPr>
          <w:rFonts w:ascii="Arial" w:cs="Arial" w:eastAsia="Arial" w:hAnsi="Arial"/>
          <w:sz w:val="17"/>
          <w:szCs w:val="17"/>
          <w:color w:val="auto"/>
        </w:rPr>
        <w:t>Stock-based compensation expense reflects the fair value of stock-based awards measured at the grant date and recognized over the relevant service period. The expense recognized includes the impact of forfeitures as they occur. The Company estimates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restricted stock units, a risk-free interest rate and dividend yield. The Company recognizes stock-based compensation expense related to options, restricted stock units and market based performance stock units on a straight-line basis over the service period of the award, which is generally 4 years for options and restricted stock units and 3 years for market based performance stock units.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ind w:right="20" w:firstLine="389"/>
        <w:spacing w:after="0" w:line="279" w:lineRule="auto"/>
        <w:rPr>
          <w:sz w:val="20"/>
          <w:szCs w:val="20"/>
          <w:color w:val="auto"/>
        </w:rPr>
      </w:pPr>
      <w:r>
        <w:rPr>
          <w:rFonts w:ascii="Arial" w:cs="Arial" w:eastAsia="Arial" w:hAnsi="Arial"/>
          <w:sz w:val="17"/>
          <w:szCs w:val="17"/>
          <w:color w:val="auto"/>
        </w:rPr>
        <w:t>The functional currency of the Company's foreign subsidiaries is the local currency in which the subsidiary operates. For foreign operations where the local currency is considered to be the functional currency, the Company translates assets and liabilities into U.S. dollars at the exchange rate on the balance sheet date. The Company translates income and expense items at average rates of exchange prevailing during each period. The Company accumulates translation adjustments in accumulated other comprehensive loss, a component of stockholders’ equity.</w:t>
      </w:r>
    </w:p>
    <w:p>
      <w:pPr>
        <w:spacing w:after="0" w:line="117" w:lineRule="exact"/>
        <w:rPr>
          <w:sz w:val="20"/>
          <w:szCs w:val="20"/>
          <w:color w:val="auto"/>
        </w:rPr>
      </w:pPr>
    </w:p>
    <w:p>
      <w:pPr>
        <w:ind w:right="20" w:firstLine="389"/>
        <w:spacing w:after="0" w:line="277" w:lineRule="auto"/>
        <w:rPr>
          <w:sz w:val="20"/>
          <w:szCs w:val="20"/>
          <w:color w:val="auto"/>
        </w:rPr>
      </w:pPr>
      <w:r>
        <w:rPr>
          <w:rFonts w:ascii="Arial" w:cs="Arial" w:eastAsia="Arial" w:hAnsi="Arial"/>
          <w:sz w:val="18"/>
          <w:szCs w:val="18"/>
          <w:color w:val="auto"/>
        </w:rPr>
        <w:t>Transaction gains or losses that arise from exchange rate fluctuations on transactions denominated in a currency other than the functional currency are included in other expense in the statements of operations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ind w:right="460" w:firstLine="389"/>
        <w:spacing w:after="0" w:line="277" w:lineRule="auto"/>
        <w:rPr>
          <w:sz w:val="20"/>
          <w:szCs w:val="20"/>
          <w:color w:val="auto"/>
        </w:rPr>
      </w:pPr>
      <w:r>
        <w:rPr>
          <w:rFonts w:ascii="Arial" w:cs="Arial" w:eastAsia="Arial" w:hAnsi="Arial"/>
          <w:sz w:val="18"/>
          <w:szCs w:val="18"/>
          <w:color w:val="auto"/>
        </w:rPr>
        <w:t>The Company is exposed to market risks, including changes in foreign currency and interest rates. The Company periodically enters into certain derivative financial instruments to hedge the underlying economic exposure.</w:t>
      </w:r>
    </w:p>
    <w:p>
      <w:pPr>
        <w:spacing w:after="0" w:line="116" w:lineRule="exact"/>
        <w:rPr>
          <w:sz w:val="20"/>
          <w:szCs w:val="20"/>
          <w:color w:val="auto"/>
        </w:rPr>
      </w:pPr>
    </w:p>
    <w:p>
      <w:pPr>
        <w:ind w:right="180" w:firstLine="389"/>
        <w:spacing w:after="0" w:line="296" w:lineRule="auto"/>
        <w:rPr>
          <w:sz w:val="20"/>
          <w:szCs w:val="20"/>
          <w:color w:val="auto"/>
        </w:rPr>
      </w:pPr>
      <w:r>
        <w:rPr>
          <w:rFonts w:ascii="Arial" w:cs="Arial" w:eastAsia="Arial" w:hAnsi="Arial"/>
          <w:sz w:val="16"/>
          <w:szCs w:val="16"/>
          <w:color w:val="auto"/>
        </w:rPr>
        <w:t>Derivative instruments are presented in the consolidated financial statements at their fair value. Changes in the fair value of derivative financial instruments are either recognized periodically in income or in stockholders’ equity as a component of accumulated other comprehensive income (loss) depending on whether the derivative financial instrument qualifies for hedge accounting and, if so, whether it qualifies as a fair value or cash flow hedge. Generally, the changes in the fair value of derivatives accounted for as fair value hedges are recorded in income along with the portions of the changes in the fair value of hedged items that relate to the hedged risks. Changes in the fair value of derivatives accounted for as cash flow hedges, to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76" w:name="page77"/>
    <w:bookmarkEnd w:id="76"/>
    <w:p>
      <w:pPr>
        <w:ind w:right="420"/>
        <w:spacing w:after="0" w:line="277" w:lineRule="auto"/>
        <w:rPr>
          <w:sz w:val="20"/>
          <w:szCs w:val="20"/>
          <w:color w:val="auto"/>
        </w:rPr>
      </w:pPr>
      <w:r>
        <w:rPr>
          <w:rFonts w:ascii="Arial" w:cs="Arial" w:eastAsia="Arial" w:hAnsi="Arial"/>
          <w:sz w:val="18"/>
          <w:szCs w:val="18"/>
          <w:color w:val="auto"/>
        </w:rPr>
        <w:t>extent they are effective as hedges, are recorded in accumulated other comprehensive income (loss). There were no derivative instruments held by the Company as of May 31, 2020 and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100" w:firstLine="389"/>
        <w:spacing w:after="0" w:line="257" w:lineRule="auto"/>
        <w:rPr>
          <w:sz w:val="20"/>
          <w:szCs w:val="20"/>
          <w:color w:val="auto"/>
        </w:rPr>
      </w:pPr>
      <w:r>
        <w:rPr>
          <w:rFonts w:ascii="Arial" w:cs="Arial" w:eastAsia="Arial" w:hAnsi="Arial"/>
          <w:sz w:val="18"/>
          <w:szCs w:val="18"/>
          <w:color w:val="auto"/>
        </w:rPr>
        <w:t>The Company is subject to various legal proceedings that arise in the ordinary course of business, including patent infringement and product liability matters. The Company records accruals for contingencies when it is probable the liability has been incurred and the amount can be reasonably estimated. Legal fees are expensed as incurred. Insurance recoveries related to potential claims are recognized up to the amount of the recorded liability when coverage is confirmed and the estimated recoveries are probable of payment. These recoveries are not netted against the related liabilities for financial statement presentation.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consolidated financial statements: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4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Standard</w:t>
            </w:r>
          </w:p>
        </w:tc>
        <w:tc>
          <w:tcPr>
            <w:tcW w:w="38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Adopted</w:t>
            </w:r>
          </w:p>
        </w:tc>
        <w:tc>
          <w:tcPr>
            <w:tcW w:w="3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189"/>
        </w:trPr>
        <w:tc>
          <w:tcPr>
            <w:tcW w:w="24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w:t>
            </w:r>
          </w:p>
        </w:tc>
        <w:tc>
          <w:tcPr>
            <w:tcW w:w="38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w w:val="91"/>
              </w:rPr>
              <w:t>This ASU increases transparency and comparability</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June 1, 2019</w:t>
            </w:r>
          </w:p>
        </w:tc>
        <w:tc>
          <w:tcPr>
            <w:tcW w:w="3700" w:type="dxa"/>
            <w:vAlign w:val="bottom"/>
          </w:tcPr>
          <w:p>
            <w:pPr>
              <w:spacing w:after="0" w:line="189" w:lineRule="exact"/>
              <w:rPr>
                <w:sz w:val="20"/>
                <w:szCs w:val="20"/>
                <w:color w:val="auto"/>
              </w:rPr>
            </w:pPr>
            <w:r>
              <w:rPr>
                <w:rFonts w:ascii="Arial" w:cs="Arial" w:eastAsia="Arial" w:hAnsi="Arial"/>
                <w:sz w:val="18"/>
                <w:szCs w:val="18"/>
                <w:color w:val="auto"/>
              </w:rPr>
              <w:t>Refer to Note 16, Leases, for the required</w:t>
            </w:r>
          </w:p>
        </w:tc>
        <w:tc>
          <w:tcPr>
            <w:tcW w:w="0" w:type="dxa"/>
            <w:vAlign w:val="bottom"/>
          </w:tcPr>
          <w:p>
            <w:pPr>
              <w:spacing w:after="0"/>
              <w:rPr>
                <w:sz w:val="1"/>
                <w:szCs w:val="1"/>
                <w:color w:val="auto"/>
              </w:rPr>
            </w:pPr>
          </w:p>
        </w:tc>
      </w:tr>
      <w:tr>
        <w:trPr>
          <w:trHeight w:val="256"/>
        </w:trPr>
        <w:tc>
          <w:tcPr>
            <w:tcW w:w="24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842)</w:t>
            </w: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among organizations by recognizing lease assets</w:t>
            </w:r>
          </w:p>
        </w:tc>
        <w:tc>
          <w:tcPr>
            <w:tcW w:w="1220" w:type="dxa"/>
            <w:vAlign w:val="bottom"/>
            <w:tcBorders>
              <w:right w:val="single" w:sz="8" w:color="auto"/>
            </w:tcBorders>
          </w:tcPr>
          <w:p>
            <w:pPr>
              <w:spacing w:after="0"/>
              <w:rPr>
                <w:sz w:val="22"/>
                <w:szCs w:val="22"/>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disclosures related to adopting this standard.</w:t>
            </w: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and liabilities on the balance sheet and disclosing</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key information about leasing arrangements. For</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leases with a term of twelve months or less, a lessee</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is permitted to make an accounting policy election</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by class of underlying asset not to recognize lease</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assets and liabilities.</w:t>
            </w:r>
          </w:p>
        </w:tc>
        <w:tc>
          <w:tcPr>
            <w:tcW w:w="122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6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Recently Issued Accounting Pronouncements - Not Yet Applicable or Adopted</w:t>
            </w:r>
          </w:p>
        </w:tc>
        <w:tc>
          <w:tcPr>
            <w:tcW w:w="1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Standard</w:t>
            </w:r>
          </w:p>
        </w:tc>
        <w:tc>
          <w:tcPr>
            <w:tcW w:w="382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37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188"/>
        </w:trPr>
        <w:tc>
          <w:tcPr>
            <w:tcW w:w="24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Fair Value</w:t>
            </w:r>
          </w:p>
        </w:tc>
        <w:tc>
          <w:tcPr>
            <w:tcW w:w="38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This ASU removes, modifies and adds various</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June 1, 2020</w:t>
            </w:r>
          </w:p>
        </w:tc>
        <w:tc>
          <w:tcPr>
            <w:tcW w:w="3700" w:type="dxa"/>
            <w:vAlign w:val="bottom"/>
          </w:tcPr>
          <w:p>
            <w:pPr>
              <w:spacing w:after="0" w:line="189" w:lineRule="exact"/>
              <w:rPr>
                <w:sz w:val="20"/>
                <w:szCs w:val="20"/>
                <w:color w:val="auto"/>
              </w:rPr>
            </w:pPr>
            <w:r>
              <w:rPr>
                <w:rFonts w:ascii="Arial" w:cs="Arial" w:eastAsia="Arial" w:hAnsi="Arial"/>
                <w:sz w:val="18"/>
                <w:szCs w:val="18"/>
                <w:color w:val="auto"/>
                <w:w w:val="93"/>
              </w:rPr>
              <w:t>The Company plans to adopt the new standard in</w:t>
            </w:r>
          </w:p>
        </w:tc>
        <w:tc>
          <w:tcPr>
            <w:tcW w:w="0" w:type="dxa"/>
            <w:vAlign w:val="bottom"/>
          </w:tcPr>
          <w:p>
            <w:pPr>
              <w:spacing w:after="0"/>
              <w:rPr>
                <w:sz w:val="1"/>
                <w:szCs w:val="1"/>
                <w:color w:val="auto"/>
              </w:rPr>
            </w:pPr>
          </w:p>
        </w:tc>
      </w:tr>
      <w:tr>
        <w:trPr>
          <w:trHeight w:val="256"/>
        </w:trPr>
        <w:tc>
          <w:tcPr>
            <w:tcW w:w="24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Measurement (Topic 820)</w:t>
            </w: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disclosure requirements related to fair value</w:t>
            </w:r>
          </w:p>
        </w:tc>
        <w:tc>
          <w:tcPr>
            <w:tcW w:w="1220" w:type="dxa"/>
            <w:vAlign w:val="bottom"/>
            <w:tcBorders>
              <w:right w:val="single" w:sz="8" w:color="auto"/>
            </w:tcBorders>
          </w:tcPr>
          <w:p>
            <w:pPr>
              <w:spacing w:after="0"/>
              <w:rPr>
                <w:sz w:val="22"/>
                <w:szCs w:val="22"/>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the first quarter of fiscal year 2021 and does not</w:t>
            </w: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disclosures. Disclosures related to transfers between</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expect there to be a material impact to the</w:t>
            </w: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fair value hierarchy levels will be removed and</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further detail around changes in unrealized gains</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and losses for the period and unobservable inputs</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used in determining level 3 fair value measurements</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will be added, among other changes.</w:t>
            </w:r>
          </w:p>
        </w:tc>
        <w:tc>
          <w:tcPr>
            <w:tcW w:w="122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w:t>
            </w:r>
          </w:p>
        </w:tc>
        <w:tc>
          <w:tcPr>
            <w:tcW w:w="38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This ASU replaces the current incurred loss</w:t>
            </w:r>
          </w:p>
        </w:tc>
        <w:tc>
          <w:tcPr>
            <w:tcW w:w="12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June 1, 2020</w:t>
            </w:r>
          </w:p>
        </w:tc>
        <w:tc>
          <w:tcPr>
            <w:tcW w:w="3700" w:type="dxa"/>
            <w:vAlign w:val="bottom"/>
          </w:tcPr>
          <w:p>
            <w:pPr>
              <w:spacing w:after="0" w:line="182" w:lineRule="exact"/>
              <w:rPr>
                <w:sz w:val="20"/>
                <w:szCs w:val="20"/>
                <w:color w:val="auto"/>
              </w:rPr>
            </w:pPr>
            <w:r>
              <w:rPr>
                <w:rFonts w:ascii="Arial" w:cs="Arial" w:eastAsia="Arial" w:hAnsi="Arial"/>
                <w:sz w:val="18"/>
                <w:szCs w:val="18"/>
                <w:color w:val="auto"/>
                <w:w w:val="93"/>
              </w:rPr>
              <w:t>The Company plans to adopt the new standard in</w:t>
            </w: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Instruments - Credit</w:t>
            </w: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impairment methodology for financial assets</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the first quarter of fiscal year 2021 and does not</w:t>
            </w:r>
          </w:p>
        </w:tc>
        <w:tc>
          <w:tcPr>
            <w:tcW w:w="0" w:type="dxa"/>
            <w:vAlign w:val="bottom"/>
          </w:tcPr>
          <w:p>
            <w:pPr>
              <w:spacing w:after="0"/>
              <w:rPr>
                <w:sz w:val="1"/>
                <w:szCs w:val="1"/>
                <w:color w:val="auto"/>
              </w:rPr>
            </w:pPr>
          </w:p>
        </w:tc>
      </w:tr>
      <w:tr>
        <w:trPr>
          <w:trHeight w:val="121"/>
        </w:trPr>
        <w:tc>
          <w:tcPr>
            <w:tcW w:w="24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i w:val="1"/>
                <w:iCs w:val="1"/>
                <w:color w:val="auto"/>
              </w:rPr>
              <w:t>Losses (Topic 326):</w:t>
            </w:r>
          </w:p>
        </w:tc>
        <w:tc>
          <w:tcPr>
            <w:tcW w:w="3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0"/>
              </w:rPr>
              <w:t>measured at amortized cost with a methodology that</w:t>
            </w:r>
          </w:p>
        </w:tc>
        <w:tc>
          <w:tcPr>
            <w:tcW w:w="1220" w:type="dxa"/>
            <w:vAlign w:val="bottom"/>
            <w:tcBorders>
              <w:right w:val="single" w:sz="8" w:color="auto"/>
            </w:tcBorders>
          </w:tcPr>
          <w:p>
            <w:pPr>
              <w:spacing w:after="0"/>
              <w:rPr>
                <w:sz w:val="10"/>
                <w:szCs w:val="10"/>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expect there to be a material impact to the</w:t>
            </w:r>
          </w:p>
        </w:tc>
        <w:tc>
          <w:tcPr>
            <w:tcW w:w="0" w:type="dxa"/>
            <w:vAlign w:val="bottom"/>
          </w:tcPr>
          <w:p>
            <w:pPr>
              <w:spacing w:after="0"/>
              <w:rPr>
                <w:sz w:val="1"/>
                <w:szCs w:val="1"/>
                <w:color w:val="auto"/>
              </w:rPr>
            </w:pPr>
          </w:p>
        </w:tc>
      </w:tr>
      <w:tr>
        <w:trPr>
          <w:trHeight w:val="134"/>
        </w:trPr>
        <w:tc>
          <w:tcPr>
            <w:tcW w:w="244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i w:val="1"/>
                <w:iCs w:val="1"/>
                <w:color w:val="auto"/>
                <w:w w:val="97"/>
              </w:rPr>
              <w:t>Measurement of Credit Losses</w:t>
            </w:r>
          </w:p>
        </w:tc>
        <w:tc>
          <w:tcPr>
            <w:tcW w:w="382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3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440" w:type="dxa"/>
            <w:vAlign w:val="bottom"/>
            <w:tcBorders>
              <w:right w:val="single" w:sz="8" w:color="auto"/>
            </w:tcBorders>
            <w:vMerge w:val="continue"/>
          </w:tcPr>
          <w:p>
            <w:pPr>
              <w:spacing w:after="0"/>
              <w:rPr>
                <w:sz w:val="3"/>
                <w:szCs w:val="3"/>
                <w:color w:val="auto"/>
              </w:rPr>
            </w:pPr>
          </w:p>
        </w:tc>
        <w:tc>
          <w:tcPr>
            <w:tcW w:w="3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reflects expected credit losses and requires</w:t>
            </w:r>
          </w:p>
        </w:tc>
        <w:tc>
          <w:tcPr>
            <w:tcW w:w="1220" w:type="dxa"/>
            <w:vAlign w:val="bottom"/>
            <w:tcBorders>
              <w:right w:val="single" w:sz="8" w:color="auto"/>
            </w:tcBorders>
          </w:tcPr>
          <w:p>
            <w:pPr>
              <w:spacing w:after="0"/>
              <w:rPr>
                <w:sz w:val="3"/>
                <w:szCs w:val="3"/>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176"/>
        </w:trPr>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rPr>
              <w:t>on Financial Instruments</w:t>
            </w:r>
          </w:p>
        </w:tc>
        <w:tc>
          <w:tcPr>
            <w:tcW w:w="3820" w:type="dxa"/>
            <w:vAlign w:val="bottom"/>
            <w:tcBorders>
              <w:right w:val="single" w:sz="8" w:color="auto"/>
            </w:tcBorders>
            <w:vMerge w:val="continue"/>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3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consideration of a broader range of reasonable and</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supportable information, including forecasted</w:t>
            </w:r>
          </w:p>
        </w:tc>
        <w:tc>
          <w:tcPr>
            <w:tcW w:w="122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information, to develop credit loss estimates.</w:t>
            </w:r>
          </w:p>
        </w:tc>
        <w:tc>
          <w:tcPr>
            <w:tcW w:w="122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2.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C3 Wave Tip Location Acquisition</w:t>
      </w:r>
    </w:p>
    <w:p>
      <w:pPr>
        <w:spacing w:after="0" w:line="171" w:lineRule="exact"/>
        <w:rPr>
          <w:sz w:val="20"/>
          <w:szCs w:val="20"/>
          <w:color w:val="auto"/>
        </w:rPr>
      </w:pPr>
    </w:p>
    <w:p>
      <w:pPr>
        <w:ind w:right="140" w:firstLine="389"/>
        <w:spacing w:after="0" w:line="273" w:lineRule="auto"/>
        <w:rPr>
          <w:sz w:val="20"/>
          <w:szCs w:val="20"/>
          <w:color w:val="auto"/>
        </w:rPr>
      </w:pPr>
      <w:r>
        <w:rPr>
          <w:rFonts w:ascii="Arial" w:cs="Arial" w:eastAsia="Arial" w:hAnsi="Arial"/>
          <w:sz w:val="17"/>
          <w:szCs w:val="17"/>
          <w:color w:val="auto"/>
        </w:rPr>
        <w:t>On December 17, 2019, the Company acquired the C3 Wave tip location asset from Medical Components Inc. for an aggregate purchase price of $10.0 million with $5.0 million of potential future contingent consideration related to technical milestones. This acquisition fills a gap in the Vascular Access portfolio and supports the Company's strategic plan. The Company accounted for this acquisition as an asset purchase. The Company recorded the amount paid at closing as inventory of $0.6 million and intangible assets of a trademark of $0.9 million and product technology of $8.5 million. The intangible assets will be amortized over 15 years. The contingent consideration is comprised of technical milestones and will be accounted for when the contingency is resolved or becomes probable and reasonably estimable.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Eximo Acquisition</w:t>
      </w:r>
    </w:p>
    <w:p>
      <w:pPr>
        <w:spacing w:after="0" w:line="171" w:lineRule="exact"/>
        <w:rPr>
          <w:sz w:val="20"/>
          <w:szCs w:val="20"/>
          <w:color w:val="auto"/>
        </w:rPr>
      </w:pPr>
    </w:p>
    <w:p>
      <w:pPr>
        <w:ind w:right="240" w:firstLine="389"/>
        <w:spacing w:after="0" w:line="301" w:lineRule="auto"/>
        <w:rPr>
          <w:sz w:val="20"/>
          <w:szCs w:val="20"/>
          <w:color w:val="auto"/>
        </w:rPr>
      </w:pPr>
      <w:r>
        <w:rPr>
          <w:rFonts w:ascii="Arial" w:cs="Arial" w:eastAsia="Arial" w:hAnsi="Arial"/>
          <w:sz w:val="16"/>
          <w:szCs w:val="16"/>
          <w:color w:val="auto"/>
        </w:rPr>
        <w:t>On October 2, 2019, the Company entered into a share purchase agreement to acquire Eximo Medical, Ltd., a pre-commercial stage medical device company and its proprietary 355nm laser atherectomy technology. The aggregate purchase price of $60.7 million included an upfront payment of $45.8 million and contingent consideration with an estimated fair value of $14.9 million. This acquisition expands and complements the Company’s Vascular Interventions and Therapies product portfolio by adding the 355nm laser atherectomy technology which treats Peripheral Artery Disease.</w:t>
      </w:r>
    </w:p>
    <w:p>
      <w:pPr>
        <w:spacing w:after="0" w:line="103" w:lineRule="exact"/>
        <w:rPr>
          <w:sz w:val="20"/>
          <w:szCs w:val="20"/>
          <w:color w:val="auto"/>
        </w:rPr>
      </w:pPr>
    </w:p>
    <w:p>
      <w:pPr>
        <w:ind w:right="120" w:firstLine="389"/>
        <w:spacing w:after="0" w:line="311" w:lineRule="auto"/>
        <w:rPr>
          <w:sz w:val="20"/>
          <w:szCs w:val="20"/>
          <w:color w:val="auto"/>
        </w:rPr>
      </w:pPr>
      <w:r>
        <w:rPr>
          <w:rFonts w:ascii="Arial" w:cs="Arial" w:eastAsia="Arial" w:hAnsi="Arial"/>
          <w:sz w:val="16"/>
          <w:szCs w:val="16"/>
          <w:color w:val="auto"/>
        </w:rPr>
        <w:t>The Company accounted for the Eximo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non-deductible for income tax purposes.</w:t>
      </w:r>
    </w:p>
    <w:p>
      <w:pPr>
        <w:spacing w:after="0" w:line="95" w:lineRule="exact"/>
        <w:rPr>
          <w:sz w:val="20"/>
          <w:szCs w:val="20"/>
          <w:color w:val="auto"/>
        </w:rPr>
      </w:pPr>
    </w:p>
    <w:p>
      <w:pPr>
        <w:ind w:right="40" w:firstLine="389"/>
        <w:spacing w:after="0" w:line="301" w:lineRule="auto"/>
        <w:rPr>
          <w:sz w:val="20"/>
          <w:szCs w:val="20"/>
          <w:color w:val="auto"/>
        </w:rPr>
      </w:pPr>
      <w:r>
        <w:rPr>
          <w:rFonts w:ascii="Arial" w:cs="Arial" w:eastAsia="Arial" w:hAnsi="Arial"/>
          <w:sz w:val="16"/>
          <w:szCs w:val="16"/>
          <w:color w:val="auto"/>
        </w:rPr>
        <w:t>The Company has not disclosed the amount of revenue and earnings for sales of Eximo products since acquisition, nor proforma information, because these amounts are not significant to the Company's financial statements. Acquisition-related costs associated with the Eximo acquisition, which are included in "acquisition, restructuring and other items, net" in the accompanying Consolidated Statements of Operations, were approximately $0.6 million in fiscal year 2020. The following table summarizes the preliminary and final aggregate purchase price allocated to the net assets acquired: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Preliminary allocation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11"/>
                <w:szCs w:val="11"/>
                <w:color w:val="auto"/>
              </w:rPr>
              <w:t>(1)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Final allocation</w:t>
            </w: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150</w:t>
            </w:r>
          </w:p>
        </w:tc>
      </w:tr>
      <w:tr>
        <w:trPr>
          <w:trHeight w:val="27"/>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Long-term deposits</w:t>
            </w:r>
          </w:p>
        </w:tc>
        <w:tc>
          <w:tcPr>
            <w:tcW w:w="16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51</w:t>
            </w:r>
          </w:p>
        </w:tc>
      </w:tr>
      <w:tr>
        <w:trPr>
          <w:trHeight w:val="27"/>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Product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60,300</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12,428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11,427</w:t>
            </w:r>
          </w:p>
        </w:tc>
      </w:tr>
      <w:tr>
        <w:trPr>
          <w:trHeight w:val="27"/>
        </w:trPr>
        <w:tc>
          <w:tcPr>
            <w:tcW w:w="5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72,429</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615</w:t>
            </w:r>
          </w:p>
        </w:tc>
      </w:tr>
      <w:tr>
        <w:trPr>
          <w:trHeight w:val="27"/>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11,070</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11,470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11,769</w:t>
            </w:r>
          </w:p>
        </w:tc>
      </w:tr>
      <w:tr>
        <w:trPr>
          <w:trHeight w:val="27"/>
        </w:trPr>
        <w:tc>
          <w:tcPr>
            <w:tcW w:w="5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60,660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60,660</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40" w:hanging="232"/>
        <w:spacing w:after="0"/>
        <w:tabs>
          <w:tab w:leader="none" w:pos="2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Measurement period adjustments are recognized on a prospective basis in the period of change, instead of restating prior periods. There was no impact to reported</w:t>
      </w:r>
    </w:p>
    <w:p>
      <w:pPr>
        <w:spacing w:after="0" w:line="30" w:lineRule="exact"/>
        <w:rPr>
          <w:rFonts w:ascii="Arial" w:cs="Arial" w:eastAsia="Arial" w:hAnsi="Arial"/>
          <w:sz w:val="15"/>
          <w:szCs w:val="15"/>
          <w:color w:val="auto"/>
        </w:rPr>
      </w:pPr>
    </w:p>
    <w:p>
      <w:pPr>
        <w:ind w:right="120"/>
        <w:spacing w:after="0" w:line="251" w:lineRule="auto"/>
        <w:rPr>
          <w:rFonts w:ascii="Arial" w:cs="Arial" w:eastAsia="Arial" w:hAnsi="Arial"/>
          <w:sz w:val="15"/>
          <w:szCs w:val="15"/>
          <w:color w:val="auto"/>
        </w:rPr>
      </w:pPr>
      <w:r>
        <w:rPr>
          <w:rFonts w:ascii="Arial" w:cs="Arial" w:eastAsia="Arial" w:hAnsi="Arial"/>
          <w:sz w:val="16"/>
          <w:szCs w:val="16"/>
          <w:color w:val="auto"/>
        </w:rPr>
        <w:t>earnings in connection with these measurement period adjustments for the periods presented. Amounts represent adjustments to the preliminary purchase price allocation first presented in the Company's Quarterly Report on Form 10-Q for the quarter ended November 30, 2019 resulting from revising the Company's purchase price allocation for this acquisition.</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 finalized the allocation of the purchase price to the assets acquired and liabilities assumed in the fourth quarter of fiscal year 2020.</w:t>
      </w:r>
    </w:p>
    <w:p>
      <w:pPr>
        <w:spacing w:after="0" w:line="194" w:lineRule="exact"/>
        <w:rPr>
          <w:sz w:val="20"/>
          <w:szCs w:val="20"/>
          <w:color w:val="auto"/>
        </w:rPr>
      </w:pPr>
    </w:p>
    <w:p>
      <w:pPr>
        <w:ind w:right="160" w:firstLine="389"/>
        <w:spacing w:after="0" w:line="277" w:lineRule="auto"/>
        <w:rPr>
          <w:sz w:val="20"/>
          <w:szCs w:val="20"/>
          <w:color w:val="auto"/>
        </w:rPr>
      </w:pPr>
      <w:r>
        <w:rPr>
          <w:rFonts w:ascii="Arial" w:cs="Arial" w:eastAsia="Arial" w:hAnsi="Arial"/>
          <w:sz w:val="18"/>
          <w:szCs w:val="18"/>
          <w:color w:val="auto"/>
        </w:rPr>
        <w:t>The value assigned to the product technology was derived using the multi-period excess earnings method under the income approach. This approach estimates the excess earnings generated over the lives of the customers that existed as of the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8" w:name="page79"/>
    <w:bookmarkEnd w:id="78"/>
    <w:p>
      <w:pPr>
        <w:ind w:right="60"/>
        <w:spacing w:after="0" w:line="277" w:lineRule="auto"/>
        <w:rPr>
          <w:sz w:val="20"/>
          <w:szCs w:val="20"/>
          <w:color w:val="auto"/>
        </w:rPr>
      </w:pPr>
      <w:r>
        <w:rPr>
          <w:rFonts w:ascii="Arial" w:cs="Arial" w:eastAsia="Arial" w:hAnsi="Arial"/>
          <w:sz w:val="18"/>
          <w:szCs w:val="18"/>
          <w:color w:val="auto"/>
        </w:rPr>
        <w:t>acquisition date and discounts such earnings to present value. The product technology is deemed to have a useful life of fifteen years and will be amortized on a straight-line basis over the useful life.</w:t>
      </w:r>
    </w:p>
    <w:p>
      <w:pPr>
        <w:spacing w:after="0" w:line="116" w:lineRule="exact"/>
        <w:rPr>
          <w:sz w:val="20"/>
          <w:szCs w:val="20"/>
          <w:color w:val="auto"/>
        </w:rPr>
      </w:pPr>
    </w:p>
    <w:p>
      <w:pPr>
        <w:ind w:right="340" w:firstLine="389"/>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RadiaDyne Acquisition</w:t>
      </w:r>
    </w:p>
    <w:p>
      <w:pPr>
        <w:spacing w:after="0" w:line="171" w:lineRule="exact"/>
        <w:rPr>
          <w:sz w:val="20"/>
          <w:szCs w:val="20"/>
          <w:color w:val="auto"/>
        </w:rPr>
      </w:pPr>
    </w:p>
    <w:p>
      <w:pPr>
        <w:ind w:firstLine="389"/>
        <w:spacing w:after="0" w:line="273" w:lineRule="auto"/>
        <w:rPr>
          <w:sz w:val="20"/>
          <w:szCs w:val="20"/>
          <w:color w:val="auto"/>
        </w:rPr>
      </w:pPr>
      <w:r>
        <w:rPr>
          <w:rFonts w:ascii="Arial" w:cs="Arial" w:eastAsia="Arial" w:hAnsi="Arial"/>
          <w:sz w:val="17"/>
          <w:szCs w:val="17"/>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The fair value of contingent consideration of $22.3 million is comprised of $16.5 million for the revenue milestones and $5.8 million for the technical milestones. The indemnification holdback is recorded in accrued liabilities at May 31, 2020 and the purchase price holdback was initially recorded in accrued liabilities, but was paid during the third quarter of fiscal year 2019.</w:t>
      </w:r>
    </w:p>
    <w:p>
      <w:pPr>
        <w:spacing w:after="0" w:line="124" w:lineRule="exact"/>
        <w:rPr>
          <w:sz w:val="20"/>
          <w:szCs w:val="20"/>
          <w:color w:val="auto"/>
        </w:rPr>
      </w:pPr>
    </w:p>
    <w:p>
      <w:pPr>
        <w:ind w:right="40" w:firstLine="389"/>
        <w:spacing w:after="0" w:line="342" w:lineRule="auto"/>
        <w:rPr>
          <w:sz w:val="20"/>
          <w:szCs w:val="20"/>
          <w:color w:val="auto"/>
        </w:rPr>
      </w:pPr>
      <w:r>
        <w:rPr>
          <w:rFonts w:ascii="Arial" w:cs="Arial" w:eastAsia="Arial" w:hAnsi="Arial"/>
          <w:sz w:val="16"/>
          <w:szCs w:val="16"/>
          <w:color w:val="auto"/>
        </w:rPr>
        <w:t>This acquisition expands the Company’s growing Oncology business by adding RadiaDyne’s early-stage, proprietary OARtrac® real-time radiation dose monitoring platform and other market-leading oncology solutions, including the IsoLoc®/ImmobiLoc® and Alatus® balloon stabilizing technologies.</w:t>
      </w:r>
    </w:p>
    <w:p>
      <w:pPr>
        <w:spacing w:after="0" w:line="70" w:lineRule="exact"/>
        <w:rPr>
          <w:sz w:val="20"/>
          <w:szCs w:val="20"/>
          <w:color w:val="auto"/>
        </w:rPr>
      </w:pPr>
    </w:p>
    <w:p>
      <w:pPr>
        <w:ind w:right="120" w:firstLine="389"/>
        <w:spacing w:after="0" w:line="286" w:lineRule="auto"/>
        <w:rPr>
          <w:sz w:val="20"/>
          <w:szCs w:val="20"/>
          <w:color w:val="auto"/>
        </w:rPr>
      </w:pPr>
      <w:r>
        <w:rPr>
          <w:rFonts w:ascii="Arial" w:cs="Arial" w:eastAsia="Arial" w:hAnsi="Arial"/>
          <w:sz w:val="17"/>
          <w:szCs w:val="17"/>
          <w:color w:val="auto"/>
        </w:rPr>
        <w:t>The Company accounted for the RadiaDyne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111" w:lineRule="exact"/>
        <w:rPr>
          <w:sz w:val="20"/>
          <w:szCs w:val="20"/>
          <w:color w:val="auto"/>
        </w:rPr>
      </w:pPr>
    </w:p>
    <w:p>
      <w:pPr>
        <w:ind w:right="320" w:firstLine="389"/>
        <w:spacing w:after="0" w:line="257" w:lineRule="auto"/>
        <w:rPr>
          <w:sz w:val="20"/>
          <w:szCs w:val="20"/>
          <w:color w:val="auto"/>
        </w:rPr>
      </w:pPr>
      <w:r>
        <w:rPr>
          <w:rFonts w:ascii="Arial" w:cs="Arial" w:eastAsia="Arial" w:hAnsi="Arial"/>
          <w:sz w:val="18"/>
          <w:szCs w:val="18"/>
          <w:color w:val="auto"/>
        </w:rPr>
        <w:t>The Company has not disclosed the amount of revenue and earnings for sales of RadiaDyne products since acquisition, nor proforma information, because these amounts are not significant to the Company's financial statements. Acquisition-related costs associated with the RadiaDyne acquisition, which are included in "acquisition, restructuring and other items, net" in the accompanying Consolidated Statements of Operations, were approximately $1.6 million in fiscal year 2019. The following table summarizes the preliminary and final aggregate purchase price allocated to the net assets acquired: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Final allocation</w:t>
            </w: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900</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732</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133</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220"/>
              <w:spacing w:after="0"/>
              <w:rPr>
                <w:sz w:val="20"/>
                <w:szCs w:val="20"/>
                <w:color w:val="auto"/>
              </w:rPr>
            </w:pPr>
            <w:r>
              <w:rPr>
                <w:rFonts w:ascii="Arial" w:cs="Arial" w:eastAsia="Arial" w:hAnsi="Arial"/>
                <w:sz w:val="18"/>
                <w:szCs w:val="18"/>
                <w:color w:val="auto"/>
              </w:rPr>
              <w:t>RadiaDyne trademark</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400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OARtrac trademark</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w:t>
            </w:r>
          </w:p>
        </w:tc>
      </w:tr>
      <w:tr>
        <w:trPr>
          <w:trHeight w:val="243"/>
        </w:trPr>
        <w:tc>
          <w:tcPr>
            <w:tcW w:w="9480" w:type="dxa"/>
            <w:vAlign w:val="bottom"/>
          </w:tcPr>
          <w:p>
            <w:pPr>
              <w:ind w:left="220"/>
              <w:spacing w:after="0"/>
              <w:rPr>
                <w:sz w:val="20"/>
                <w:szCs w:val="20"/>
                <w:color w:val="auto"/>
              </w:rPr>
            </w:pPr>
            <w:r>
              <w:rPr>
                <w:rFonts w:ascii="Arial" w:cs="Arial" w:eastAsia="Arial" w:hAnsi="Arial"/>
                <w:sz w:val="18"/>
                <w:szCs w:val="18"/>
                <w:color w:val="auto"/>
              </w:rPr>
              <w:t>RadiaDyne legacy product technology</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1,500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OARtrac product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18,900</w:t>
            </w:r>
          </w:p>
        </w:tc>
      </w:tr>
      <w:tr>
        <w:trPr>
          <w:trHeight w:val="243"/>
        </w:trPr>
        <w:tc>
          <w:tcPr>
            <w:tcW w:w="9480" w:type="dxa"/>
            <w:vAlign w:val="bottom"/>
          </w:tcPr>
          <w:p>
            <w:pPr>
              <w:ind w:left="220"/>
              <w:spacing w:after="0"/>
              <w:rPr>
                <w:sz w:val="20"/>
                <w:szCs w:val="20"/>
                <w:color w:val="auto"/>
              </w:rPr>
            </w:pPr>
            <w:r>
              <w:rPr>
                <w:rFonts w:ascii="Arial" w:cs="Arial" w:eastAsia="Arial" w:hAnsi="Arial"/>
                <w:sz w:val="18"/>
                <w:szCs w:val="18"/>
                <w:color w:val="auto"/>
              </w:rPr>
              <w:t>RadiaDyne customer relationships</w:t>
            </w:r>
          </w:p>
        </w:tc>
        <w:tc>
          <w:tcPr>
            <w:tcW w:w="2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4,600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47,982</w:t>
            </w:r>
          </w:p>
        </w:tc>
      </w:tr>
      <w:tr>
        <w:trPr>
          <w:trHeight w:val="237"/>
        </w:trPr>
        <w:tc>
          <w:tcPr>
            <w:tcW w:w="948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75,445</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352</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w:t>
            </w:r>
          </w:p>
        </w:tc>
      </w:tr>
      <w:tr>
        <w:trPr>
          <w:trHeight w:val="237"/>
        </w:trPr>
        <w:tc>
          <w:tcPr>
            <w:tcW w:w="948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458</w:t>
            </w:r>
          </w:p>
        </w:tc>
      </w:tr>
      <w:tr>
        <w:trPr>
          <w:trHeight w:val="27"/>
        </w:trPr>
        <w:tc>
          <w:tcPr>
            <w:tcW w:w="9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74,987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 finalized the allocation of the purchase price to the assets acquired and liabilities assumed in the fourth quarter of fiscal year 2019.</w:t>
      </w:r>
    </w:p>
    <w:p>
      <w:pPr>
        <w:spacing w:after="0" w:line="194" w:lineRule="exact"/>
        <w:rPr>
          <w:sz w:val="20"/>
          <w:szCs w:val="20"/>
          <w:color w:val="auto"/>
        </w:rPr>
      </w:pPr>
    </w:p>
    <w:p>
      <w:pPr>
        <w:ind w:right="180" w:firstLine="389"/>
        <w:spacing w:after="0" w:line="259" w:lineRule="auto"/>
        <w:rPr>
          <w:sz w:val="20"/>
          <w:szCs w:val="20"/>
          <w:color w:val="auto"/>
        </w:rPr>
      </w:pPr>
      <w:r>
        <w:rPr>
          <w:rFonts w:ascii="Arial" w:cs="Arial" w:eastAsia="Arial" w:hAnsi="Arial"/>
          <w:sz w:val="18"/>
          <w:szCs w:val="18"/>
          <w:color w:val="auto"/>
        </w:rPr>
        <w:t>The values assigned to the RadiaDyne and OARtrac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9" w:name="page80"/>
    <w:bookmarkEnd w:id="79"/>
    <w:p>
      <w:pPr>
        <w:ind w:right="100"/>
        <w:spacing w:after="0" w:line="342" w:lineRule="auto"/>
        <w:rPr>
          <w:sz w:val="20"/>
          <w:szCs w:val="20"/>
          <w:color w:val="auto"/>
        </w:rPr>
      </w:pPr>
      <w:r>
        <w:rPr>
          <w:rFonts w:ascii="Arial" w:cs="Arial" w:eastAsia="Arial" w:hAnsi="Arial"/>
          <w:sz w:val="16"/>
          <w:szCs w:val="16"/>
          <w:color w:val="auto"/>
        </w:rPr>
        <w:t>remaining economic life of the intangible asset and discounted to present value. The trademarks are deemed to have a useful life of five to seven years and the product technologies are deemed to have a useful life of seven to ten years. Both are amortized on a straight-line basis over their useful life.</w:t>
      </w:r>
    </w:p>
    <w:p>
      <w:pPr>
        <w:spacing w:after="0" w:line="70" w:lineRule="exact"/>
        <w:rPr>
          <w:sz w:val="20"/>
          <w:szCs w:val="20"/>
          <w:color w:val="auto"/>
        </w:rPr>
      </w:pPr>
    </w:p>
    <w:p>
      <w:pPr>
        <w:jc w:val="both"/>
        <w:ind w:right="140" w:firstLine="389"/>
        <w:spacing w:after="0" w:line="263"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fifteen years.</w:t>
      </w:r>
    </w:p>
    <w:p>
      <w:pPr>
        <w:spacing w:after="0" w:line="130" w:lineRule="exact"/>
        <w:rPr>
          <w:sz w:val="20"/>
          <w:szCs w:val="20"/>
          <w:color w:val="auto"/>
        </w:rPr>
      </w:pPr>
    </w:p>
    <w:p>
      <w:pPr>
        <w:ind w:right="340" w:firstLine="389"/>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BioSentry Acquisition</w:t>
      </w:r>
    </w:p>
    <w:p>
      <w:pPr>
        <w:spacing w:after="0" w:line="171" w:lineRule="exact"/>
        <w:rPr>
          <w:sz w:val="20"/>
          <w:szCs w:val="20"/>
          <w:color w:val="auto"/>
        </w:rPr>
      </w:pPr>
    </w:p>
    <w:p>
      <w:pPr>
        <w:ind w:right="100" w:firstLine="389"/>
        <w:spacing w:after="0" w:line="286" w:lineRule="auto"/>
        <w:rPr>
          <w:sz w:val="20"/>
          <w:szCs w:val="20"/>
          <w:color w:val="auto"/>
        </w:rPr>
      </w:pPr>
      <w:r>
        <w:rPr>
          <w:rFonts w:ascii="Arial" w:cs="Arial" w:eastAsia="Arial" w:hAnsi="Arial"/>
          <w:sz w:val="17"/>
          <w:szCs w:val="17"/>
          <w:color w:val="auto"/>
        </w:rPr>
        <w:t>On August 14, 2018, the Company acquired the BioSentry product from Surgical Specialties, LLC (“SSC”), for an aggregate purchase price of $39.8 million of which $37.0 million was paid on August 14, 2018 and $2.8 million was recorded as contingent consideration. The contingent consideration liability was recorded at fair value and was paid in the fourth quarter of fiscal year 2019 upon fulfillment of hydrogel orders by SSC.</w:t>
      </w:r>
    </w:p>
    <w:p>
      <w:pPr>
        <w:spacing w:after="0" w:line="111" w:lineRule="exact"/>
        <w:rPr>
          <w:sz w:val="20"/>
          <w:szCs w:val="20"/>
          <w:color w:val="auto"/>
        </w:rPr>
      </w:pPr>
    </w:p>
    <w:p>
      <w:pPr>
        <w:ind w:right="20" w:firstLine="389"/>
        <w:spacing w:after="0" w:line="286" w:lineRule="auto"/>
        <w:rPr>
          <w:sz w:val="20"/>
          <w:szCs w:val="20"/>
          <w:color w:val="auto"/>
        </w:rPr>
      </w:pPr>
      <w:r>
        <w:rPr>
          <w:rFonts w:ascii="Arial" w:cs="Arial" w:eastAsia="Arial" w:hAnsi="Arial"/>
          <w:sz w:val="17"/>
          <w:szCs w:val="17"/>
          <w:color w:val="auto"/>
        </w:rPr>
        <w:t>The Company accounted for the BioSentry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111" w:lineRule="exact"/>
        <w:rPr>
          <w:sz w:val="20"/>
          <w:szCs w:val="20"/>
          <w:color w:val="auto"/>
        </w:rPr>
      </w:pPr>
    </w:p>
    <w:p>
      <w:pPr>
        <w:ind w:right="40" w:firstLine="389"/>
        <w:spacing w:after="0" w:line="301" w:lineRule="auto"/>
        <w:rPr>
          <w:sz w:val="20"/>
          <w:szCs w:val="20"/>
          <w:color w:val="auto"/>
        </w:rPr>
      </w:pPr>
      <w:r>
        <w:rPr>
          <w:rFonts w:ascii="Arial" w:cs="Arial" w:eastAsia="Arial" w:hAnsi="Arial"/>
          <w:sz w:val="16"/>
          <w:szCs w:val="16"/>
          <w:color w:val="auto"/>
        </w:rPr>
        <w:t>The Company has not disclosed the amount of revenue and earnings for sales of BioSentry products since acquisition, nor proforma information, because these amounts are not significant to the Company's financial statements. Acquisition-related costs associated with the BioSentry acquisition, which are included in acquisition, restructuring and other expenses, net in the accompanying Consolidated Statements of Operations, were approximately $1.0 million in fiscal year 2019. The following table summarizes the preliminary and revised final purchase price allocated to the net assets acquired: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Final allocation</w:t>
            </w:r>
          </w:p>
        </w:tc>
      </w:tr>
      <w:tr>
        <w:trPr>
          <w:trHeight w:val="249"/>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200"/>
              <w:spacing w:after="0"/>
              <w:rPr>
                <w:sz w:val="20"/>
                <w:szCs w:val="20"/>
                <w:color w:val="auto"/>
              </w:rPr>
            </w:pPr>
            <w:r>
              <w:rPr>
                <w:rFonts w:ascii="Arial" w:cs="Arial" w:eastAsia="Arial" w:hAnsi="Arial"/>
                <w:sz w:val="18"/>
                <w:szCs w:val="18"/>
                <w:color w:val="auto"/>
              </w:rPr>
              <w:t>BioSentry trademark</w:t>
            </w:r>
          </w:p>
        </w:tc>
        <w:tc>
          <w:tcPr>
            <w:tcW w:w="28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2,500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BioSentry product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20,900</w:t>
            </w:r>
          </w:p>
        </w:tc>
      </w:tr>
      <w:tr>
        <w:trPr>
          <w:trHeight w:val="243"/>
        </w:trPr>
        <w:tc>
          <w:tcPr>
            <w:tcW w:w="948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2,600</w:t>
            </w:r>
          </w:p>
        </w:tc>
      </w:tr>
      <w:tr>
        <w:trPr>
          <w:trHeight w:val="27"/>
        </w:trPr>
        <w:tc>
          <w:tcPr>
            <w:tcW w:w="9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13,740</w:t>
            </w:r>
          </w:p>
        </w:tc>
      </w:tr>
      <w:tr>
        <w:trPr>
          <w:trHeight w:val="264"/>
        </w:trPr>
        <w:tc>
          <w:tcPr>
            <w:tcW w:w="94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39,800</w:t>
            </w:r>
          </w:p>
        </w:tc>
      </w:tr>
      <w:tr>
        <w:trPr>
          <w:trHeight w:val="20"/>
        </w:trPr>
        <w:tc>
          <w:tcPr>
            <w:tcW w:w="9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 finalized the allocation of the purchase price to the assets acquired and liabilities assumed in the fourth quarter of fiscal year 2019.</w:t>
      </w:r>
    </w:p>
    <w:p>
      <w:pPr>
        <w:spacing w:after="0" w:line="194" w:lineRule="exact"/>
        <w:rPr>
          <w:sz w:val="20"/>
          <w:szCs w:val="20"/>
          <w:color w:val="auto"/>
        </w:rPr>
      </w:pPr>
    </w:p>
    <w:p>
      <w:pPr>
        <w:ind w:right="80" w:firstLine="389"/>
        <w:spacing w:after="0" w:line="275" w:lineRule="auto"/>
        <w:rPr>
          <w:sz w:val="20"/>
          <w:szCs w:val="20"/>
          <w:color w:val="auto"/>
        </w:rPr>
      </w:pPr>
      <w:r>
        <w:rPr>
          <w:rFonts w:ascii="Arial" w:cs="Arial" w:eastAsia="Arial" w:hAnsi="Arial"/>
          <w:sz w:val="17"/>
          <w:szCs w:val="17"/>
          <w:color w:val="auto"/>
        </w:rPr>
        <w:t>The values assigned to the BioSentry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 and product technologies are deemed to have a fifteen year useful life and are amortized on a straight-line basis over their useful life.</w:t>
      </w:r>
    </w:p>
    <w:p>
      <w:pPr>
        <w:spacing w:after="0" w:line="122" w:lineRule="exact"/>
        <w:rPr>
          <w:sz w:val="20"/>
          <w:szCs w:val="20"/>
          <w:color w:val="auto"/>
        </w:rPr>
      </w:pPr>
    </w:p>
    <w:p>
      <w:pPr>
        <w:jc w:val="both"/>
        <w:ind w:right="140" w:firstLine="389"/>
        <w:spacing w:after="0" w:line="263"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ten years.</w:t>
      </w:r>
    </w:p>
    <w:p>
      <w:pPr>
        <w:spacing w:after="0" w:line="130" w:lineRule="exact"/>
        <w:rPr>
          <w:sz w:val="20"/>
          <w:szCs w:val="20"/>
          <w:color w:val="auto"/>
        </w:rPr>
      </w:pPr>
    </w:p>
    <w:p>
      <w:pPr>
        <w:ind w:right="340" w:firstLine="389"/>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Fluid Management</w:t>
      </w:r>
    </w:p>
    <w:p>
      <w:pPr>
        <w:spacing w:after="0" w:line="171" w:lineRule="exact"/>
        <w:rPr>
          <w:sz w:val="20"/>
          <w:szCs w:val="20"/>
          <w:color w:val="auto"/>
        </w:rPr>
      </w:pPr>
    </w:p>
    <w:p>
      <w:pPr>
        <w:ind w:right="40" w:firstLine="389"/>
        <w:spacing w:after="0" w:line="255" w:lineRule="auto"/>
        <w:rPr>
          <w:sz w:val="20"/>
          <w:szCs w:val="20"/>
          <w:color w:val="auto"/>
        </w:rPr>
      </w:pPr>
      <w:r>
        <w:rPr>
          <w:rFonts w:ascii="Arial" w:cs="Arial" w:eastAsia="Arial" w:hAnsi="Arial"/>
          <w:sz w:val="18"/>
          <w:szCs w:val="18"/>
          <w:color w:val="auto"/>
        </w:rPr>
        <w:t>On May 31, 2019, the Company completed the sale of the NAMIC Fluid Management business (the “Divestiture”) and all of the assets used primarily in connection with the Fluid Management business to Medline Industries, Inc. (“Medline”) pursuant to an asset purchase agreement dated April 17, 2019 (the “Asset Purchase Agreement”). Total consideration received by the Company for the Divestiture in the fourth quarter of fiscal year 2019 was $169.2 million in cash and resulted in a gain of $46.6 million after working capital adjustments of $0.6 million. The gain is recorded in discontinued operations. On June 3, 2019, a portion of the net proceeds were used to retire the outstanding balance on the Term Loan and Revolving Facility and the remaining net proceeds will continue to be invested in the business.</w:t>
      </w:r>
    </w:p>
    <w:p>
      <w:pPr>
        <w:spacing w:after="0" w:line="138" w:lineRule="exact"/>
        <w:rPr>
          <w:sz w:val="20"/>
          <w:szCs w:val="20"/>
          <w:color w:val="auto"/>
        </w:rPr>
      </w:pPr>
    </w:p>
    <w:p>
      <w:pPr>
        <w:ind w:right="40" w:firstLine="389"/>
        <w:spacing w:after="0" w:line="263" w:lineRule="auto"/>
        <w:rPr>
          <w:sz w:val="20"/>
          <w:szCs w:val="20"/>
          <w:color w:val="auto"/>
        </w:rPr>
      </w:pPr>
      <w:r>
        <w:rPr>
          <w:rFonts w:ascii="Arial" w:cs="Arial" w:eastAsia="Arial" w:hAnsi="Arial"/>
          <w:sz w:val="18"/>
          <w:szCs w:val="18"/>
          <w:color w:val="auto"/>
        </w:rPr>
        <w:t>Pursuant to a transition services agreement entered into and effective on the closing of the transaction, the Company will supply certain services to Medline. Medline will receive certain legal, human resource, tax, accounting and information technology services from the Company for a period generally not to exceed 24 months.</w:t>
      </w:r>
    </w:p>
    <w:p>
      <w:pPr>
        <w:spacing w:after="0" w:line="130" w:lineRule="exact"/>
        <w:rPr>
          <w:sz w:val="20"/>
          <w:szCs w:val="20"/>
          <w:color w:val="auto"/>
        </w:rPr>
      </w:pPr>
    </w:p>
    <w:p>
      <w:pPr>
        <w:ind w:right="20" w:firstLine="389"/>
        <w:spacing w:after="0" w:line="308" w:lineRule="auto"/>
        <w:rPr>
          <w:sz w:val="20"/>
          <w:szCs w:val="20"/>
          <w:color w:val="auto"/>
        </w:rPr>
      </w:pPr>
      <w:r>
        <w:rPr>
          <w:rFonts w:ascii="Arial" w:cs="Arial" w:eastAsia="Arial" w:hAnsi="Arial"/>
          <w:sz w:val="17"/>
          <w:szCs w:val="17"/>
          <w:color w:val="auto"/>
        </w:rPr>
        <w:t>As a result of the Divestiture, the results of operations from the Fluid Management business are reported in the accompanying consolidated statements of operations as “Income from discontinued operations, net of income tax” for the years ended May 31, 2019 and 2018.</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financial results of discontinued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 May 31,</w:t>
            </w:r>
          </w:p>
        </w:tc>
        <w:tc>
          <w:tcPr>
            <w:tcW w:w="880" w:type="dxa"/>
            <w:vAlign w:val="bottom"/>
            <w:tcBorders>
              <w:bottom w:val="single" w:sz="8" w:color="auto"/>
            </w:tcBorders>
          </w:tcPr>
          <w:p>
            <w:pPr>
              <w:spacing w:after="0"/>
              <w:rPr>
                <w:sz w:val="16"/>
                <w:szCs w:val="16"/>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89"/>
              </w:rPr>
              <w:t>2018</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88,850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82,630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Cost of sales (exclusive of amortization)</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52,978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49,611</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35,872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33,019</w:t>
            </w:r>
          </w:p>
        </w:tc>
      </w:tr>
      <w:tr>
        <w:trPr>
          <w:trHeight w:val="257"/>
        </w:trPr>
        <w:tc>
          <w:tcPr>
            <w:tcW w:w="8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1,121</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4,167</w:t>
            </w:r>
          </w:p>
        </w:tc>
      </w:tr>
      <w:tr>
        <w:trPr>
          <w:trHeight w:val="243"/>
        </w:trPr>
        <w:tc>
          <w:tcPr>
            <w:tcW w:w="826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274</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2,729</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8,293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8,291</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27,579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24,728</w:t>
            </w:r>
          </w:p>
        </w:tc>
      </w:tr>
      <w:tr>
        <w:trPr>
          <w:trHeight w:val="256"/>
        </w:trPr>
        <w:tc>
          <w:tcPr>
            <w:tcW w:w="8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8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Gain on divestiture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46,592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82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74,171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24,728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(2,166)</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72,486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40" w:firstLine="389"/>
        <w:spacing w:after="0" w:line="311" w:lineRule="auto"/>
        <w:rPr>
          <w:sz w:val="20"/>
          <w:szCs w:val="20"/>
          <w:color w:val="auto"/>
        </w:rPr>
      </w:pPr>
      <w:r>
        <w:rPr>
          <w:rFonts w:ascii="Arial" w:cs="Arial" w:eastAsia="Arial" w:hAnsi="Arial"/>
          <w:sz w:val="16"/>
          <w:szCs w:val="16"/>
          <w:color w:val="auto"/>
        </w:rPr>
        <w:t>In accordance with accounting principles generally accepted in the United States (“GAAP”), only expenses specifically identifiable and related to a business to be disposed may be allocated to discontinued operations. As such, the selling and marketing, research and development and general and administrative expenses recorded in discontinued operations include corporate costs incurred directly in support of the Fluid Management portfolio.</w:t>
      </w:r>
    </w:p>
    <w:p>
      <w:pPr>
        <w:spacing w:after="0" w:line="95" w:lineRule="exact"/>
        <w:rPr>
          <w:sz w:val="20"/>
          <w:szCs w:val="20"/>
          <w:color w:val="auto"/>
        </w:rPr>
      </w:pPr>
    </w:p>
    <w:p>
      <w:pPr>
        <w:ind w:right="60" w:firstLine="389"/>
        <w:spacing w:after="0" w:line="257" w:lineRule="auto"/>
        <w:rPr>
          <w:sz w:val="20"/>
          <w:szCs w:val="20"/>
          <w:color w:val="auto"/>
        </w:rPr>
      </w:pPr>
      <w:r>
        <w:rPr>
          <w:rFonts w:ascii="Arial" w:cs="Arial" w:eastAsia="Arial" w:hAnsi="Arial"/>
          <w:sz w:val="18"/>
          <w:szCs w:val="18"/>
          <w:color w:val="auto"/>
        </w:rPr>
        <w:t>The Company applied the “Intraperiod Tax Allocation” rules under ASC 740, which requires the allocation of an entity’s total annual income tax provision among continuing operations and, in the Company’s case, discontinued operations. Included in the $1.6 million income tax expense for fiscal year 2019 is $0.6 million tax expense related to the gain on the Divestiture. The taxes on the gain were calculated using various state statutory tax rates and are partially offset by the utilization of historical state net operating losses. There are no current federal taxes on the gain due to utilization of historical net operating losses which had a corresponding valuation allowance.</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provides a reconciliation of the gain recorded on the sale of the Fluid Management business: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received from Divestiture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169,242</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4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(612)</w:t>
            </w:r>
          </w:p>
        </w:tc>
      </w:tr>
      <w:tr>
        <w:trPr>
          <w:trHeight w:val="27"/>
        </w:trPr>
        <w:tc>
          <w:tcPr>
            <w:tcW w:w="9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98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Fluid Management assets:</w:t>
            </w: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9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11,029</w:t>
            </w:r>
          </w:p>
        </w:tc>
      </w:tr>
      <w:tr>
        <w:trPr>
          <w:trHeight w:val="243"/>
        </w:trPr>
        <w:tc>
          <w:tcPr>
            <w:tcW w:w="9800" w:type="dxa"/>
            <w:vAlign w:val="bottom"/>
          </w:tcPr>
          <w:p>
            <w:pPr>
              <w:ind w:left="46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16,624</w:t>
            </w:r>
          </w:p>
        </w:tc>
      </w:tr>
      <w:tr>
        <w:trPr>
          <w:trHeight w:val="27"/>
        </w:trPr>
        <w:tc>
          <w:tcPr>
            <w:tcW w:w="9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Intangible assets, net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15,047</w:t>
            </w:r>
          </w:p>
        </w:tc>
      </w:tr>
      <w:tr>
        <w:trPr>
          <w:trHeight w:val="243"/>
        </w:trPr>
        <w:tc>
          <w:tcPr>
            <w:tcW w:w="9800" w:type="dxa"/>
            <w:vAlign w:val="bottom"/>
          </w:tcPr>
          <w:p>
            <w:pPr>
              <w:ind w:left="46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75,308</w:t>
            </w:r>
          </w:p>
        </w:tc>
      </w:tr>
      <w:tr>
        <w:trPr>
          <w:trHeight w:val="27"/>
        </w:trPr>
        <w:tc>
          <w:tcPr>
            <w:tcW w:w="9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Fluid Management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118,008</w:t>
            </w:r>
          </w:p>
        </w:tc>
      </w:tr>
      <w:tr>
        <w:trPr>
          <w:trHeight w:val="257"/>
        </w:trPr>
        <w:tc>
          <w:tcPr>
            <w:tcW w:w="9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Transaction costs for Divestiture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4,030</w:t>
            </w:r>
          </w:p>
        </w:tc>
      </w:tr>
      <w:tr>
        <w:trPr>
          <w:trHeight w:val="257"/>
        </w:trPr>
        <w:tc>
          <w:tcPr>
            <w:tcW w:w="98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8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the Fluid Management business before income taxes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46,592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(1) Costs include advisory fees, legal fees and professional fees</w:t>
      </w:r>
    </w:p>
    <w:p>
      <w:pPr>
        <w:spacing w:after="0" w:line="163"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8"/>
          <w:szCs w:val="18"/>
          <w:color w:val="auto"/>
        </w:rPr>
        <w:t>Proceeds from the sale of Fluid Management have been presented in the Consolidated Statements of Cash Flows under investing activities for the fiscal year ended May 31, 2019. Total operating and investing cash flows of discontinued operations for the fiscal year ended May 31, 2019 and 2018 are comprised of the following, which exclude the effect of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40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2018</w:t>
            </w: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5,581</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4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1,146</w:t>
            </w:r>
          </w:p>
        </w:tc>
      </w:tr>
      <w:tr>
        <w:trPr>
          <w:trHeight w:val="958"/>
        </w:trPr>
        <w:tc>
          <w:tcPr>
            <w:tcW w:w="4260" w:type="dxa"/>
            <w:vAlign w:val="bottom"/>
          </w:tcPr>
          <w:p>
            <w:pPr>
              <w:spacing w:after="0"/>
              <w:rPr>
                <w:sz w:val="24"/>
                <w:szCs w:val="24"/>
                <w:color w:val="auto"/>
              </w:rPr>
            </w:pPr>
          </w:p>
        </w:tc>
        <w:tc>
          <w:tcPr>
            <w:tcW w:w="4000" w:type="dxa"/>
            <w:vAlign w:val="bottom"/>
          </w:tcPr>
          <w:p>
            <w:pPr>
              <w:jc w:val="right"/>
              <w:ind w:right="2450"/>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120" w:firstLine="389"/>
        <w:spacing w:after="0" w:line="275"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ind w:right="220" w:firstLine="389"/>
        <w:spacing w:after="0" w:line="277" w:lineRule="auto"/>
        <w:rPr>
          <w:sz w:val="20"/>
          <w:szCs w:val="20"/>
          <w:color w:val="auto"/>
        </w:rPr>
      </w:pPr>
      <w:r>
        <w:rPr>
          <w:rFonts w:ascii="Arial" w:cs="Arial" w:eastAsia="Arial" w:hAnsi="Arial"/>
          <w:sz w:val="18"/>
          <w:szCs w:val="18"/>
          <w:color w:val="auto"/>
        </w:rPr>
        <w:t>The following tables summarize net product revenue by Global Business Unit ("GBU") and geography for the year ended May 31, 2020 and for the year ended May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color w:val="auto"/>
                <w:w w:val="91"/>
              </w:rPr>
              <w:t>Year ended May 31, 2020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color w:val="auto"/>
                <w:w w:val="91"/>
              </w:rPr>
              <w:t>Year ended May 31, 2019</w:t>
            </w:r>
          </w:p>
        </w:tc>
        <w:tc>
          <w:tcPr>
            <w:tcW w:w="860" w:type="dxa"/>
            <w:vAlign w:val="bottom"/>
            <w:tcBorders>
              <w:bottom w:val="single" w:sz="8" w:color="auto"/>
            </w:tcBorders>
          </w:tcPr>
          <w:p>
            <w:pPr>
              <w:spacing w:after="0"/>
              <w:rPr>
                <w:sz w:val="16"/>
                <w:szCs w:val="16"/>
                <w:color w:val="auto"/>
              </w:rPr>
            </w:pPr>
          </w:p>
        </w:tc>
      </w:tr>
      <w:tr>
        <w:trPr>
          <w:trHeight w:val="196"/>
        </w:trPr>
        <w:tc>
          <w:tcPr>
            <w:tcW w:w="4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2"/>
              </w:rPr>
              <w:t>United States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International</w:t>
            </w:r>
          </w:p>
        </w:tc>
        <w:tc>
          <w:tcPr>
            <w:tcW w:w="24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2"/>
              </w:rPr>
              <w:t>United States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International</w:t>
            </w:r>
          </w:p>
        </w:tc>
        <w:tc>
          <w:tcPr>
            <w:tcW w:w="240" w:type="dxa"/>
            <w:vAlign w:val="bottom"/>
          </w:tcPr>
          <w:p>
            <w:pPr>
              <w:spacing w:after="0"/>
              <w:rPr>
                <w:sz w:val="17"/>
                <w:szCs w:val="17"/>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color w:val="auto"/>
              </w:rPr>
              <w:t>Total</w:t>
            </w:r>
          </w:p>
        </w:tc>
      </w:tr>
      <w:tr>
        <w:trPr>
          <w:trHeight w:val="236"/>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20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98,965</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13,741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112,706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106,767</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13,134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119,901</w:t>
            </w:r>
          </w:p>
        </w:tc>
      </w:tr>
      <w:tr>
        <w:trPr>
          <w:trHeight w:val="27"/>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15,119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94,730</w:t>
            </w:r>
          </w:p>
        </w:tc>
      </w:tr>
      <w:tr>
        <w:trPr>
          <w:trHeight w:val="243"/>
        </w:trPr>
        <w:tc>
          <w:tcPr>
            <w:tcW w:w="4200" w:type="dxa"/>
            <w:vAlign w:val="bottom"/>
          </w:tcPr>
          <w:p>
            <w:pPr>
              <w:ind w:left="340"/>
              <w:spacing w:after="0"/>
              <w:rPr>
                <w:sz w:val="20"/>
                <w:szCs w:val="20"/>
                <w:color w:val="auto"/>
              </w:rPr>
            </w:pPr>
            <w:r>
              <w:rPr>
                <w:rFonts w:ascii="Arial" w:cs="Arial" w:eastAsia="Arial" w:hAnsi="Arial"/>
                <w:sz w:val="18"/>
                <w:szCs w:val="18"/>
                <w:color w:val="auto"/>
              </w:rPr>
              <w:t>Oncology</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24,905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57,152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25,424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56,003</w:t>
            </w:r>
          </w:p>
        </w:tc>
      </w:tr>
      <w:tr>
        <w:trPr>
          <w:trHeight w:val="27"/>
        </w:trPr>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4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207,980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56,177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264,157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216,957</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53,677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270,634</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Revenue</w:t>
      </w:r>
    </w:p>
    <w:p>
      <w:pPr>
        <w:spacing w:after="0" w:line="171" w:lineRule="exact"/>
        <w:rPr>
          <w:sz w:val="20"/>
          <w:szCs w:val="20"/>
          <w:color w:val="auto"/>
        </w:rPr>
      </w:pPr>
    </w:p>
    <w:p>
      <w:pPr>
        <w:ind w:right="100" w:firstLine="389"/>
        <w:spacing w:after="0" w:line="275"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71" w:lineRule="exact"/>
        <w:rPr>
          <w:sz w:val="20"/>
          <w:szCs w:val="20"/>
          <w:color w:val="auto"/>
        </w:rPr>
      </w:pPr>
    </w:p>
    <w:p>
      <w:pPr>
        <w:ind w:right="40" w:firstLine="389"/>
        <w:spacing w:after="0" w:line="301"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71" w:lineRule="exact"/>
        <w:rPr>
          <w:sz w:val="20"/>
          <w:szCs w:val="20"/>
          <w:color w:val="auto"/>
        </w:rPr>
      </w:pPr>
    </w:p>
    <w:p>
      <w:pPr>
        <w:jc w:val="both"/>
        <w:ind w:right="360" w:firstLine="389"/>
        <w:spacing w:after="0" w:line="259" w:lineRule="auto"/>
        <w:rPr>
          <w:sz w:val="20"/>
          <w:szCs w:val="20"/>
          <w:color w:val="auto"/>
        </w:rPr>
      </w:pPr>
      <w:r>
        <w:rPr>
          <w:rFonts w:ascii="Arial" w:cs="Arial" w:eastAsia="Arial" w:hAnsi="Arial"/>
          <w:sz w:val="18"/>
          <w:szCs w:val="18"/>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 the transaction price utilizing the expected value method. As such, revenue is recorded net of rebates, returns and other deductions.</w:t>
      </w:r>
    </w:p>
    <w:p>
      <w:pPr>
        <w:spacing w:after="0" w:line="133" w:lineRule="exact"/>
        <w:rPr>
          <w:sz w:val="20"/>
          <w:szCs w:val="20"/>
          <w:color w:val="auto"/>
        </w:rPr>
      </w:pPr>
    </w:p>
    <w:p>
      <w:pPr>
        <w:ind w:right="280" w:firstLine="389"/>
        <w:spacing w:after="0" w:line="259"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ectPr>
          <w:pgSz w:w="11900" w:h="16838" w:orient="portrait"/>
          <w:cols w:equalWidth="0" w:num="1">
            <w:col w:w="11240"/>
          </w:cols>
          <w:pgMar w:left="320" w:top="12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80" w:firstLine="389"/>
        <w:spacing w:after="0" w:line="263"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30" w:lineRule="exact"/>
        <w:rPr>
          <w:sz w:val="20"/>
          <w:szCs w:val="20"/>
          <w:color w:val="auto"/>
        </w:rPr>
      </w:pPr>
    </w:p>
    <w:p>
      <w:pPr>
        <w:ind w:right="320" w:firstLine="389"/>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right="60" w:firstLine="389"/>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value added, and other taxes collected on behalf of third parties are excluded from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71" w:lineRule="exact"/>
        <w:rPr>
          <w:sz w:val="20"/>
          <w:szCs w:val="20"/>
          <w:color w:val="auto"/>
        </w:rPr>
      </w:pPr>
    </w:p>
    <w:p>
      <w:pPr>
        <w:jc w:val="both"/>
        <w:ind w:right="400" w:firstLine="389"/>
        <w:spacing w:after="0" w:line="286"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w:t>
      </w:r>
    </w:p>
    <w:p>
      <w:pPr>
        <w:spacing w:after="0" w:line="111" w:lineRule="exact"/>
        <w:rPr>
          <w:sz w:val="20"/>
          <w:szCs w:val="20"/>
          <w:color w:val="auto"/>
        </w:rPr>
      </w:pPr>
    </w:p>
    <w:p>
      <w:pPr>
        <w:ind w:right="140" w:firstLine="389"/>
        <w:spacing w:after="0" w:line="257" w:lineRule="auto"/>
        <w:rPr>
          <w:sz w:val="20"/>
          <w:szCs w:val="20"/>
          <w:color w:val="auto"/>
        </w:rPr>
      </w:pPr>
      <w:r>
        <w:rPr>
          <w:rFonts w:ascii="Arial" w:cs="Arial" w:eastAsia="Arial" w:hAnsi="Arial"/>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34" w:lineRule="exact"/>
        <w:rPr>
          <w:sz w:val="20"/>
          <w:szCs w:val="20"/>
          <w:color w:val="auto"/>
        </w:rPr>
      </w:pPr>
    </w:p>
    <w:p>
      <w:pPr>
        <w:ind w:right="20" w:firstLine="389"/>
        <w:spacing w:after="0" w:line="273"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year ended May 31, 2020, such product returns were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with Customers</w:t>
      </w:r>
    </w:p>
    <w:p>
      <w:pPr>
        <w:spacing w:after="0" w:line="171" w:lineRule="exact"/>
        <w:rPr>
          <w:sz w:val="20"/>
          <w:szCs w:val="20"/>
          <w:color w:val="auto"/>
        </w:rPr>
      </w:pPr>
    </w:p>
    <w:p>
      <w:pPr>
        <w:ind w:right="20" w:firstLine="389"/>
        <w:spacing w:after="0" w:line="257" w:lineRule="auto"/>
        <w:rPr>
          <w:sz w:val="20"/>
          <w:szCs w:val="20"/>
          <w:color w:val="auto"/>
        </w:rPr>
      </w:pPr>
      <w:r>
        <w:rPr>
          <w:rFonts w:ascii="Arial" w:cs="Arial" w:eastAsia="Arial" w:hAnsi="Arial"/>
          <w:sz w:val="18"/>
          <w:szCs w:val="18"/>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May 31, 2020</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color w:val="auto"/>
              </w:rPr>
              <w:t>May 31, 2019</w:t>
            </w:r>
          </w:p>
        </w:tc>
      </w:tr>
      <w:tr>
        <w:trPr>
          <w:trHeight w:val="249"/>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43,577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681</w:t>
            </w:r>
          </w:p>
        </w:tc>
      </w:tr>
      <w:tr>
        <w:trPr>
          <w:trHeight w:val="27"/>
        </w:trPr>
        <w:tc>
          <w:tcPr>
            <w:tcW w:w="8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firstLine="389"/>
        <w:spacing w:after="0" w:line="308" w:lineRule="auto"/>
        <w:rPr>
          <w:sz w:val="20"/>
          <w:szCs w:val="20"/>
          <w:color w:val="auto"/>
        </w:rPr>
      </w:pPr>
      <w:r>
        <w:rPr>
          <w:rFonts w:ascii="Arial" w:cs="Arial" w:eastAsia="Arial" w:hAnsi="Arial"/>
          <w:sz w:val="17"/>
          <w:szCs w:val="17"/>
          <w:color w:val="auto"/>
        </w:rPr>
        <w:t>During the years ended May 31, 2020 and 2019, the Company had additions to contract liabilities of $2.1 million and $0.6 million, respectively. This was offset by $2.2 million and $1.1 million in revenue that was recognized during the years ended May 31, 2020 and 2019,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or Fulfill a Customer Contract</w:t>
      </w:r>
    </w:p>
    <w:p>
      <w:pPr>
        <w:spacing w:after="0" w:line="171" w:lineRule="exact"/>
        <w:rPr>
          <w:sz w:val="20"/>
          <w:szCs w:val="20"/>
          <w:color w:val="auto"/>
        </w:rPr>
      </w:pPr>
    </w:p>
    <w:p>
      <w:pPr>
        <w:ind w:right="40" w:firstLine="389"/>
        <w:spacing w:after="0" w:line="263" w:lineRule="auto"/>
        <w:rPr>
          <w:sz w:val="20"/>
          <w:szCs w:val="20"/>
          <w:color w:val="auto"/>
        </w:rPr>
      </w:pPr>
      <w:r>
        <w:rPr>
          <w:rFonts w:ascii="Arial" w:cs="Arial" w:eastAsia="Arial" w:hAnsi="Arial"/>
          <w:sz w:val="18"/>
          <w:szCs w:val="18"/>
          <w:color w:val="auto"/>
        </w:rPr>
        <w:t>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ASC 340-40-25-4 to expense the costs as they are incurred within selling and marketing expenses since the amortization period is less than one year.</w:t>
      </w:r>
    </w:p>
    <w:p>
      <w:pPr>
        <w:spacing w:after="0" w:line="194" w:lineRule="exact"/>
        <w:rPr>
          <w:sz w:val="20"/>
          <w:szCs w:val="20"/>
          <w:color w:val="auto"/>
        </w:rPr>
      </w:pPr>
    </w:p>
    <w:p>
      <w:pPr>
        <w:ind w:right="40" w:firstLine="389"/>
        <w:spacing w:after="0" w:line="311"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5" w:lineRule="exact"/>
        <w:rPr>
          <w:sz w:val="20"/>
          <w:szCs w:val="20"/>
          <w:color w:val="auto"/>
        </w:rPr>
      </w:pPr>
    </w:p>
    <w:p>
      <w:pPr>
        <w:ind w:right="80" w:firstLine="389"/>
        <w:spacing w:after="0" w:line="275" w:lineRule="auto"/>
        <w:rPr>
          <w:sz w:val="20"/>
          <w:szCs w:val="20"/>
          <w:color w:val="auto"/>
        </w:rPr>
      </w:pPr>
      <w:r>
        <w:rPr>
          <w:rFonts w:ascii="Arial" w:cs="Arial" w:eastAsia="Arial" w:hAnsi="Arial"/>
          <w:sz w:val="17"/>
          <w:szCs w:val="17"/>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2"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hanging="328"/>
        <w:spacing w:after="0" w:line="260"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31" w:lineRule="exact"/>
        <w:rPr>
          <w:sz w:val="20"/>
          <w:szCs w:val="20"/>
          <w:color w:val="auto"/>
        </w:rPr>
      </w:pPr>
    </w:p>
    <w:p>
      <w:pPr>
        <w:ind w:firstLine="389"/>
        <w:spacing w:after="0" w:line="311" w:lineRule="auto"/>
        <w:rPr>
          <w:sz w:val="20"/>
          <w:szCs w:val="20"/>
          <w:color w:val="auto"/>
        </w:rPr>
      </w:pPr>
      <w:r>
        <w:rPr>
          <w:rFonts w:ascii="Arial" w:cs="Arial" w:eastAsia="Arial" w:hAnsi="Arial"/>
          <w:sz w:val="16"/>
          <w:szCs w:val="16"/>
          <w:color w:val="auto"/>
        </w:rPr>
        <w:t>The Company's financial instruments include cash and cash equivalents, marketable securities,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80" w:type="dxa"/>
            <w:vAlign w:val="bottom"/>
            <w:gridSpan w:val="7"/>
          </w:tcPr>
          <w:p>
            <w:pPr>
              <w:ind w:left="60"/>
              <w:spacing w:after="0"/>
              <w:rPr>
                <w:sz w:val="20"/>
                <w:szCs w:val="20"/>
                <w:color w:val="auto"/>
              </w:rPr>
            </w:pPr>
            <w:r>
              <w:rPr>
                <w:rFonts w:ascii="Arial" w:cs="Arial" w:eastAsia="Arial" w:hAnsi="Arial"/>
                <w:sz w:val="14"/>
                <w:szCs w:val="14"/>
                <w:color w:val="auto"/>
                <w:w w:val="92"/>
              </w:rPr>
              <w:t>Fair Value Measurements using inputs considered as: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3"/>
              </w:rPr>
              <w:t>Fair Value at May 31,</w:t>
            </w:r>
          </w:p>
        </w:tc>
      </w:tr>
      <w:tr>
        <w:trPr>
          <w:trHeight w:val="188"/>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20" w:type="dxa"/>
            <w:vAlign w:val="bottom"/>
          </w:tcPr>
          <w:p>
            <w:pPr>
              <w:jc w:val="right"/>
              <w:ind w:right="16"/>
              <w:spacing w:after="0"/>
              <w:rPr>
                <w:sz w:val="20"/>
                <w:szCs w:val="20"/>
                <w:color w:val="auto"/>
              </w:rPr>
            </w:pPr>
            <w:r>
              <w:rPr>
                <w:rFonts w:ascii="Arial" w:cs="Arial" w:eastAsia="Arial" w:hAnsi="Arial"/>
                <w:sz w:val="14"/>
                <w:szCs w:val="14"/>
                <w:color w:val="auto"/>
              </w:rPr>
              <w:t>Level 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Level 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color w:val="auto"/>
              </w:rPr>
              <w:t>Level 3</w:t>
            </w:r>
          </w:p>
        </w:tc>
        <w:tc>
          <w:tcPr>
            <w:tcW w:w="340" w:type="dxa"/>
            <w:vAlign w:val="bottom"/>
          </w:tcPr>
          <w:p>
            <w:pPr>
              <w:spacing w:after="0"/>
              <w:rPr>
                <w:sz w:val="16"/>
                <w:szCs w:val="16"/>
                <w:color w:val="auto"/>
              </w:rPr>
            </w:pPr>
          </w:p>
        </w:tc>
        <w:tc>
          <w:tcPr>
            <w:tcW w:w="1100" w:type="dxa"/>
            <w:vAlign w:val="bottom"/>
          </w:tcPr>
          <w:p>
            <w:pPr>
              <w:jc w:val="center"/>
              <w:ind w:right="256"/>
              <w:spacing w:after="0"/>
              <w:rPr>
                <w:sz w:val="20"/>
                <w:szCs w:val="20"/>
                <w:color w:val="auto"/>
              </w:rPr>
            </w:pPr>
            <w:r>
              <w:rPr>
                <w:rFonts w:ascii="Arial" w:cs="Arial" w:eastAsia="Arial" w:hAnsi="Arial"/>
                <w:sz w:val="14"/>
                <w:szCs w:val="14"/>
                <w:color w:val="auto"/>
                <w:w w:val="89"/>
              </w:rPr>
              <w:t>2020</w:t>
            </w: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Financial Liabilities</w:t>
            </w:r>
          </w:p>
        </w:tc>
        <w:tc>
          <w:tcPr>
            <w:tcW w:w="37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ind w:left="320"/>
              <w:spacing w:after="0"/>
              <w:rPr>
                <w:sz w:val="20"/>
                <w:szCs w:val="20"/>
                <w:color w:val="auto"/>
              </w:rPr>
            </w:pPr>
            <w:r>
              <w:rPr>
                <w:rFonts w:ascii="Arial" w:cs="Arial" w:eastAsia="Arial" w:hAnsi="Arial"/>
                <w:sz w:val="18"/>
                <w:szCs w:val="18"/>
                <w:color w:val="auto"/>
              </w:rPr>
              <w:t>Contingent consideration for acquisition earn outs</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15,647</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15,647</w:t>
            </w:r>
          </w:p>
        </w:tc>
      </w:tr>
      <w:tr>
        <w:trPr>
          <w:trHeight w:val="27"/>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Total Financial Liabilities</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15,647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15,647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7"/>
          </w:tcPr>
          <w:p>
            <w:pPr>
              <w:ind w:left="80"/>
              <w:spacing w:after="0"/>
              <w:rPr>
                <w:sz w:val="20"/>
                <w:szCs w:val="20"/>
                <w:color w:val="auto"/>
              </w:rPr>
            </w:pPr>
            <w:r>
              <w:rPr>
                <w:rFonts w:ascii="Arial" w:cs="Arial" w:eastAsia="Arial" w:hAnsi="Arial"/>
                <w:sz w:val="14"/>
                <w:szCs w:val="14"/>
                <w:color w:val="auto"/>
                <w:w w:val="92"/>
              </w:rPr>
              <w:t>Fair Value Measurements using inputs considered as: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3"/>
              </w:rPr>
              <w:t>Fair Value at May 31,</w:t>
            </w:r>
          </w:p>
        </w:tc>
      </w:tr>
      <w:tr>
        <w:trPr>
          <w:trHeight w:val="188"/>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20" w:type="dxa"/>
            <w:vAlign w:val="bottom"/>
          </w:tcPr>
          <w:p>
            <w:pPr>
              <w:jc w:val="right"/>
              <w:spacing w:after="0"/>
              <w:rPr>
                <w:sz w:val="20"/>
                <w:szCs w:val="20"/>
                <w:color w:val="auto"/>
              </w:rPr>
            </w:pPr>
            <w:r>
              <w:rPr>
                <w:rFonts w:ascii="Arial" w:cs="Arial" w:eastAsia="Arial" w:hAnsi="Arial"/>
                <w:sz w:val="14"/>
                <w:szCs w:val="14"/>
                <w:color w:val="auto"/>
              </w:rPr>
              <w:t>Level 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Level 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color w:val="auto"/>
              </w:rPr>
              <w:t>Level 3</w:t>
            </w:r>
          </w:p>
        </w:tc>
        <w:tc>
          <w:tcPr>
            <w:tcW w:w="340" w:type="dxa"/>
            <w:vAlign w:val="bottom"/>
          </w:tcPr>
          <w:p>
            <w:pPr>
              <w:spacing w:after="0"/>
              <w:rPr>
                <w:sz w:val="16"/>
                <w:szCs w:val="16"/>
                <w:color w:val="auto"/>
              </w:rPr>
            </w:pPr>
          </w:p>
        </w:tc>
        <w:tc>
          <w:tcPr>
            <w:tcW w:w="1100" w:type="dxa"/>
            <w:vAlign w:val="bottom"/>
          </w:tcPr>
          <w:p>
            <w:pPr>
              <w:jc w:val="center"/>
              <w:ind w:right="256"/>
              <w:spacing w:after="0"/>
              <w:rPr>
                <w:sz w:val="20"/>
                <w:szCs w:val="20"/>
                <w:color w:val="auto"/>
              </w:rPr>
            </w:pPr>
            <w:r>
              <w:rPr>
                <w:rFonts w:ascii="Arial" w:cs="Arial" w:eastAsia="Arial" w:hAnsi="Arial"/>
                <w:sz w:val="14"/>
                <w:szCs w:val="14"/>
                <w:color w:val="auto"/>
                <w:w w:val="89"/>
              </w:rPr>
              <w:t>2019</w:t>
            </w: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Financial Liabilities</w:t>
            </w:r>
          </w:p>
        </w:tc>
        <w:tc>
          <w:tcPr>
            <w:tcW w:w="37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ind w:left="320"/>
              <w:spacing w:after="0"/>
              <w:rPr>
                <w:sz w:val="20"/>
                <w:szCs w:val="20"/>
                <w:color w:val="auto"/>
              </w:rPr>
            </w:pPr>
            <w:r>
              <w:rPr>
                <w:rFonts w:ascii="Arial" w:cs="Arial" w:eastAsia="Arial" w:hAnsi="Arial"/>
                <w:sz w:val="18"/>
                <w:szCs w:val="18"/>
                <w:color w:val="auto"/>
              </w:rPr>
              <w:t>Contingent consideration for acquisition earn out</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13,486</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13,486</w:t>
            </w:r>
          </w:p>
        </w:tc>
      </w:tr>
      <w:tr>
        <w:trPr>
          <w:trHeight w:val="27"/>
        </w:trPr>
        <w:tc>
          <w:tcPr>
            <w:tcW w:w="2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Total Financial Liabilities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13,486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13,486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transfers in and out of Level 1, 2 and 3 measurements for the years ended May 31, 2020 and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The table below presents the changes in fair value components of Level 3 instruments in the year ended May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98"/>
              </w:rPr>
              <w:t>Financial Liabilities</w:t>
            </w:r>
          </w:p>
        </w:tc>
      </w:tr>
      <w:tr>
        <w:trPr>
          <w:trHeight w:val="156"/>
        </w:trPr>
        <w:tc>
          <w:tcPr>
            <w:tcW w:w="9720" w:type="dxa"/>
            <w:vAlign w:val="bottom"/>
          </w:tcPr>
          <w:p>
            <w:pPr>
              <w:spacing w:after="0"/>
              <w:rPr>
                <w:sz w:val="13"/>
                <w:szCs w:val="13"/>
                <w:color w:val="auto"/>
              </w:rPr>
            </w:pPr>
          </w:p>
        </w:tc>
        <w:tc>
          <w:tcPr>
            <w:tcW w:w="1520" w:type="dxa"/>
            <w:vAlign w:val="bottom"/>
            <w:gridSpan w:val="2"/>
          </w:tcPr>
          <w:p>
            <w:pPr>
              <w:jc w:val="center"/>
              <w:spacing w:after="0" w:line="156" w:lineRule="exact"/>
              <w:rPr>
                <w:sz w:val="20"/>
                <w:szCs w:val="20"/>
                <w:color w:val="auto"/>
              </w:rPr>
            </w:pPr>
            <w:r>
              <w:rPr>
                <w:rFonts w:ascii="Arial" w:cs="Arial" w:eastAsia="Arial" w:hAnsi="Arial"/>
                <w:sz w:val="14"/>
                <w:szCs w:val="14"/>
                <w:color w:val="auto"/>
                <w:w w:val="92"/>
              </w:rPr>
              <w:t>Fair Value Measurements</w:t>
            </w:r>
          </w:p>
        </w:tc>
      </w:tr>
      <w:tr>
        <w:trPr>
          <w:trHeight w:val="148"/>
        </w:trPr>
        <w:tc>
          <w:tcPr>
            <w:tcW w:w="9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95"/>
              </w:rPr>
              <w:t>Using Significant</w:t>
            </w:r>
          </w:p>
        </w:tc>
      </w:tr>
      <w:tr>
        <w:trPr>
          <w:trHeight w:val="148"/>
        </w:trPr>
        <w:tc>
          <w:tcPr>
            <w:tcW w:w="9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93"/>
              </w:rPr>
              <w:t>Unobservable Inputs</w:t>
            </w:r>
          </w:p>
        </w:tc>
      </w:tr>
      <w:tr>
        <w:trPr>
          <w:trHeight w:val="188"/>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95"/>
              </w:rPr>
              <w:t>(Level 3)</w:t>
            </w: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13,486</w:t>
            </w:r>
          </w:p>
        </w:tc>
      </w:tr>
      <w:tr>
        <w:trPr>
          <w:trHeight w:val="243"/>
        </w:trPr>
        <w:tc>
          <w:tcPr>
            <w:tcW w:w="9720" w:type="dxa"/>
            <w:vAlign w:val="bottom"/>
          </w:tcPr>
          <w:p>
            <w:pPr>
              <w:ind w:left="340"/>
              <w:spacing w:after="0"/>
              <w:rPr>
                <w:sz w:val="20"/>
                <w:szCs w:val="20"/>
                <w:color w:val="auto"/>
              </w:rPr>
            </w:pPr>
            <w:r>
              <w:rPr>
                <w:rFonts w:ascii="Arial" w:cs="Arial" w:eastAsia="Arial" w:hAnsi="Arial"/>
                <w:sz w:val="18"/>
                <w:szCs w:val="18"/>
                <w:color w:val="auto"/>
              </w:rPr>
              <w:t>Contingent consideration liability recorded as a result of the acquisition (Note 2)</w:t>
            </w:r>
          </w:p>
        </w:tc>
        <w:tc>
          <w:tcPr>
            <w:tcW w:w="140" w:type="dxa"/>
            <w:vAlign w:val="bottom"/>
          </w:tcPr>
          <w:p>
            <w:pPr>
              <w:spacing w:after="0"/>
              <w:rPr>
                <w:sz w:val="21"/>
                <w:szCs w:val="21"/>
                <w:color w:val="auto"/>
              </w:rPr>
            </w:pPr>
          </w:p>
        </w:tc>
        <w:tc>
          <w:tcPr>
            <w:tcW w:w="1380" w:type="dxa"/>
            <w:vAlign w:val="bottom"/>
          </w:tcPr>
          <w:p>
            <w:pPr>
              <w:jc w:val="right"/>
              <w:ind w:right="78"/>
              <w:spacing w:after="0"/>
              <w:rPr>
                <w:sz w:val="20"/>
                <w:szCs w:val="20"/>
                <w:color w:val="auto"/>
              </w:rPr>
            </w:pPr>
            <w:r>
              <w:rPr>
                <w:rFonts w:ascii="Arial" w:cs="Arial" w:eastAsia="Arial" w:hAnsi="Arial"/>
                <w:sz w:val="18"/>
                <w:szCs w:val="18"/>
                <w:color w:val="auto"/>
              </w:rPr>
              <w:t>14,900</w:t>
            </w:r>
          </w:p>
        </w:tc>
      </w:tr>
      <w:tr>
        <w:trPr>
          <w:trHeight w:val="27"/>
        </w:trPr>
        <w:tc>
          <w:tcPr>
            <w:tcW w:w="9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(11,531)</w:t>
            </w:r>
          </w:p>
        </w:tc>
      </w:tr>
      <w:tr>
        <w:trPr>
          <w:trHeight w:val="243"/>
        </w:trPr>
        <w:tc>
          <w:tcPr>
            <w:tcW w:w="9720" w:type="dxa"/>
            <w:vAlign w:val="bottom"/>
          </w:tcPr>
          <w:p>
            <w:pPr>
              <w:ind w:left="340"/>
              <w:spacing w:after="0"/>
              <w:rPr>
                <w:sz w:val="20"/>
                <w:szCs w:val="20"/>
                <w:color w:val="auto"/>
              </w:rPr>
            </w:pPr>
            <w:r>
              <w:rPr>
                <w:rFonts w:ascii="Arial" w:cs="Arial" w:eastAsia="Arial" w:hAnsi="Arial"/>
                <w:sz w:val="18"/>
                <w:szCs w:val="18"/>
                <w:color w:val="auto"/>
              </w:rPr>
              <w:t>Contingent consideration payments</w:t>
            </w:r>
          </w:p>
        </w:tc>
        <w:tc>
          <w:tcPr>
            <w:tcW w:w="140" w:type="dxa"/>
            <w:vAlign w:val="bottom"/>
          </w:tcPr>
          <w:p>
            <w:pPr>
              <w:spacing w:after="0"/>
              <w:rPr>
                <w:sz w:val="21"/>
                <w:szCs w:val="21"/>
                <w:color w:val="auto"/>
              </w:rPr>
            </w:pP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(1,208)</w:t>
            </w:r>
          </w:p>
        </w:tc>
      </w:tr>
      <w:tr>
        <w:trPr>
          <w:trHeight w:val="27"/>
        </w:trPr>
        <w:tc>
          <w:tcPr>
            <w:tcW w:w="9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15,647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120" w:firstLine="8"/>
        <w:spacing w:after="0" w:line="275" w:lineRule="auto"/>
        <w:tabs>
          <w:tab w:leader="none" w:pos="229" w:val="left"/>
        </w:tabs>
        <w:numPr>
          <w:ilvl w:val="0"/>
          <w:numId w:val="60"/>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4" w:lineRule="exact"/>
        <w:rPr>
          <w:sz w:val="20"/>
          <w:szCs w:val="20"/>
          <w:color w:val="auto"/>
        </w:rPr>
      </w:pPr>
    </w:p>
    <w:p>
      <w:pPr>
        <w:ind w:right="420" w:firstLine="389"/>
        <w:spacing w:after="0" w:line="259" w:lineRule="auto"/>
        <w:rPr>
          <w:sz w:val="20"/>
          <w:szCs w:val="20"/>
          <w:color w:val="auto"/>
        </w:rPr>
      </w:pPr>
      <w:r>
        <w:rPr>
          <w:rFonts w:ascii="Arial" w:cs="Arial" w:eastAsia="Arial" w:hAnsi="Arial"/>
          <w:sz w:val="18"/>
          <w:szCs w:val="18"/>
          <w:color w:val="auto"/>
        </w:rPr>
        <w:t>During fiscal year 2020, the Company revised the sales projections for RadiaDyne products as a result of reviews performed by executive management. The adjustments to the sales projections over the contractual earn-out period resulted in a $9.2 million reduction in the fair value of the contingent liability. It was also determined that one of the technical milestones would not be achieved, which resulted in an additional reduction in the liability of $2.7 million.</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presents the changes in fair value components of Level 3 instruments in the year ended May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2"/>
              </w:rPr>
              <w:t>Financial Assets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8"/>
              </w:rPr>
              <w:t>Financial Liabilities</w:t>
            </w:r>
          </w:p>
        </w:tc>
      </w:tr>
      <w:tr>
        <w:trPr>
          <w:trHeight w:val="156"/>
        </w:trPr>
        <w:tc>
          <w:tcPr>
            <w:tcW w:w="8080" w:type="dxa"/>
            <w:vAlign w:val="bottom"/>
          </w:tcPr>
          <w:p>
            <w:pPr>
              <w:spacing w:after="0"/>
              <w:rPr>
                <w:sz w:val="13"/>
                <w:szCs w:val="13"/>
                <w:color w:val="auto"/>
              </w:rPr>
            </w:pPr>
          </w:p>
        </w:tc>
        <w:tc>
          <w:tcPr>
            <w:tcW w:w="1640" w:type="dxa"/>
            <w:vAlign w:val="bottom"/>
            <w:gridSpan w:val="3"/>
          </w:tcPr>
          <w:p>
            <w:pPr>
              <w:jc w:val="center"/>
              <w:ind w:right="120"/>
              <w:spacing w:after="0" w:line="156" w:lineRule="exact"/>
              <w:rPr>
                <w:sz w:val="20"/>
                <w:szCs w:val="20"/>
                <w:color w:val="auto"/>
              </w:rPr>
            </w:pPr>
            <w:r>
              <w:rPr>
                <w:rFonts w:ascii="Arial" w:cs="Arial" w:eastAsia="Arial" w:hAnsi="Arial"/>
                <w:sz w:val="14"/>
                <w:szCs w:val="14"/>
                <w:color w:val="auto"/>
                <w:w w:val="92"/>
              </w:rPr>
              <w:t>Fair Value Measurements</w:t>
            </w:r>
          </w:p>
        </w:tc>
        <w:tc>
          <w:tcPr>
            <w:tcW w:w="1520" w:type="dxa"/>
            <w:vAlign w:val="bottom"/>
            <w:gridSpan w:val="2"/>
          </w:tcPr>
          <w:p>
            <w:pPr>
              <w:jc w:val="center"/>
              <w:spacing w:after="0" w:line="156" w:lineRule="exact"/>
              <w:rPr>
                <w:sz w:val="20"/>
                <w:szCs w:val="20"/>
                <w:color w:val="auto"/>
              </w:rPr>
            </w:pPr>
            <w:r>
              <w:rPr>
                <w:rFonts w:ascii="Arial" w:cs="Arial" w:eastAsia="Arial" w:hAnsi="Arial"/>
                <w:sz w:val="14"/>
                <w:szCs w:val="14"/>
                <w:color w:val="auto"/>
                <w:w w:val="92"/>
              </w:rPr>
              <w:t>Fair Value Measurements</w:t>
            </w:r>
          </w:p>
        </w:tc>
      </w:tr>
      <w:tr>
        <w:trPr>
          <w:trHeight w:val="148"/>
        </w:trPr>
        <w:tc>
          <w:tcPr>
            <w:tcW w:w="8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Using Significant</w:t>
            </w:r>
          </w:p>
        </w:tc>
        <w:tc>
          <w:tcPr>
            <w:tcW w:w="140" w:type="dxa"/>
            <w:vAlign w:val="bottom"/>
          </w:tcPr>
          <w:p>
            <w:pPr>
              <w:spacing w:after="0"/>
              <w:rPr>
                <w:sz w:val="12"/>
                <w:szCs w:val="12"/>
                <w:color w:val="auto"/>
              </w:rPr>
            </w:pPr>
          </w:p>
        </w:tc>
        <w:tc>
          <w:tcPr>
            <w:tcW w:w="138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5"/>
              </w:rPr>
              <w:t>Using Significant</w:t>
            </w:r>
          </w:p>
        </w:tc>
      </w:tr>
      <w:tr>
        <w:trPr>
          <w:trHeight w:val="148"/>
        </w:trPr>
        <w:tc>
          <w:tcPr>
            <w:tcW w:w="8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Unobservable Inputs</w:t>
            </w:r>
          </w:p>
        </w:tc>
        <w:tc>
          <w:tcPr>
            <w:tcW w:w="140" w:type="dxa"/>
            <w:vAlign w:val="bottom"/>
          </w:tcPr>
          <w:p>
            <w:pPr>
              <w:spacing w:after="0"/>
              <w:rPr>
                <w:sz w:val="12"/>
                <w:szCs w:val="12"/>
                <w:color w:val="auto"/>
              </w:rPr>
            </w:pPr>
          </w:p>
        </w:tc>
        <w:tc>
          <w:tcPr>
            <w:tcW w:w="138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3"/>
              </w:rPr>
              <w:t>Unobservable Inputs</w:t>
            </w: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(Level 3)</w:t>
            </w:r>
          </w:p>
        </w:tc>
        <w:tc>
          <w:tcPr>
            <w:tcW w:w="140" w:type="dxa"/>
            <w:vAlign w:val="bottom"/>
          </w:tcPr>
          <w:p>
            <w:pPr>
              <w:spacing w:after="0"/>
              <w:rPr>
                <w:sz w:val="16"/>
                <w:szCs w:val="16"/>
                <w:color w:val="auto"/>
              </w:rPr>
            </w:pPr>
          </w:p>
        </w:tc>
        <w:tc>
          <w:tcPr>
            <w:tcW w:w="1380" w:type="dxa"/>
            <w:vAlign w:val="bottom"/>
          </w:tcPr>
          <w:p>
            <w:pPr>
              <w:jc w:val="center"/>
              <w:ind w:right="57"/>
              <w:spacing w:after="0"/>
              <w:rPr>
                <w:sz w:val="20"/>
                <w:szCs w:val="20"/>
                <w:color w:val="auto"/>
              </w:rPr>
            </w:pPr>
            <w:r>
              <w:rPr>
                <w:rFonts w:ascii="Arial" w:cs="Arial" w:eastAsia="Arial" w:hAnsi="Arial"/>
                <w:sz w:val="14"/>
                <w:szCs w:val="14"/>
                <w:color w:val="auto"/>
                <w:w w:val="95"/>
              </w:rPr>
              <w:t>(Level 3)</w:t>
            </w:r>
          </w:p>
        </w:tc>
      </w:tr>
      <w:tr>
        <w:trPr>
          <w:trHeight w:val="250"/>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3,261</w:t>
            </w:r>
          </w:p>
        </w:tc>
      </w:tr>
      <w:tr>
        <w:trPr>
          <w:trHeight w:val="243"/>
        </w:trPr>
        <w:tc>
          <w:tcPr>
            <w:tcW w:w="8080" w:type="dxa"/>
            <w:vAlign w:val="bottom"/>
          </w:tcPr>
          <w:p>
            <w:pPr>
              <w:ind w:left="340"/>
              <w:spacing w:after="0"/>
              <w:rPr>
                <w:sz w:val="20"/>
                <w:szCs w:val="20"/>
                <w:color w:val="auto"/>
              </w:rPr>
            </w:pPr>
            <w:r>
              <w:rPr>
                <w:rFonts w:ascii="Arial" w:cs="Arial" w:eastAsia="Arial" w:hAnsi="Arial"/>
                <w:sz w:val="18"/>
                <w:szCs w:val="18"/>
                <w:color w:val="auto"/>
              </w:rPr>
              <w:t>Contingent consideration liabilities recorded as a result of the acquisitions (Note 2)</w:t>
            </w:r>
          </w:p>
        </w:tc>
        <w:tc>
          <w:tcPr>
            <w:tcW w:w="1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ind w:right="77"/>
              <w:spacing w:after="0"/>
              <w:rPr>
                <w:sz w:val="20"/>
                <w:szCs w:val="20"/>
                <w:color w:val="auto"/>
              </w:rPr>
            </w:pPr>
            <w:r>
              <w:rPr>
                <w:rFonts w:ascii="Arial" w:cs="Arial" w:eastAsia="Arial" w:hAnsi="Arial"/>
                <w:sz w:val="18"/>
                <w:szCs w:val="18"/>
                <w:color w:val="auto"/>
              </w:rPr>
              <w:t>25,101</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Change in fair value of contingent consideration </w:t>
            </w: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(6,776)</w:t>
            </w:r>
          </w:p>
        </w:tc>
      </w:tr>
      <w:tr>
        <w:trPr>
          <w:trHeight w:val="243"/>
        </w:trPr>
        <w:tc>
          <w:tcPr>
            <w:tcW w:w="8080" w:type="dxa"/>
            <w:vAlign w:val="bottom"/>
          </w:tcPr>
          <w:p>
            <w:pPr>
              <w:ind w:left="340"/>
              <w:spacing w:after="0"/>
              <w:rPr>
                <w:sz w:val="20"/>
                <w:szCs w:val="20"/>
                <w:color w:val="auto"/>
              </w:rPr>
            </w:pPr>
            <w:r>
              <w:rPr>
                <w:rFonts w:ascii="Arial" w:cs="Arial" w:eastAsia="Arial" w:hAnsi="Arial"/>
                <w:sz w:val="18"/>
                <w:szCs w:val="18"/>
                <w:color w:val="auto"/>
              </w:rPr>
              <w:t>Fair market value adjustments</w:t>
            </w:r>
          </w:p>
        </w:tc>
        <w:tc>
          <w:tcPr>
            <w:tcW w:w="140" w:type="dxa"/>
            <w:vAlign w:val="bottom"/>
          </w:tcPr>
          <w:p>
            <w:pPr>
              <w:spacing w:after="0"/>
              <w:rPr>
                <w:sz w:val="21"/>
                <w:szCs w:val="21"/>
                <w:color w:val="auto"/>
              </w:rPr>
            </w:pP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77"/>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340"/>
              <w:spacing w:after="0"/>
              <w:rPr>
                <w:sz w:val="20"/>
                <w:szCs w:val="20"/>
                <w:color w:val="auto"/>
              </w:rPr>
            </w:pPr>
            <w:r>
              <w:rPr>
                <w:rFonts w:ascii="Arial" w:cs="Arial" w:eastAsia="Arial" w:hAnsi="Arial"/>
                <w:sz w:val="18"/>
                <w:szCs w:val="18"/>
                <w:color w:val="auto"/>
              </w:rPr>
              <w:t>Contingent consideration payments</w:t>
            </w:r>
          </w:p>
        </w:tc>
        <w:tc>
          <w:tcPr>
            <w:tcW w:w="1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(8,100)</w:t>
            </w:r>
          </w:p>
        </w:tc>
      </w:tr>
      <w:tr>
        <w:trPr>
          <w:trHeight w:val="27"/>
        </w:trPr>
        <w:tc>
          <w:tcPr>
            <w:tcW w:w="8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13,486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120" w:firstLine="8"/>
        <w:spacing w:after="0" w:line="275" w:lineRule="auto"/>
        <w:tabs>
          <w:tab w:leader="none" w:pos="229"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4" w:lineRule="exact"/>
        <w:rPr>
          <w:sz w:val="20"/>
          <w:szCs w:val="20"/>
          <w:color w:val="auto"/>
        </w:rPr>
      </w:pPr>
    </w:p>
    <w:p>
      <w:pPr>
        <w:ind w:right="40" w:firstLine="389"/>
        <w:spacing w:after="0" w:line="263" w:lineRule="auto"/>
        <w:rPr>
          <w:sz w:val="20"/>
          <w:szCs w:val="20"/>
          <w:color w:val="auto"/>
        </w:rPr>
      </w:pPr>
      <w:r>
        <w:rPr>
          <w:rFonts w:ascii="Arial" w:cs="Arial" w:eastAsia="Arial" w:hAnsi="Arial"/>
          <w:sz w:val="18"/>
          <w:szCs w:val="18"/>
          <w:color w:val="auto"/>
        </w:rPr>
        <w:t>In the fourth quarter of fiscal year 2019, the Company revised the sales projections for RadiaDyne products as a result of reviews performed by executive management. The adjustments to the sales projections over the contractual earn-out period resulted in a $8.4 million reduction in the fair value of the contingent liability.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Liability for Acquisition Earn Outs</w:t>
      </w:r>
    </w:p>
    <w:p>
      <w:pPr>
        <w:spacing w:after="0" w:line="171" w:lineRule="exact"/>
        <w:rPr>
          <w:sz w:val="20"/>
          <w:szCs w:val="20"/>
          <w:color w:val="auto"/>
        </w:rPr>
      </w:pPr>
    </w:p>
    <w:p>
      <w:pPr>
        <w:ind w:right="60" w:firstLine="389"/>
        <w:spacing w:after="0" w:line="255" w:lineRule="auto"/>
        <w:rPr>
          <w:sz w:val="20"/>
          <w:szCs w:val="20"/>
          <w:color w:val="auto"/>
        </w:rPr>
      </w:pPr>
      <w:r>
        <w:rPr>
          <w:rFonts w:ascii="Arial" w:cs="Arial" w:eastAsia="Arial" w:hAnsi="Arial"/>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138" w:lineRule="exact"/>
        <w:rPr>
          <w:sz w:val="20"/>
          <w:szCs w:val="20"/>
          <w:color w:val="auto"/>
        </w:rPr>
      </w:pPr>
    </w:p>
    <w:p>
      <w:pPr>
        <w:ind w:right="20" w:firstLine="389"/>
        <w:spacing w:after="0" w:line="257" w:lineRule="auto"/>
        <w:rPr>
          <w:sz w:val="20"/>
          <w:szCs w:val="20"/>
          <w:color w:val="auto"/>
        </w:rPr>
      </w:pPr>
      <w:r>
        <w:rPr>
          <w:rFonts w:ascii="Arial" w:cs="Arial" w:eastAsia="Arial" w:hAnsi="Arial"/>
          <w:sz w:val="18"/>
          <w:szCs w:val="18"/>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86" w:name="page87"/>
    <w:bookmarkEnd w:id="86"/>
    <w:p>
      <w:pPr>
        <w:ind w:left="400"/>
        <w:spacing w:after="0"/>
        <w:rPr>
          <w:sz w:val="20"/>
          <w:szCs w:val="20"/>
          <w:color w:val="auto"/>
        </w:rPr>
      </w:pPr>
      <w:r>
        <w:rPr>
          <w:rFonts w:ascii="Arial" w:cs="Arial" w:eastAsia="Arial" w:hAnsi="Arial"/>
          <w:sz w:val="16"/>
          <w:szCs w:val="16"/>
          <w:color w:val="auto"/>
        </w:rPr>
        <w:t>The recurring Level 3 fair value measurements of the contingent consideration liabilities include the following significant unobservable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2020:</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Fair Value</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Valuation Technique</w:t>
            </w:r>
          </w:p>
        </w:tc>
        <w:tc>
          <w:tcPr>
            <w:tcW w:w="100" w:type="dxa"/>
            <w:vAlign w:val="bottom"/>
            <w:tcBorders>
              <w:bottom w:val="single" w:sz="8" w:color="CCEEFF"/>
            </w:tcBorders>
          </w:tcPr>
          <w:p>
            <w:pPr>
              <w:spacing w:after="0"/>
              <w:rPr>
                <w:sz w:val="16"/>
                <w:szCs w:val="16"/>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Unobservable Input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Range</w:t>
            </w:r>
          </w:p>
        </w:tc>
      </w:tr>
      <w:tr>
        <w:trPr>
          <w:trHeight w:val="249"/>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based payments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14,811</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Discount rate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70"/>
        </w:trPr>
        <w:tc>
          <w:tcPr>
            <w:tcW w:w="2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66% - 100%</w:t>
            </w:r>
          </w:p>
        </w:tc>
      </w:tr>
      <w:tr>
        <w:trPr>
          <w:trHeight w:val="243"/>
        </w:trPr>
        <w:tc>
          <w:tcPr>
            <w:tcW w:w="2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Projected fiscal year of payment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2024 - 2025</w:t>
            </w:r>
          </w:p>
        </w:tc>
      </w:tr>
      <w:tr>
        <w:trPr>
          <w:trHeight w:val="27"/>
        </w:trPr>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Technical milestones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probability</w:t>
            </w:r>
          </w:p>
        </w:tc>
        <w:tc>
          <w:tcPr>
            <w:tcW w:w="3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Estimated probability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w:t>
            </w:r>
          </w:p>
        </w:tc>
      </w:tr>
      <w:tr>
        <w:trPr>
          <w:trHeight w:val="243"/>
        </w:trPr>
        <w:tc>
          <w:tcPr>
            <w:tcW w:w="2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Projected year of payment</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7"/>
        </w:trPr>
        <w:tc>
          <w:tcPr>
            <w:tcW w:w="2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8"/>
        </w:trPr>
        <w:tc>
          <w:tcPr>
            <w:tcW w:w="29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15,647</w:t>
            </w:r>
          </w:p>
        </w:tc>
        <w:tc>
          <w:tcPr>
            <w:tcW w:w="12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620" w:firstLine="389"/>
        <w:spacing w:after="0" w:line="311" w:lineRule="auto"/>
        <w:rPr>
          <w:sz w:val="20"/>
          <w:szCs w:val="20"/>
          <w:color w:val="auto"/>
        </w:rPr>
      </w:pPr>
      <w:r>
        <w:rPr>
          <w:rFonts w:ascii="Arial" w:cs="Arial" w:eastAsia="Arial" w:hAnsi="Arial"/>
          <w:sz w:val="16"/>
          <w:szCs w:val="16"/>
          <w:color w:val="auto"/>
        </w:rPr>
        <w:t>At May 31, 2020, the amount of undiscounted future contingent consideration that the Company expects to pay as a result of all completed acquisitions is approximately $21.0 million. The milestones, including revenue projections and technical milestones, associated with the contingent consideration must be reached in future periods ranging from fiscal years 2021 to 2025 in order for the associated consideration to be paid.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252" w:lineRule="exact"/>
        <w:rPr>
          <w:sz w:val="20"/>
          <w:szCs w:val="20"/>
          <w:color w:val="auto"/>
        </w:rPr>
      </w:pPr>
    </w:p>
    <w:p>
      <w:pPr>
        <w:ind w:right="140" w:firstLine="389"/>
        <w:spacing w:after="0" w:line="277" w:lineRule="auto"/>
        <w:rPr>
          <w:sz w:val="20"/>
          <w:szCs w:val="20"/>
          <w:color w:val="auto"/>
        </w:rPr>
      </w:pPr>
      <w:r>
        <w:rPr>
          <w:rFonts w:ascii="Arial" w:cs="Arial" w:eastAsia="Arial" w:hAnsi="Arial"/>
          <w:sz w:val="18"/>
          <w:szCs w:val="18"/>
          <w:color w:val="auto"/>
        </w:rPr>
        <w:t>The Company recorded a goodwill impairment charge of $158.6 million as of May 31, 2020 to write down the carrying value of the reporting unit to fair value using Level 3 inputs.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other items measured at fair value on a nonrecurring basis during the year ended May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 are stated at lower of cost and net realizable value (using the first-in, first-out method). Inventories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May 31, 2020</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May 31, 2019</w:t>
            </w:r>
          </w:p>
        </w:tc>
      </w:tr>
      <w:tr>
        <w:trPr>
          <w:trHeight w:val="250"/>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16,045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6,786</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28,279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17,240</w:t>
            </w:r>
          </w:p>
        </w:tc>
      </w:tr>
      <w:tr>
        <w:trPr>
          <w:trHeight w:val="237"/>
        </w:trPr>
        <w:tc>
          <w:tcPr>
            <w:tcW w:w="826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59,905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40,071</w:t>
            </w:r>
          </w:p>
        </w:tc>
      </w:tr>
      <w:tr>
        <w:trPr>
          <w:trHeight w:val="27"/>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389"/>
        <w:spacing w:after="0" w:line="263" w:lineRule="auto"/>
        <w:rPr>
          <w:sz w:val="20"/>
          <w:szCs w:val="20"/>
          <w:color w:val="auto"/>
        </w:rPr>
      </w:pPr>
      <w:r>
        <w:rPr>
          <w:rFonts w:ascii="Arial" w:cs="Arial" w:eastAsia="Arial" w:hAnsi="Arial"/>
          <w:sz w:val="18"/>
          <w:szCs w:val="18"/>
          <w:color w:val="auto"/>
        </w:rPr>
        <w:t>The Company periodically reviews its inventory for both obsolescence and loss of value. The Company makes assumptions about the future demand for and market value of the inventory. Based on these assumptions, the Company estimates the amount of obsolete, expiring and slow moving inventory. The total inventory reserve at May 31, 2020 and 2019 was $4.7 million and $4.2 million,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EXPENSES AND OTHER</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Prepaid expenses and other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May 31, 2020</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color w:val="auto"/>
              </w:rPr>
              <w:t>May 31, 2019</w:t>
            </w:r>
          </w:p>
        </w:tc>
      </w:tr>
      <w:tr>
        <w:trPr>
          <w:trHeight w:val="249"/>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TSA receivable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Software licenses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1,131</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fees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Trade shows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213</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199</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Other prepaid taxes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112</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2,203</w:t>
            </w:r>
          </w:p>
        </w:tc>
      </w:tr>
      <w:tr>
        <w:trPr>
          <w:trHeight w:val="236"/>
        </w:trPr>
        <w:tc>
          <w:tcPr>
            <w:tcW w:w="826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4,003</w:t>
            </w:r>
          </w:p>
        </w:tc>
      </w:tr>
      <w:tr>
        <w:trPr>
          <w:trHeight w:val="27"/>
        </w:trPr>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7" w:name="page88"/>
    <w:bookmarkEnd w:id="87"/>
    <w:p>
      <w:pPr>
        <w:ind w:left="400" w:right="6660" w:hanging="392"/>
        <w:spacing w:after="0" w:line="497" w:lineRule="auto"/>
        <w:tabs>
          <w:tab w:leader="none" w:pos="191"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PROPERTY, PLANT AND EQUIPMENT, NET </w:t>
      </w:r>
      <w:r>
        <w:rPr>
          <w:rFonts w:ascii="Arial" w:cs="Arial" w:eastAsia="Arial" w:hAnsi="Arial"/>
          <w:sz w:val="17"/>
          <w:szCs w:val="17"/>
          <w:color w:val="auto"/>
        </w:rPr>
        <w:t>Property, plant and equipment are summarized as follows:</w:t>
      </w: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May 31, 2020</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color w:val="auto"/>
              </w:rPr>
              <w:t>May 31, 2019</w:t>
            </w:r>
          </w:p>
        </w:tc>
      </w:tr>
      <w:tr>
        <w:trPr>
          <w:trHeight w:val="250"/>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 and building improvements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24,535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13,602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14,029</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24,980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1,239</w:t>
            </w: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64,783</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(40,661)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(41,608)</w:t>
            </w: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23,175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Land and land improvements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1,083</w:t>
            </w: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28,312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24,258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Depreciation expense for fiscal years 2020, 2019 and 2018 was $3.3 million, $3.1 million and $3.4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180" w:firstLine="389"/>
        <w:spacing w:after="0" w:line="279" w:lineRule="auto"/>
        <w:rPr>
          <w:sz w:val="20"/>
          <w:szCs w:val="20"/>
          <w:color w:val="auto"/>
        </w:rPr>
      </w:pPr>
      <w:r>
        <w:rPr>
          <w:rFonts w:ascii="Arial" w:cs="Arial" w:eastAsia="Arial" w:hAnsi="Arial"/>
          <w:sz w:val="17"/>
          <w:szCs w:val="17"/>
          <w:color w:val="auto"/>
        </w:rPr>
        <w:t>The Company's annual testing for impairment of goodwill was completed as of December 31, 2019.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 as of December 31, 2019.</w:t>
      </w:r>
    </w:p>
    <w:p>
      <w:pPr>
        <w:spacing w:after="0" w:line="117" w:lineRule="exact"/>
        <w:rPr>
          <w:sz w:val="20"/>
          <w:szCs w:val="20"/>
          <w:color w:val="auto"/>
        </w:rPr>
      </w:pPr>
    </w:p>
    <w:p>
      <w:pPr>
        <w:ind w:right="160" w:firstLine="389"/>
        <w:spacing w:after="0" w:line="301" w:lineRule="auto"/>
        <w:rPr>
          <w:sz w:val="20"/>
          <w:szCs w:val="20"/>
          <w:color w:val="auto"/>
        </w:rPr>
      </w:pPr>
      <w:r>
        <w:rPr>
          <w:rFonts w:ascii="Arial" w:cs="Arial" w:eastAsia="Arial" w:hAnsi="Arial"/>
          <w:sz w:val="16"/>
          <w:szCs w:val="16"/>
          <w:color w:val="auto"/>
        </w:rPr>
        <w:t>As a result of the current economic environment and the impact that the COVID-19 global pandemic has had on the global capital markets, the Company’s market capitalization was below its reporting unit’s carry value as of February 29, 2020; however, it was concluded that this decline in market capitalization was temporary. In the fourth quarter of fiscal year 2020, the Company concluded that the sustained decline in its market capitalization represented an impairment indicator that required the Company to perform an interim test for goodwill impairment as of May 31, 2020.</w:t>
      </w:r>
    </w:p>
    <w:p>
      <w:pPr>
        <w:spacing w:after="0" w:line="103" w:lineRule="exact"/>
        <w:rPr>
          <w:sz w:val="20"/>
          <w:szCs w:val="20"/>
          <w:color w:val="auto"/>
        </w:rPr>
      </w:pPr>
    </w:p>
    <w:p>
      <w:pPr>
        <w:ind w:right="40" w:firstLine="389"/>
        <w:spacing w:after="0" w:line="290" w:lineRule="auto"/>
        <w:rPr>
          <w:sz w:val="20"/>
          <w:szCs w:val="20"/>
          <w:color w:val="auto"/>
        </w:rPr>
      </w:pPr>
      <w:r>
        <w:rPr>
          <w:rFonts w:ascii="Arial" w:cs="Arial" w:eastAsia="Arial" w:hAnsi="Arial"/>
          <w:sz w:val="16"/>
          <w:szCs w:val="16"/>
          <w:color w:val="auto"/>
        </w:rPr>
        <w:t>To determine the fair value of the single reporting unit as of May 31, 2020, the Company utilized a weighting of fair values derived from the income approach and the market approach. The income approach is based on the projected cash flows that are discounted to their present value using discount rates that consider the timing and risk of the forecasted cash flows. Fair value is estimated using internally developed forecasts and assumptions.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estimates fair values based on the determination of appropriate publicly traded market comparison companies and market multiples of revenue and earnings derived from those companies with similar operating and investment characteristics as the Company being valued. Finally, the Company compared and reconciled the Company’s overall fair value to its market capitalization in order to assess the reasonableness of the calculated fair values of the reporting unit.</w:t>
      </w:r>
    </w:p>
    <w:p>
      <w:pPr>
        <w:spacing w:after="0" w:line="111" w:lineRule="exact"/>
        <w:rPr>
          <w:sz w:val="20"/>
          <w:szCs w:val="20"/>
          <w:color w:val="auto"/>
        </w:rPr>
      </w:pPr>
    </w:p>
    <w:p>
      <w:pPr>
        <w:ind w:right="120" w:firstLine="389"/>
        <w:spacing w:after="0" w:line="263" w:lineRule="auto"/>
        <w:rPr>
          <w:sz w:val="20"/>
          <w:szCs w:val="20"/>
          <w:color w:val="auto"/>
        </w:rPr>
      </w:pPr>
      <w:r>
        <w:rPr>
          <w:rFonts w:ascii="Arial" w:cs="Arial" w:eastAsia="Arial" w:hAnsi="Arial"/>
          <w:sz w:val="18"/>
          <w:szCs w:val="18"/>
          <w:color w:val="auto"/>
        </w:rPr>
        <w:t>Based on the results of this evaluation, the Company recorded a goodwill impairment charge of $158.6 million as of May 31, 2020 to write down the carrying value of the reporting unit to fair value. The impairment loss is disclosed separately on the face of the accompanying consolidated statements of operations.</w:t>
      </w:r>
    </w:p>
    <w:p>
      <w:pPr>
        <w:spacing w:after="0" w:line="130" w:lineRule="exact"/>
        <w:rPr>
          <w:sz w:val="20"/>
          <w:szCs w:val="20"/>
          <w:color w:val="auto"/>
        </w:rPr>
      </w:pPr>
    </w:p>
    <w:p>
      <w:pPr>
        <w:ind w:right="80" w:firstLine="389"/>
        <w:spacing w:after="0" w:line="308" w:lineRule="auto"/>
        <w:rPr>
          <w:sz w:val="20"/>
          <w:szCs w:val="20"/>
          <w:color w:val="auto"/>
        </w:rPr>
      </w:pPr>
      <w:r>
        <w:rPr>
          <w:rFonts w:ascii="Arial" w:cs="Arial" w:eastAsia="Arial" w:hAnsi="Arial"/>
          <w:sz w:val="17"/>
          <w:szCs w:val="17"/>
          <w:color w:val="auto"/>
        </w:rPr>
        <w:t>The assumptions related to the development of fair value could deviate materially from actual results and forecasts used to support the assets carrying value and may change in the future, which could result in impairment charges that would adversely affect financial results of operations.</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changes in the carrying amount of goodwill for the year ended May 31, 2020 were as follows: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balance at May 31, 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347,666</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Additions for Eximo acquisition (Note 2)</w:t>
            </w:r>
          </w:p>
        </w:tc>
        <w:tc>
          <w:tcPr>
            <w:tcW w:w="3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11,427</w:t>
            </w:r>
          </w:p>
        </w:tc>
      </w:tr>
      <w:tr>
        <w:trPr>
          <w:trHeight w:val="27"/>
        </w:trPr>
        <w:tc>
          <w:tcPr>
            <w:tcW w:w="9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(158,578)</w:t>
            </w: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color w:val="auto"/>
              </w:rPr>
              <w:t>Goodwill balance at May 31, 2020</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200,515</w:t>
            </w:r>
          </w:p>
        </w:tc>
      </w:tr>
      <w:tr>
        <w:trPr>
          <w:trHeight w:val="27"/>
        </w:trPr>
        <w:tc>
          <w:tcPr>
            <w:tcW w:w="9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 Lived Intangible Assets</w:t>
      </w:r>
    </w:p>
    <w:p>
      <w:pPr>
        <w:spacing w:after="0" w:line="171" w:lineRule="exact"/>
        <w:rPr>
          <w:sz w:val="20"/>
          <w:szCs w:val="20"/>
          <w:color w:val="auto"/>
        </w:rPr>
      </w:pPr>
    </w:p>
    <w:p>
      <w:pPr>
        <w:ind w:right="60" w:firstLine="389"/>
        <w:spacing w:after="0" w:line="279" w:lineRule="auto"/>
        <w:rPr>
          <w:sz w:val="20"/>
          <w:szCs w:val="20"/>
          <w:color w:val="auto"/>
        </w:rPr>
      </w:pPr>
      <w:r>
        <w:rPr>
          <w:rFonts w:ascii="Arial" w:cs="Arial" w:eastAsia="Arial" w:hAnsi="Arial"/>
          <w:sz w:val="17"/>
          <w:szCs w:val="17"/>
          <w:color w:val="auto"/>
        </w:rPr>
        <w:t>Definite lived intangible assets consist primarily of product technologies and customer relationships and are amortized over their estimated useful lives, which range between two to eighteen years, on either a straight-line basis over the expected period of benefit or as revenues are earned from the sales of the related product. Amortization expense was $18.1 million, $17.1 million and $13.9 million for fiscal years 2020, 2019 and 2018, respectively. There were no impairment charges on definite lived intangible assets for the years ended May 31, 2020, 2019 and 2018.</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May 31, 2020</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6"/>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6" w:lineRule="exact"/>
              <w:rPr>
                <w:sz w:val="20"/>
                <w:szCs w:val="20"/>
                <w:color w:val="auto"/>
              </w:rPr>
            </w:pPr>
            <w:r>
              <w:rPr>
                <w:rFonts w:ascii="Arial" w:cs="Arial" w:eastAsia="Arial" w:hAnsi="Arial"/>
                <w:sz w:val="14"/>
                <w:szCs w:val="14"/>
                <w:color w:val="auto"/>
                <w:w w:val="94"/>
              </w:rPr>
              <w:t>Gross carrying</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6" w:lineRule="exact"/>
              <w:rPr>
                <w:sz w:val="20"/>
                <w:szCs w:val="20"/>
                <w:color w:val="auto"/>
              </w:rPr>
            </w:pPr>
            <w:r>
              <w:rPr>
                <w:rFonts w:ascii="Arial" w:cs="Arial" w:eastAsia="Arial" w:hAnsi="Arial"/>
                <w:sz w:val="14"/>
                <w:szCs w:val="14"/>
                <w:color w:val="auto"/>
                <w:w w:val="93"/>
              </w:rPr>
              <w:t>Accumulated</w:t>
            </w:r>
          </w:p>
        </w:tc>
        <w:tc>
          <w:tcPr>
            <w:tcW w:w="240" w:type="dxa"/>
            <w:vAlign w:val="bottom"/>
          </w:tcPr>
          <w:p>
            <w:pPr>
              <w:spacing w:after="0"/>
              <w:rPr>
                <w:sz w:val="13"/>
                <w:szCs w:val="13"/>
                <w:color w:val="auto"/>
              </w:rPr>
            </w:pPr>
          </w:p>
        </w:tc>
        <w:tc>
          <w:tcPr>
            <w:tcW w:w="1200" w:type="dxa"/>
            <w:vAlign w:val="bottom"/>
          </w:tcPr>
          <w:p>
            <w:pPr>
              <w:jc w:val="center"/>
              <w:ind w:right="155"/>
              <w:spacing w:after="0" w:line="156" w:lineRule="exact"/>
              <w:rPr>
                <w:sz w:val="20"/>
                <w:szCs w:val="20"/>
                <w:color w:val="auto"/>
              </w:rPr>
            </w:pPr>
            <w:r>
              <w:rPr>
                <w:rFonts w:ascii="Arial" w:cs="Arial" w:eastAsia="Arial" w:hAnsi="Arial"/>
                <w:sz w:val="14"/>
                <w:szCs w:val="14"/>
                <w:color w:val="auto"/>
                <w:w w:val="95"/>
              </w:rPr>
              <w:t>Net carrying</w:t>
            </w:r>
          </w:p>
        </w:tc>
      </w:tr>
      <w:tr>
        <w:trPr>
          <w:trHeight w:val="188"/>
        </w:trPr>
        <w:tc>
          <w:tcPr>
            <w:tcW w:w="6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amortization</w:t>
            </w:r>
          </w:p>
        </w:tc>
        <w:tc>
          <w:tcPr>
            <w:tcW w:w="240" w:type="dxa"/>
            <w:vAlign w:val="bottom"/>
          </w:tcPr>
          <w:p>
            <w:pPr>
              <w:spacing w:after="0"/>
              <w:rPr>
                <w:sz w:val="16"/>
                <w:szCs w:val="16"/>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color w:val="auto"/>
                <w:w w:val="95"/>
              </w:rPr>
              <w:t>value</w:t>
            </w:r>
          </w:p>
        </w:tc>
      </w:tr>
      <w:tr>
        <w:trPr>
          <w:trHeight w:val="250"/>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251,569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163,022</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60,160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(30,018)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30,142</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3,459</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Licenses</w:t>
            </w:r>
          </w:p>
        </w:tc>
        <w:tc>
          <w:tcPr>
            <w:tcW w:w="2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6,087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513</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6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327,966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(130,830)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197,136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6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May 31, 2019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56"/>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6" w:lineRule="exact"/>
              <w:rPr>
                <w:sz w:val="20"/>
                <w:szCs w:val="20"/>
                <w:color w:val="auto"/>
              </w:rPr>
            </w:pPr>
            <w:r>
              <w:rPr>
                <w:rFonts w:ascii="Arial" w:cs="Arial" w:eastAsia="Arial" w:hAnsi="Arial"/>
                <w:sz w:val="14"/>
                <w:szCs w:val="14"/>
                <w:color w:val="auto"/>
                <w:w w:val="94"/>
              </w:rPr>
              <w:t>Gross carrying</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6" w:lineRule="exact"/>
              <w:rPr>
                <w:sz w:val="20"/>
                <w:szCs w:val="20"/>
                <w:color w:val="auto"/>
              </w:rPr>
            </w:pPr>
            <w:r>
              <w:rPr>
                <w:rFonts w:ascii="Arial" w:cs="Arial" w:eastAsia="Arial" w:hAnsi="Arial"/>
                <w:sz w:val="14"/>
                <w:szCs w:val="14"/>
                <w:color w:val="auto"/>
                <w:w w:val="93"/>
              </w:rPr>
              <w:t>Accumulated</w:t>
            </w:r>
          </w:p>
        </w:tc>
        <w:tc>
          <w:tcPr>
            <w:tcW w:w="240" w:type="dxa"/>
            <w:vAlign w:val="bottom"/>
          </w:tcPr>
          <w:p>
            <w:pPr>
              <w:spacing w:after="0"/>
              <w:rPr>
                <w:sz w:val="13"/>
                <w:szCs w:val="13"/>
                <w:color w:val="auto"/>
              </w:rPr>
            </w:pPr>
          </w:p>
        </w:tc>
        <w:tc>
          <w:tcPr>
            <w:tcW w:w="1200" w:type="dxa"/>
            <w:vAlign w:val="bottom"/>
          </w:tcPr>
          <w:p>
            <w:pPr>
              <w:jc w:val="center"/>
              <w:ind w:right="155"/>
              <w:spacing w:after="0" w:line="156" w:lineRule="exact"/>
              <w:rPr>
                <w:sz w:val="20"/>
                <w:szCs w:val="20"/>
                <w:color w:val="auto"/>
              </w:rPr>
            </w:pPr>
            <w:r>
              <w:rPr>
                <w:rFonts w:ascii="Arial" w:cs="Arial" w:eastAsia="Arial" w:hAnsi="Arial"/>
                <w:sz w:val="14"/>
                <w:szCs w:val="14"/>
                <w:color w:val="auto"/>
                <w:w w:val="95"/>
              </w:rPr>
              <w:t>Net carrying</w:t>
            </w:r>
          </w:p>
        </w:tc>
      </w:tr>
      <w:tr>
        <w:trPr>
          <w:trHeight w:val="188"/>
        </w:trPr>
        <w:tc>
          <w:tcPr>
            <w:tcW w:w="6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amortization</w:t>
            </w:r>
          </w:p>
        </w:tc>
        <w:tc>
          <w:tcPr>
            <w:tcW w:w="240" w:type="dxa"/>
            <w:vAlign w:val="bottom"/>
          </w:tcPr>
          <w:p>
            <w:pPr>
              <w:spacing w:after="0"/>
              <w:rPr>
                <w:sz w:val="16"/>
                <w:szCs w:val="16"/>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color w:val="auto"/>
                <w:w w:val="95"/>
              </w:rPr>
              <w:t>value</w:t>
            </w:r>
          </w:p>
        </w:tc>
      </w:tr>
      <w:tr>
        <w:trPr>
          <w:trHeight w:val="24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182,971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107,559</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60,166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(25,950)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34,216</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2,896</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Licenses</w:t>
            </w:r>
          </w:p>
        </w:tc>
        <w:tc>
          <w:tcPr>
            <w:tcW w:w="2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716</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6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258,189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(112,802)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145,387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Annual amortization of these intangible assets is expected to approximate the following amounts for each of the next five fiscal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18,604</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18,001</w:t>
            </w:r>
          </w:p>
        </w:tc>
      </w:tr>
      <w:tr>
        <w:trPr>
          <w:trHeight w:val="27"/>
        </w:trPr>
        <w:tc>
          <w:tcPr>
            <w:tcW w:w="9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17,941</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16,369</w:t>
            </w:r>
          </w:p>
        </w:tc>
      </w:tr>
      <w:tr>
        <w:trPr>
          <w:trHeight w:val="27"/>
        </w:trPr>
        <w:tc>
          <w:tcPr>
            <w:tcW w:w="9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17,221</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109,000</w:t>
            </w:r>
          </w:p>
        </w:tc>
      </w:tr>
      <w:tr>
        <w:trPr>
          <w:trHeight w:val="27"/>
        </w:trPr>
        <w:tc>
          <w:tcPr>
            <w:tcW w:w="9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197,136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loss from continuing operations before income tax benefit are as follows: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Year ended May 31,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before tax expense: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(166,984)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(15,593)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(18,454)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Non-U.S.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(168,135)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(14,702)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(17,263)</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0"/>
              <w:spacing w:after="0"/>
              <w:rPr>
                <w:sz w:val="20"/>
                <w:szCs w:val="20"/>
                <w:color w:val="auto"/>
              </w:rPr>
            </w:pPr>
            <w:r>
              <w:rPr>
                <w:rFonts w:ascii="Arial" w:cs="Arial" w:eastAsia="Arial" w:hAnsi="Arial"/>
                <w:sz w:val="18"/>
                <w:szCs w:val="18"/>
                <w:color w:val="auto"/>
              </w:rPr>
              <w:t>Income tax benefit is comprised of the following:</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Year ended May 31,</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Non U.S.</w:t>
            </w:r>
          </w:p>
        </w:tc>
        <w:tc>
          <w:tcPr>
            <w:tcW w:w="3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260" w:type="dxa"/>
            <w:vAlign w:val="bottom"/>
            <w:gridSpan w:val="4"/>
          </w:tcPr>
          <w:p>
            <w:pPr>
              <w:jc w:val="right"/>
              <w:ind w:right="660"/>
              <w:spacing w:after="0"/>
              <w:rPr>
                <w:sz w:val="20"/>
                <w:szCs w:val="20"/>
                <w:color w:val="auto"/>
              </w:rPr>
            </w:pPr>
            <w:r>
              <w:rPr>
                <w:rFonts w:ascii="Arial" w:cs="Arial" w:eastAsia="Arial" w:hAnsi="Arial"/>
                <w:sz w:val="18"/>
                <w:szCs w:val="18"/>
                <w:color w:val="auto"/>
                <w:w w:val="95"/>
              </w:rPr>
              <w:t>Temporary differences that give rise to deferred tax assets and liabilities are summarized as follows: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May 31, 2020</w:t>
            </w:r>
          </w:p>
        </w:tc>
        <w:tc>
          <w:tcPr>
            <w:tcW w:w="220" w:type="dxa"/>
            <w:vAlign w:val="bottom"/>
          </w:tcPr>
          <w:p>
            <w:pPr>
              <w:spacing w:after="0"/>
              <w:rPr>
                <w:sz w:val="24"/>
                <w:szCs w:val="24"/>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color w:val="auto"/>
              </w:rPr>
              <w:t>May 31, 2019</w:t>
            </w:r>
          </w:p>
        </w:tc>
        <w:tc>
          <w:tcPr>
            <w:tcW w:w="0" w:type="dxa"/>
            <w:vAlign w:val="bottom"/>
          </w:tcPr>
          <w:p>
            <w:pPr>
              <w:spacing w:after="0"/>
              <w:rPr>
                <w:sz w:val="1"/>
                <w:szCs w:val="1"/>
                <w:color w:val="auto"/>
              </w:rPr>
            </w:pPr>
          </w:p>
        </w:tc>
      </w:tr>
      <w:tr>
        <w:trPr>
          <w:trHeight w:val="236"/>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18,955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Federal and state R&amp;D tax credit carryforward</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Expenses incurred not currently deductible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7"/>
        </w:trPr>
        <w:tc>
          <w:tcPr>
            <w:tcW w:w="6740" w:type="dxa"/>
            <w:vAlign w:val="bottom"/>
          </w:tcPr>
          <w:p>
            <w:pPr>
              <w:ind w:left="660"/>
              <w:spacing w:after="0"/>
              <w:rPr>
                <w:sz w:val="20"/>
                <w:szCs w:val="20"/>
                <w:color w:val="auto"/>
              </w:rPr>
            </w:pPr>
            <w:r>
              <w:rPr>
                <w:rFonts w:ascii="Arial" w:cs="Arial" w:eastAsia="Arial" w:hAnsi="Arial"/>
                <w:sz w:val="18"/>
                <w:szCs w:val="18"/>
                <w:color w:val="auto"/>
              </w:rPr>
              <w:t>Gross deferred tax asset</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38,125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49,023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31,878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31,878</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389"/>
        <w:spacing w:after="0" w:line="279" w:lineRule="auto"/>
        <w:rPr>
          <w:sz w:val="20"/>
          <w:szCs w:val="20"/>
          <w:color w:val="auto"/>
        </w:rPr>
      </w:pPr>
      <w:r>
        <w:rPr>
          <w:rFonts w:ascii="Arial" w:cs="Arial" w:eastAsia="Arial" w:hAnsi="Arial"/>
          <w:sz w:val="17"/>
          <w:szCs w:val="17"/>
          <w:color w:val="auto"/>
        </w:rPr>
        <w:t>The net deferred tax liability in the U.S. as of May 31, 2020 and 2019 principally relates to tax amortization of intangibles that have an indefinite reversal period for book purposes, also known as a “naked credit deferred tax liability”, that cannot be considered as a source of income to recover the deferred tax asset. In addition, during the fiscal year ended May 31, 2020 a net deferred tax liability of $11.0 million was recorded in purchase accounting related to the stock acquisition of Eximo Medical Ltd. primarily related to book intangibles offset by tax net operating losses.</w:t>
      </w:r>
    </w:p>
    <w:p>
      <w:pPr>
        <w:spacing w:after="0" w:line="117" w:lineRule="exact"/>
        <w:rPr>
          <w:sz w:val="20"/>
          <w:szCs w:val="20"/>
          <w:color w:val="auto"/>
        </w:rPr>
      </w:pPr>
    </w:p>
    <w:p>
      <w:pPr>
        <w:jc w:val="both"/>
        <w:ind w:right="160" w:firstLine="389"/>
        <w:spacing w:after="0" w:line="263" w:lineRule="auto"/>
        <w:rPr>
          <w:sz w:val="20"/>
          <w:szCs w:val="20"/>
          <w:color w:val="auto"/>
        </w:rPr>
      </w:pPr>
      <w:r>
        <w:rPr>
          <w:rFonts w:ascii="Arial" w:cs="Arial" w:eastAsia="Arial" w:hAnsi="Arial"/>
          <w:sz w:val="18"/>
          <w:szCs w:val="18"/>
          <w:color w:val="auto"/>
        </w:rPr>
        <w:t>The Company's U.S. Federal net operating loss carryforwards as of May 31, 2020 after considering IRC Section 382 limitations are $112.3 million. The expiration of the Federal net operating loss carryforwards are as follows: $8.6 million between 2022 and 2023, $79.4 million between 2028 and 2037 and $24.3 million indefinitely.</w:t>
      </w:r>
    </w:p>
    <w:p>
      <w:pPr>
        <w:spacing w:after="0" w:line="130" w:lineRule="exact"/>
        <w:rPr>
          <w:sz w:val="20"/>
          <w:szCs w:val="20"/>
          <w:color w:val="auto"/>
        </w:rPr>
      </w:pPr>
    </w:p>
    <w:p>
      <w:pPr>
        <w:ind w:right="60" w:firstLine="389"/>
        <w:spacing w:after="0" w:line="324" w:lineRule="auto"/>
        <w:rPr>
          <w:sz w:val="20"/>
          <w:szCs w:val="20"/>
          <w:color w:val="auto"/>
        </w:rPr>
      </w:pPr>
      <w:r>
        <w:rPr>
          <w:rFonts w:ascii="Arial" w:cs="Arial" w:eastAsia="Arial" w:hAnsi="Arial"/>
          <w:sz w:val="16"/>
          <w:szCs w:val="16"/>
          <w:color w:val="auto"/>
        </w:rPr>
        <w:t>The Company's state net operating loss carryforwards as of May 31, 2020 after considering remaining IRC Section 382 limitations are $9.3 million which expire in various years from 2020 to 2040. The Company has Israel tax net operating losses of $11.0 million that can be carried forward indefinitely.</w:t>
      </w:r>
    </w:p>
    <w:p>
      <w:pPr>
        <w:spacing w:after="0" w:line="70" w:lineRule="exact"/>
        <w:rPr>
          <w:sz w:val="20"/>
          <w:szCs w:val="20"/>
          <w:color w:val="auto"/>
        </w:rPr>
      </w:pPr>
    </w:p>
    <w:p>
      <w:pPr>
        <w:ind w:right="200" w:firstLine="389"/>
        <w:spacing w:after="0" w:line="243" w:lineRule="auto"/>
        <w:rPr>
          <w:sz w:val="20"/>
          <w:szCs w:val="20"/>
          <w:color w:val="auto"/>
        </w:rPr>
      </w:pPr>
      <w:r>
        <w:rPr>
          <w:rFonts w:ascii="Arial" w:cs="Arial" w:eastAsia="Arial" w:hAnsi="Arial"/>
          <w:sz w:val="18"/>
          <w:szCs w:val="18"/>
          <w:color w:val="auto"/>
        </w:rPr>
        <w:t>Beginning in 2018, except for GILTI, the Company will no longer record United States federal income tax on its share of the income of its foreign subsidiaries, nor will it record a benefit for foreign tax credits related to that income. Upon distribution of these earnings in the form of dividends or otherwise, the Company would be subject to withholding taxes payable, where applicable, to foreign countries, but would have no further federal income tax liability.</w:t>
      </w:r>
    </w:p>
    <w:p>
      <w:pPr>
        <w:sectPr>
          <w:pgSz w:w="11900" w:h="16838" w:orient="portrait"/>
          <w:cols w:equalWidth="0" w:num="1">
            <w:col w:w="11240"/>
          </w:cols>
          <w:pgMar w:left="320" w:top="9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90" w:name="page91"/>
    <w:bookmarkEnd w:id="90"/>
    <w:p>
      <w:pPr>
        <w:ind w:right="40" w:firstLine="389"/>
        <w:spacing w:after="0" w:line="257"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year 2016, except the naked credit deferred tax liability.</w:t>
      </w:r>
    </w:p>
    <w:p>
      <w:pPr>
        <w:spacing w:after="0" w:line="134" w:lineRule="exact"/>
        <w:rPr>
          <w:sz w:val="20"/>
          <w:szCs w:val="20"/>
          <w:color w:val="auto"/>
        </w:rPr>
      </w:pPr>
    </w:p>
    <w:p>
      <w:pPr>
        <w:ind w:right="20" w:firstLine="389"/>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May 31, 2020.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8" w:lineRule="exact"/>
        <w:rPr>
          <w:sz w:val="20"/>
          <w:szCs w:val="20"/>
          <w:color w:val="auto"/>
        </w:rPr>
      </w:pPr>
    </w:p>
    <w:p>
      <w:pPr>
        <w:ind w:right="80" w:firstLine="389"/>
        <w:spacing w:after="0" w:line="277" w:lineRule="auto"/>
        <w:rPr>
          <w:sz w:val="20"/>
          <w:szCs w:val="20"/>
          <w:color w:val="auto"/>
        </w:rPr>
      </w:pPr>
      <w:r>
        <w:rPr>
          <w:rFonts w:ascii="Arial" w:cs="Arial" w:eastAsia="Arial" w:hAnsi="Arial"/>
          <w:sz w:val="18"/>
          <w:szCs w:val="18"/>
          <w:color w:val="auto"/>
        </w:rPr>
        <w:t>The Company's consolidated income tax expense has differed from the amount that would be provided by applying the U.S. Federal statutory income tax rate to the Company's income before income taxes for the following reasons: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2018</w:t>
            </w: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Income tax benefit at federal statutory tax rate of 21.0%, 21.0% and 28.6%, respectively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(4,941)</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State income taxes, net of Federal tax benefit</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Impact of Non-U.S.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Research and development tax credit</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Impact of tax reform</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12,860</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Meals and entertainment</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242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Goodwill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Non-deductible interest on contingent payments</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Non-taxable gain on revaluation of contingent consideration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Change in valuation allowance</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(18,526)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Effect of elimination of stock compensation APIC pool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448</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389"/>
        <w:spacing w:after="0" w:line="342" w:lineRule="auto"/>
        <w:rPr>
          <w:sz w:val="20"/>
          <w:szCs w:val="20"/>
          <w:color w:val="auto"/>
        </w:rPr>
      </w:pPr>
      <w:r>
        <w:rPr>
          <w:rFonts w:ascii="Arial" w:cs="Arial" w:eastAsia="Arial" w:hAnsi="Arial"/>
          <w:sz w:val="16"/>
          <w:szCs w:val="16"/>
          <w:color w:val="auto"/>
        </w:rPr>
        <w:t>During fiscal year 2020, the Company recorded a goodwill impairment of $158.6 million. The Company has made the tax accounting policy election to first allocate the impairment to the Company’s nondeductible goodwill based on the Company’s pre-impairment nondeductible goodwill balance.</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a reconciliation of the beginning and ending amount of unrecognized tax benefits: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2018</w:t>
            </w: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balance at June 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center"/>
              <w:ind w:left="434"/>
              <w:spacing w:after="0"/>
              <w:rPr>
                <w:sz w:val="20"/>
                <w:szCs w:val="20"/>
                <w:color w:val="auto"/>
              </w:rPr>
            </w:pPr>
            <w:r>
              <w:rPr>
                <w:rFonts w:ascii="Arial" w:cs="Arial" w:eastAsia="Arial" w:hAnsi="Arial"/>
                <w:sz w:val="18"/>
                <w:szCs w:val="18"/>
                <w:color w:val="auto"/>
                <w:w w:val="86"/>
              </w:rPr>
              <w:t>899</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w w:val="96"/>
              </w:rPr>
              <w:t>Decrease in gross amounts of tax positions related to prior years due to U.S. tax reform</w:t>
            </w:r>
          </w:p>
        </w:tc>
        <w:tc>
          <w:tcPr>
            <w:tcW w:w="3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center"/>
              <w:ind w:left="414"/>
              <w:spacing w:after="0"/>
              <w:rPr>
                <w:sz w:val="20"/>
                <w:szCs w:val="20"/>
                <w:color w:val="auto"/>
              </w:rPr>
            </w:pPr>
            <w:r>
              <w:rPr>
                <w:rFonts w:ascii="Arial" w:cs="Arial" w:eastAsia="Arial" w:hAnsi="Arial"/>
                <w:sz w:val="18"/>
                <w:szCs w:val="18"/>
                <w:color w:val="auto"/>
                <w:w w:val="95"/>
              </w:rPr>
              <w:t>(287)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due to lapse in statute of limitations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414"/>
              <w:spacing w:after="0"/>
              <w:rPr>
                <w:sz w:val="20"/>
                <w:szCs w:val="20"/>
                <w:color w:val="auto"/>
              </w:rPr>
            </w:pPr>
            <w:r>
              <w:rPr>
                <w:rFonts w:ascii="Arial" w:cs="Arial" w:eastAsia="Arial" w:hAnsi="Arial"/>
                <w:sz w:val="18"/>
                <w:szCs w:val="18"/>
                <w:color w:val="auto"/>
                <w:w w:val="95"/>
              </w:rPr>
              <w:t>(148)</w:t>
            </w:r>
          </w:p>
        </w:tc>
      </w:tr>
      <w:tr>
        <w:trPr>
          <w:trHeight w:val="263"/>
        </w:trPr>
        <w:tc>
          <w:tcPr>
            <w:tcW w:w="6740" w:type="dxa"/>
            <w:vAlign w:val="bottom"/>
          </w:tcPr>
          <w:p>
            <w:pPr>
              <w:ind w:left="20"/>
              <w:spacing w:after="0"/>
              <w:rPr>
                <w:sz w:val="20"/>
                <w:szCs w:val="20"/>
                <w:color w:val="auto"/>
              </w:rPr>
            </w:pPr>
            <w:r>
              <w:rPr>
                <w:rFonts w:ascii="Arial" w:cs="Arial" w:eastAsia="Arial" w:hAnsi="Arial"/>
                <w:sz w:val="18"/>
                <w:szCs w:val="18"/>
                <w:color w:val="auto"/>
              </w:rPr>
              <w:t>Unrecognized tax benefits balance at May 31</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center"/>
              <w:ind w:left="434"/>
              <w:spacing w:after="0"/>
              <w:rPr>
                <w:sz w:val="20"/>
                <w:szCs w:val="20"/>
                <w:color w:val="auto"/>
              </w:rPr>
            </w:pPr>
            <w:r>
              <w:rPr>
                <w:rFonts w:ascii="Arial" w:cs="Arial" w:eastAsia="Arial" w:hAnsi="Arial"/>
                <w:sz w:val="18"/>
                <w:szCs w:val="18"/>
                <w:color w:val="auto"/>
                <w:w w:val="86"/>
              </w:rPr>
              <w:t>464</w:t>
            </w: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The table above includes unrecognized tax benefits associated with the calculation of limitations placed on the utilization of tax attributes related to an acquired company. If recognized, $0.5 million would result in adjustments to other tax accounts.</w:t>
      </w:r>
    </w:p>
    <w:p>
      <w:pPr>
        <w:spacing w:after="0" w:line="116" w:lineRule="exact"/>
        <w:rPr>
          <w:sz w:val="20"/>
          <w:szCs w:val="20"/>
          <w:color w:val="auto"/>
        </w:rPr>
      </w:pPr>
    </w:p>
    <w:p>
      <w:pPr>
        <w:ind w:right="400" w:firstLine="389"/>
        <w:spacing w:after="0" w:line="277"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income tax expense. There are no accrued interest and penalties recognized in the consolidated balance sheet as of May 31, 2020 and May 31,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1" w:name="page92"/>
    <w:bookmarkEnd w:id="91"/>
    <w:p>
      <w:pPr>
        <w:jc w:val="both"/>
        <w:ind w:right="100" w:firstLine="389"/>
        <w:spacing w:after="0" w:line="263"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In the normal course of business the Company is subject to examination by taxing authorities throughout the world. Fiscal years 2017 through 2019 remain open to examination by the various tax authorities.</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does not anticipate that the amount of unrecognized tax benefits will significantly change in the next twelve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LIABILITIES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May 31, 2020</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color w:val="auto"/>
              </w:rPr>
              <w:t>May 31, 2019</w:t>
            </w:r>
          </w:p>
        </w:tc>
      </w:tr>
      <w:tr>
        <w:trPr>
          <w:trHeight w:val="250"/>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 and related expenses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14,987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Royalties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2,088</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severance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Sales and franchise taxes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807</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Outside services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3,514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Litigation matters (Note 17)</w:t>
            </w:r>
          </w:p>
        </w:tc>
        <w:tc>
          <w:tcPr>
            <w:tcW w:w="2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2,700</w:t>
            </w:r>
          </w:p>
        </w:tc>
      </w:tr>
      <w:tr>
        <w:trPr>
          <w:trHeight w:val="27"/>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Indemnification holdback</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4,807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8,931</w:t>
            </w: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29,380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38,338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175" w:lineRule="exact"/>
        <w:rPr>
          <w:sz w:val="20"/>
          <w:szCs w:val="20"/>
          <w:color w:val="auto"/>
        </w:rPr>
      </w:pPr>
    </w:p>
    <w:p>
      <w:pPr>
        <w:jc w:val="both"/>
        <w:ind w:right="180" w:firstLine="389"/>
        <w:spacing w:after="0" w:line="263" w:lineRule="auto"/>
        <w:rPr>
          <w:sz w:val="20"/>
          <w:szCs w:val="20"/>
          <w:color w:val="auto"/>
        </w:rPr>
      </w:pPr>
      <w:r>
        <w:rPr>
          <w:rFonts w:ascii="Arial" w:cs="Arial" w:eastAsia="Arial" w:hAnsi="Arial"/>
          <w:sz w:val="18"/>
          <w:szCs w:val="18"/>
          <w:color w:val="auto"/>
        </w:rPr>
        <w:t>On June 3, 2019 and in connection with the completion of the Fluid Management divestiture, the Company repaid all amounts outstanding under its existing Credit Agreement and entered into a new Credit Agreement with the lenders party thereto, JPMorgan Chase Bank, N.A., as administrative agent, and Bank of America, N.A. and KeyBank National Association, as co-syndication agents.</w:t>
      </w:r>
    </w:p>
    <w:p>
      <w:pPr>
        <w:spacing w:after="0" w:line="130" w:lineRule="exact"/>
        <w:rPr>
          <w:sz w:val="20"/>
          <w:szCs w:val="20"/>
          <w:color w:val="auto"/>
        </w:rPr>
      </w:pPr>
    </w:p>
    <w:p>
      <w:pPr>
        <w:ind w:right="120" w:firstLine="389"/>
        <w:spacing w:after="0" w:line="279" w:lineRule="auto"/>
        <w:rPr>
          <w:sz w:val="20"/>
          <w:szCs w:val="20"/>
          <w:color w:val="auto"/>
        </w:rPr>
      </w:pPr>
      <w:r>
        <w:rPr>
          <w:rFonts w:ascii="Arial" w:cs="Arial" w:eastAsia="Arial" w:hAnsi="Arial"/>
          <w:sz w:val="17"/>
          <w:szCs w:val="17"/>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17" w:lineRule="exact"/>
        <w:rPr>
          <w:sz w:val="20"/>
          <w:szCs w:val="20"/>
          <w:color w:val="auto"/>
        </w:rPr>
      </w:pPr>
    </w:p>
    <w:p>
      <w:pPr>
        <w:ind w:right="480" w:firstLine="389"/>
        <w:spacing w:after="0" w:line="291" w:lineRule="auto"/>
        <w:rPr>
          <w:sz w:val="20"/>
          <w:szCs w:val="20"/>
          <w:color w:val="auto"/>
        </w:rPr>
      </w:pPr>
      <w:r>
        <w:rPr>
          <w:rFonts w:ascii="Arial" w:cs="Arial" w:eastAsia="Arial" w:hAnsi="Arial"/>
          <w:sz w:val="16"/>
          <w:szCs w:val="16"/>
          <w:color w:val="auto"/>
        </w:rPr>
        <w:t>The Credit Agreement has a five year maturity. Interest on the facility will be based, at the Company’s option, on a base rate of LIBOR plus an applicable margin tied to the Company’s total leverage ratio and having ranges between 0.25% and 0.75% for base rate loans and between 1.25% and</w:t>
      </w:r>
    </w:p>
    <w:p>
      <w:pPr>
        <w:ind w:right="340"/>
        <w:spacing w:after="0" w:line="260" w:lineRule="auto"/>
        <w:rPr>
          <w:sz w:val="20"/>
          <w:szCs w:val="20"/>
          <w:color w:val="auto"/>
        </w:rPr>
      </w:pPr>
      <w:r>
        <w:rPr>
          <w:rFonts w:ascii="Arial" w:cs="Arial" w:eastAsia="Arial" w:hAnsi="Arial"/>
          <w:sz w:val="18"/>
          <w:szCs w:val="18"/>
          <w:color w:val="auto"/>
        </w:rPr>
        <w:t>1.75% for LIBOR loans. After default, the interest rate may be increased by 2.0%. The facility will also carry a commitment fee of 0.20% to 0.25% per annum on the unused portion.</w:t>
      </w:r>
    </w:p>
    <w:p>
      <w:pPr>
        <w:spacing w:after="0" w:line="131" w:lineRule="exact"/>
        <w:rPr>
          <w:sz w:val="20"/>
          <w:szCs w:val="20"/>
          <w:color w:val="auto"/>
        </w:rPr>
      </w:pPr>
    </w:p>
    <w:p>
      <w:pPr>
        <w:ind w:right="160" w:firstLine="389"/>
        <w:spacing w:after="0" w:line="263" w:lineRule="auto"/>
        <w:rPr>
          <w:sz w:val="20"/>
          <w:szCs w:val="20"/>
          <w:color w:val="auto"/>
        </w:rPr>
      </w:pPr>
      <w:r>
        <w:rPr>
          <w:rFonts w:ascii="Arial" w:cs="Arial" w:eastAsia="Arial" w:hAnsi="Arial"/>
          <w:sz w:val="18"/>
          <w:szCs w:val="18"/>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30" w:lineRule="exact"/>
        <w:rPr>
          <w:sz w:val="20"/>
          <w:szCs w:val="20"/>
          <w:color w:val="auto"/>
        </w:rPr>
      </w:pPr>
    </w:p>
    <w:p>
      <w:pPr>
        <w:ind w:right="280" w:firstLine="389"/>
        <w:spacing w:after="0" w:line="277"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16" w:lineRule="exact"/>
        <w:rPr>
          <w:sz w:val="20"/>
          <w:szCs w:val="20"/>
          <w:color w:val="auto"/>
        </w:rPr>
      </w:pPr>
    </w:p>
    <w:p>
      <w:pPr>
        <w:ind w:left="660" w:right="340" w:hanging="247"/>
        <w:spacing w:after="0" w:line="258" w:lineRule="auto"/>
        <w:tabs>
          <w:tab w:leader="none" w:pos="655" w:val="left"/>
        </w:tabs>
        <w:numPr>
          <w:ilvl w:val="1"/>
          <w:numId w:val="63"/>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EBITDA* of not greater than 3.00 to 1.00 (during certain periods following material acquisitions the ratio shall be increased to 3.50 to 1.00).</w:t>
      </w:r>
    </w:p>
    <w:p>
      <w:pPr>
        <w:spacing w:after="0" w:line="1" w:lineRule="exact"/>
        <w:rPr>
          <w:rFonts w:ascii="Arial" w:cs="Arial" w:eastAsia="Arial" w:hAnsi="Arial"/>
          <w:sz w:val="18"/>
          <w:szCs w:val="18"/>
          <w:color w:val="auto"/>
        </w:rPr>
      </w:pPr>
    </w:p>
    <w:p>
      <w:pPr>
        <w:ind w:left="660" w:right="120" w:hanging="247"/>
        <w:spacing w:after="0" w:line="290" w:lineRule="auto"/>
        <w:tabs>
          <w:tab w:leader="none" w:pos="655" w:val="left"/>
        </w:tabs>
        <w:numPr>
          <w:ilvl w:val="1"/>
          <w:numId w:val="63"/>
        </w:numPr>
        <w:rPr>
          <w:rFonts w:ascii="Arial" w:cs="Arial" w:eastAsia="Arial" w:hAnsi="Arial"/>
          <w:sz w:val="17"/>
          <w:szCs w:val="17"/>
          <w:color w:val="auto"/>
        </w:rPr>
      </w:pPr>
      <w:r>
        <w:rPr>
          <w:rFonts w:ascii="Arial" w:cs="Arial" w:eastAsia="Arial" w:hAnsi="Arial"/>
          <w:sz w:val="17"/>
          <w:szCs w:val="17"/>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0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The definitions of consolidated total indebtedness and consolidated EBITDA are maintained in the credit agreement included as an exhibit to Form 8-k filed on June 6, 2019.</w:t>
      </w:r>
    </w:p>
    <w:p>
      <w:pPr>
        <w:spacing w:after="0" w:line="167"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As of May 31, 2020 there was $40.0 million outstanding on the Revolving Facility. As of May 31, 2020 and May 31, 2019, the carrying value of long-term debt approximated its fair market value.</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interest rate on the Revolving Facility at May 31, 2020 was 1.43%.</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92" w:name="page93"/>
    <w:bookmarkEnd w:id="92"/>
    <w:p>
      <w:pPr>
        <w:ind w:left="400"/>
        <w:spacing w:after="0"/>
        <w:rPr>
          <w:sz w:val="20"/>
          <w:szCs w:val="20"/>
          <w:color w:val="auto"/>
        </w:rPr>
      </w:pPr>
      <w:r>
        <w:rPr>
          <w:rFonts w:ascii="Arial" w:cs="Arial" w:eastAsia="Arial" w:hAnsi="Arial"/>
          <w:sz w:val="18"/>
          <w:szCs w:val="18"/>
          <w:color w:val="auto"/>
        </w:rPr>
        <w:t>The Company was in compliance with the Credit Agreement covenants as of May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PLANS</w:t>
      </w:r>
    </w:p>
    <w:p>
      <w:pPr>
        <w:spacing w:after="0" w:line="175" w:lineRule="exact"/>
        <w:rPr>
          <w:sz w:val="20"/>
          <w:szCs w:val="20"/>
          <w:color w:val="auto"/>
        </w:rPr>
      </w:pPr>
    </w:p>
    <w:p>
      <w:pPr>
        <w:ind w:right="40" w:firstLine="389"/>
        <w:spacing w:after="0" w:line="263" w:lineRule="auto"/>
        <w:rPr>
          <w:sz w:val="20"/>
          <w:szCs w:val="20"/>
          <w:color w:val="auto"/>
        </w:rPr>
      </w:pPr>
      <w:r>
        <w:rPr>
          <w:rFonts w:ascii="Arial" w:cs="Arial" w:eastAsia="Arial" w:hAnsi="Arial"/>
          <w:sz w:val="18"/>
          <w:szCs w:val="18"/>
          <w:color w:val="auto"/>
        </w:rPr>
        <w:t>The Company has a 401(k) plan under which eligible employees can defer a portion of their compensation, part of which is matched by the Company. Matching contributions were $3.2 million, $3.6 million and $3.9 million in 2020, 2019 and 2018, respectively. There are also various immaterial foreign retirement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71" w:lineRule="exact"/>
        <w:rPr>
          <w:sz w:val="20"/>
          <w:szCs w:val="20"/>
          <w:color w:val="auto"/>
        </w:rPr>
      </w:pPr>
    </w:p>
    <w:p>
      <w:pPr>
        <w:ind w:firstLine="389"/>
        <w:spacing w:after="0" w:line="263" w:lineRule="auto"/>
        <w:rPr>
          <w:sz w:val="20"/>
          <w:szCs w:val="20"/>
          <w:color w:val="auto"/>
        </w:rPr>
      </w:pPr>
      <w:r>
        <w:rPr>
          <w:rFonts w:ascii="Arial" w:cs="Arial" w:eastAsia="Arial" w:hAnsi="Arial"/>
          <w:sz w:val="18"/>
          <w:szCs w:val="18"/>
          <w:color w:val="auto"/>
        </w:rPr>
        <w:t>On October 29, 2014, the Board of Directors approved the Amended and Restated Certificate of Incorporation (the “Amended Certificate”). Under the Amended Certificate, the authorized capital stock is 80,000,000 shares, consisting of 75,000,000 shares of common stock, par value $.01 per share and 5,000,000 shares of preferred stock, par value $.01 per share.</w:t>
      </w:r>
    </w:p>
    <w:p>
      <w:pPr>
        <w:spacing w:after="0" w:line="130" w:lineRule="exact"/>
        <w:rPr>
          <w:sz w:val="20"/>
          <w:szCs w:val="20"/>
          <w:color w:val="auto"/>
        </w:rPr>
      </w:pPr>
    </w:p>
    <w:p>
      <w:pPr>
        <w:ind w:right="200" w:firstLine="389"/>
        <w:spacing w:after="0" w:line="272" w:lineRule="auto"/>
        <w:rPr>
          <w:sz w:val="20"/>
          <w:szCs w:val="20"/>
          <w:color w:val="auto"/>
        </w:rPr>
      </w:pPr>
      <w:r>
        <w:rPr>
          <w:rFonts w:ascii="Arial" w:cs="Arial" w:eastAsia="Arial" w:hAnsi="Arial"/>
          <w:sz w:val="17"/>
          <w:szCs w:val="17"/>
          <w:color w:val="auto"/>
        </w:rPr>
        <w:t>The holders of common stock are entitled to one vote for each share held. Subject to preferences applicable to any outstanding shares of preferred stock, the holders of common stock are entitled to receive ratably dividends, if any, as may be declared by the Board of Directors out of funds legally available for dividend payments. If the Company liquidates, dissolves, or winds up, the holders of common stock are entitled to share ratably in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23" w:lineRule="exact"/>
        <w:rPr>
          <w:sz w:val="20"/>
          <w:szCs w:val="20"/>
          <w:color w:val="auto"/>
        </w:rPr>
      </w:pPr>
    </w:p>
    <w:p>
      <w:pPr>
        <w:jc w:val="both"/>
        <w:ind w:right="60" w:firstLine="389"/>
        <w:spacing w:after="0" w:line="311" w:lineRule="auto"/>
        <w:rPr>
          <w:sz w:val="20"/>
          <w:szCs w:val="20"/>
          <w:color w:val="auto"/>
        </w:rPr>
      </w:pPr>
      <w:r>
        <w:rPr>
          <w:rFonts w:ascii="Arial" w:cs="Arial" w:eastAsia="Arial" w:hAnsi="Arial"/>
          <w:sz w:val="16"/>
          <w:szCs w:val="16"/>
          <w:color w:val="auto"/>
        </w:rPr>
        <w:t>The Board of Directors has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the Company's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Stock and Incentive Award Plan</w:t>
      </w:r>
    </w:p>
    <w:p>
      <w:pPr>
        <w:spacing w:after="0" w:line="171" w:lineRule="exact"/>
        <w:rPr>
          <w:sz w:val="20"/>
          <w:szCs w:val="20"/>
          <w:color w:val="auto"/>
        </w:rPr>
      </w:pPr>
    </w:p>
    <w:p>
      <w:pPr>
        <w:ind w:right="180" w:firstLine="389"/>
        <w:spacing w:after="0" w:line="254" w:lineRule="auto"/>
        <w:rPr>
          <w:sz w:val="20"/>
          <w:szCs w:val="20"/>
          <w:color w:val="auto"/>
        </w:rPr>
      </w:pPr>
      <w:r>
        <w:rPr>
          <w:rFonts w:ascii="Arial" w:cs="Arial" w:eastAsia="Arial" w:hAnsi="Arial"/>
          <w:sz w:val="18"/>
          <w:szCs w:val="18"/>
          <w:color w:val="auto"/>
        </w:rPr>
        <w:t>The 2004 Stock and Incentive Award Plan (the “2004 Plan”) provides for the grant of incentive options to employees and for the grant of non-statutory stock options, restricted stock, stock appreciation rights, performance units, performance shares and other incentive awards to employees, directors and other service providers. A total of 7,750,000 shares of common stock have been reserved for issuance under the 2004 Plan, of which up to 800,000 shares may be issued upon the exercise of incentive stock options. The Compensation Committee of the Board of Directors administers the 2004 Plan. The Committee determines vesting terms and the exercise price of options granted under the 2004 Plan, but for all incentive stock options the exercise price must at least be equal to the fair market value of common stock on the date of grant. The term of an incentive stock option may not exceed ten years.</w:t>
      </w:r>
    </w:p>
    <w:p>
      <w:pPr>
        <w:spacing w:after="0" w:line="141" w:lineRule="exact"/>
        <w:rPr>
          <w:sz w:val="20"/>
          <w:szCs w:val="20"/>
          <w:color w:val="auto"/>
        </w:rPr>
      </w:pPr>
    </w:p>
    <w:p>
      <w:pPr>
        <w:ind w:right="20" w:firstLine="389"/>
        <w:spacing w:after="0" w:line="263" w:lineRule="auto"/>
        <w:rPr>
          <w:sz w:val="20"/>
          <w:szCs w:val="20"/>
          <w:color w:val="auto"/>
        </w:rPr>
      </w:pPr>
      <w:r>
        <w:rPr>
          <w:rFonts w:ascii="Arial" w:cs="Arial" w:eastAsia="Arial" w:hAnsi="Arial"/>
          <w:sz w:val="18"/>
          <w:szCs w:val="18"/>
          <w:color w:val="auto"/>
        </w:rPr>
        <w:t>On October 25, 2016, the Company amended the 2004 Stock and Incentive Award Plan to increase the shares of common stock reserved for issuance by 250,000 shares. On October 10, 2018, the Company amended the 2004 Stock and Incentive Award Plan to increase the shares of common stock reserved for issuance by 750,000 shares.</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May 31, 2020, there remained approximately 1.6 million shares available for granting under the 2004 Plan.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3" w:name="page94"/>
    <w:bookmarkEnd w:id="93"/>
    <w:p>
      <w:pPr>
        <w:ind w:left="400"/>
        <w:spacing w:after="0"/>
        <w:rPr>
          <w:sz w:val="20"/>
          <w:szCs w:val="20"/>
          <w:color w:val="auto"/>
        </w:rPr>
      </w:pPr>
      <w:r>
        <w:rPr>
          <w:rFonts w:ascii="Arial" w:cs="Arial" w:eastAsia="Arial" w:hAnsi="Arial"/>
          <w:sz w:val="18"/>
          <w:szCs w:val="18"/>
          <w:color w:val="auto"/>
        </w:rPr>
        <w:t>The following table summarizes information about stock option activity for the fiscal year ended May 31,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Weighted average</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8"/>
        </w:trPr>
        <w:tc>
          <w:tcPr>
            <w:tcW w:w="5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Weighted average</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remaining contractual</w:t>
            </w:r>
          </w:p>
        </w:tc>
        <w:tc>
          <w:tcPr>
            <w:tcW w:w="120" w:type="dxa"/>
            <w:vAlign w:val="bottom"/>
          </w:tcPr>
          <w:p>
            <w:pPr>
              <w:spacing w:after="0"/>
              <w:rPr>
                <w:sz w:val="12"/>
                <w:szCs w:val="12"/>
                <w:color w:val="auto"/>
              </w:rPr>
            </w:pPr>
          </w:p>
        </w:tc>
        <w:tc>
          <w:tcPr>
            <w:tcW w:w="132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94"/>
              </w:rPr>
              <w:t>Aggregate intrinsic</w:t>
            </w:r>
          </w:p>
        </w:tc>
      </w:tr>
      <w:tr>
        <w:trPr>
          <w:trHeight w:val="188"/>
        </w:trPr>
        <w:tc>
          <w:tcPr>
            <w:tcW w:w="5220" w:type="dxa"/>
            <w:vAlign w:val="bottom"/>
          </w:tcPr>
          <w:p>
            <w:pPr>
              <w:spacing w:after="0"/>
              <w:rPr>
                <w:sz w:val="16"/>
                <w:szCs w:val="16"/>
                <w:color w:val="auto"/>
              </w:rPr>
            </w:pPr>
          </w:p>
        </w:tc>
        <w:tc>
          <w:tcPr>
            <w:tcW w:w="14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exercise price</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1"/>
              </w:rPr>
              <w:t>value (in thousands)</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Outstanding at beginning of year - June 1, 2019</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1,760,313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539,946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(61,100)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(300,406)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2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 - May 31, 2020</w:t>
            </w: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1,938,753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4"/>
        </w:trPr>
        <w:tc>
          <w:tcPr>
            <w:tcW w:w="5220" w:type="dxa"/>
            <w:vAlign w:val="bottom"/>
            <w:tcBorders>
              <w:top w:val="single" w:sz="8" w:color="CCEEFF"/>
            </w:tcBorders>
          </w:tcPr>
          <w:p>
            <w:pPr>
              <w:ind w:left="20"/>
              <w:spacing w:after="0" w:line="190" w:lineRule="exact"/>
              <w:rPr>
                <w:sz w:val="20"/>
                <w:szCs w:val="20"/>
                <w:color w:val="auto"/>
              </w:rPr>
            </w:pPr>
            <w:r>
              <w:rPr>
                <w:rFonts w:ascii="Arial" w:cs="Arial" w:eastAsia="Arial" w:hAnsi="Arial"/>
                <w:sz w:val="18"/>
                <w:szCs w:val="18"/>
                <w:color w:val="auto"/>
              </w:rPr>
              <w:t>Options exercisable at year-end</w:t>
            </w:r>
          </w:p>
        </w:tc>
        <w:tc>
          <w:tcPr>
            <w:tcW w:w="14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1,004,531</w:t>
            </w:r>
          </w:p>
        </w:tc>
        <w:tc>
          <w:tcPr>
            <w:tcW w:w="2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tcPr>
          <w:p>
            <w:pPr>
              <w:jc w:val="right"/>
              <w:ind w:right="74"/>
              <w:spacing w:after="0"/>
              <w:rPr>
                <w:sz w:val="20"/>
                <w:szCs w:val="20"/>
                <w:color w:val="auto"/>
              </w:rPr>
            </w:pPr>
            <w:r>
              <w:rPr>
                <w:rFonts w:ascii="Arial" w:cs="Arial" w:eastAsia="Arial" w:hAnsi="Arial"/>
                <w:sz w:val="18"/>
                <w:szCs w:val="18"/>
                <w:color w:val="auto"/>
              </w:rPr>
              <w:t>15.63</w:t>
            </w:r>
          </w:p>
        </w:tc>
        <w:tc>
          <w:tcPr>
            <w:tcW w:w="100" w:type="dxa"/>
            <w:vAlign w:val="bottom"/>
            <w:tcBorders>
              <w:top w:val="single" w:sz="8" w:color="CCEEFF"/>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expected to vest in future periods</w:t>
            </w: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934,222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389"/>
        <w:spacing w:after="0" w:line="259" w:lineRule="auto"/>
        <w:rPr>
          <w:sz w:val="20"/>
          <w:szCs w:val="20"/>
          <w:color w:val="auto"/>
        </w:rPr>
      </w:pPr>
      <w:r>
        <w:rPr>
          <w:rFonts w:ascii="Arial" w:cs="Arial" w:eastAsia="Arial" w:hAnsi="Arial"/>
          <w:sz w:val="18"/>
          <w:szCs w:val="18"/>
          <w:color w:val="auto"/>
        </w:rPr>
        <w:t>Stock options are granted at exercise prices equal to the quoted market price of common stock at the date of the grant. Options vest 25% per year over four years for employees. Grants to directors vest 33.33% per year over three years. Stock options granted prior to May 1, 2007 and after June 1, 2017 expire on the tenth anniversary of the grant date. Stock options granted between May 1, 2007 through May 31, 2017 expire on the seventh anniversary of the grant date.</w:t>
      </w:r>
    </w:p>
    <w:p>
      <w:pPr>
        <w:spacing w:after="0" w:line="133" w:lineRule="exact"/>
        <w:rPr>
          <w:sz w:val="20"/>
          <w:szCs w:val="20"/>
          <w:color w:val="auto"/>
        </w:rPr>
      </w:pPr>
    </w:p>
    <w:p>
      <w:pPr>
        <w:ind w:right="60" w:firstLine="389"/>
        <w:spacing w:after="0" w:line="272" w:lineRule="auto"/>
        <w:rPr>
          <w:sz w:val="20"/>
          <w:szCs w:val="20"/>
          <w:color w:val="auto"/>
        </w:rPr>
      </w:pPr>
      <w:r>
        <w:rPr>
          <w:rFonts w:ascii="Arial" w:cs="Arial" w:eastAsia="Arial" w:hAnsi="Arial"/>
          <w:sz w:val="17"/>
          <w:szCs w:val="17"/>
          <w:color w:val="auto"/>
        </w:rPr>
        <w:t>The Company measures the fair value of each stock option grant at the date of grant using a Black-Scholes option pricing model. The weighted average grant-date fair value of options granted during the years ended May 31, 2020, 2019 and 2018 was $5.46, $6.53, and $4.95, respectively. The following assumptions were used in arriving at the fair value of options granted during 2020, 2019 and 2018, respectively: risk-free interest rates of 1.63%, 2.78% and 2.08%; expected volatility of 31%, 31%, and 30%; and expected lives of 4.91 years, 4.79 years, and 4.72 years. The Company does not declare dividends therefore a dividend yield of zero was used for the years ended May 31, 2020, 2019 and 2018. Risk-free interest rates reflect the yield on zero-coupon U.S. Treasury bonds whose maturity period equals the expected term of the option. Expected volatilities are based on the historical volatility of the Company's stock. The expected option lives are based on historical experience of employee exercise behavior.</w:t>
      </w:r>
    </w:p>
    <w:p>
      <w:pPr>
        <w:spacing w:after="0" w:line="123" w:lineRule="exact"/>
        <w:rPr>
          <w:sz w:val="20"/>
          <w:szCs w:val="20"/>
          <w:color w:val="auto"/>
        </w:rPr>
      </w:pPr>
    </w:p>
    <w:p>
      <w:pPr>
        <w:jc w:val="both"/>
        <w:ind w:right="200" w:firstLine="389"/>
        <w:spacing w:after="0" w:line="263" w:lineRule="auto"/>
        <w:rPr>
          <w:sz w:val="20"/>
          <w:szCs w:val="20"/>
          <w:color w:val="auto"/>
        </w:rPr>
      </w:pPr>
      <w:r>
        <w:rPr>
          <w:rFonts w:ascii="Arial" w:cs="Arial" w:eastAsia="Arial" w:hAnsi="Arial"/>
          <w:sz w:val="18"/>
          <w:szCs w:val="18"/>
          <w:color w:val="auto"/>
        </w:rPr>
        <w:t>The total intrinsic value of options exercised during the years ended May 31, 2020, 2019 and 2018 was $0.5 million, $1.4 million, and $0.7 million, respectively. As of May 31, 2020, there was $4.0 million of total unrecognized compensation cost related to non-vested options, which is expected to be recognized over a weighted average period of 3 years.</w:t>
      </w:r>
    </w:p>
    <w:p>
      <w:pPr>
        <w:spacing w:after="0" w:line="130" w:lineRule="exact"/>
        <w:rPr>
          <w:sz w:val="20"/>
          <w:szCs w:val="20"/>
          <w:color w:val="auto"/>
        </w:rPr>
      </w:pPr>
    </w:p>
    <w:p>
      <w:pPr>
        <w:ind w:right="340" w:firstLine="389"/>
        <w:spacing w:after="0" w:line="308" w:lineRule="auto"/>
        <w:rPr>
          <w:sz w:val="20"/>
          <w:szCs w:val="20"/>
          <w:color w:val="auto"/>
        </w:rPr>
      </w:pPr>
      <w:r>
        <w:rPr>
          <w:rFonts w:ascii="Arial" w:cs="Arial" w:eastAsia="Arial" w:hAnsi="Arial"/>
          <w:sz w:val="17"/>
          <w:szCs w:val="17"/>
          <w:color w:val="auto"/>
        </w:rPr>
        <w:t>Cash received from option exercises during 2020, 2019 and 2018 was $0.6 million, $1.5 million and $2 million, respectively. Due to the valuation allowance there was no tax benefit realized from stock option exercises during the years ended May 31, 2020, 2019 and 2018.</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and Restricted Stock Unit Awards</w:t>
      </w:r>
    </w:p>
    <w:p>
      <w:pPr>
        <w:spacing w:after="0" w:line="171" w:lineRule="exact"/>
        <w:rPr>
          <w:sz w:val="20"/>
          <w:szCs w:val="20"/>
          <w:color w:val="auto"/>
        </w:rPr>
      </w:pPr>
    </w:p>
    <w:p>
      <w:pPr>
        <w:ind w:right="100" w:firstLine="389"/>
        <w:spacing w:after="0" w:line="259" w:lineRule="auto"/>
        <w:rPr>
          <w:sz w:val="20"/>
          <w:szCs w:val="20"/>
          <w:color w:val="auto"/>
        </w:rPr>
      </w:pPr>
      <w:r>
        <w:rPr>
          <w:rFonts w:ascii="Arial" w:cs="Arial" w:eastAsia="Arial" w:hAnsi="Arial"/>
          <w:sz w:val="18"/>
          <w:szCs w:val="18"/>
          <w:color w:val="auto"/>
        </w:rPr>
        <w:t>The Company grants restricted stock units to certain employees under the 2004 Plan which give the recipients the right to receive shares of Company stock upon vesting. The restricted stock unit awards vest in four equal annual installments beginning on the first anniversary of the grant date. Restricted stock unit awards granted to directors vest over one year. Unvested restricted stock unit awards will be forfeited if the recipient ceases to be employed by the Company.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restricted stock unit activity for the year ended May 31,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113"/>
              <w:spacing w:after="0"/>
              <w:rPr>
                <w:sz w:val="20"/>
                <w:szCs w:val="20"/>
                <w:color w:val="auto"/>
              </w:rPr>
            </w:pPr>
            <w:r>
              <w:rPr>
                <w:rFonts w:ascii="Arial" w:cs="Arial" w:eastAsia="Arial" w:hAnsi="Arial"/>
                <w:sz w:val="14"/>
                <w:szCs w:val="14"/>
                <w:color w:val="auto"/>
                <w:w w:val="93"/>
              </w:rPr>
              <w:t>Weighted Average</w:t>
            </w:r>
          </w:p>
        </w:tc>
      </w:tr>
      <w:tr>
        <w:trPr>
          <w:trHeight w:val="188"/>
        </w:trPr>
        <w:tc>
          <w:tcPr>
            <w:tcW w:w="82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Restricted Stock Units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Grant-Date Fair Value</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beginning of year, June 1, 2019</w:t>
            </w: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430,936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18.60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278,064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20.35</w:t>
            </w:r>
          </w:p>
        </w:tc>
      </w:tr>
      <w:tr>
        <w:trPr>
          <w:trHeight w:val="27"/>
        </w:trPr>
        <w:tc>
          <w:tcPr>
            <w:tcW w:w="8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(197,985)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19.75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Canceled</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(46,094)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19.68</w:t>
            </w:r>
          </w:p>
        </w:tc>
      </w:tr>
      <w:tr>
        <w:trPr>
          <w:trHeight w:val="27"/>
        </w:trPr>
        <w:tc>
          <w:tcPr>
            <w:tcW w:w="82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end of year, May 31, 2020</w:t>
            </w: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464,921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right="40" w:firstLine="389"/>
        <w:spacing w:after="0" w:line="259" w:lineRule="auto"/>
        <w:rPr>
          <w:sz w:val="20"/>
          <w:szCs w:val="20"/>
          <w:color w:val="auto"/>
        </w:rPr>
      </w:pPr>
      <w:r>
        <w:rPr>
          <w:rFonts w:ascii="Arial" w:cs="Arial" w:eastAsia="Arial" w:hAnsi="Arial"/>
          <w:sz w:val="18"/>
          <w:szCs w:val="18"/>
          <w:color w:val="auto"/>
        </w:rPr>
        <w:t>The fair value of each restricted stock unit is the market price of Company stock on the date of grant. The weighted average grant date fair value of restricted stock units granted during the years ended May 31, 2020, 2019 and 2018 was $20.35, $20.87 and $16.60, respectively. The total intrinsic value of restricted stock units (meaning the fair value of the units on the date of vest) vesting during the years ended May 31, 2020, 2019 and 2018 was $3.9 million, $4.6 million, and $2.7</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94" w:name="page95"/>
    <w:bookmarkEnd w:id="94"/>
    <w:p>
      <w:pPr>
        <w:ind w:right="280"/>
        <w:spacing w:after="0" w:line="277" w:lineRule="auto"/>
        <w:rPr>
          <w:sz w:val="20"/>
          <w:szCs w:val="20"/>
          <w:color w:val="auto"/>
        </w:rPr>
      </w:pPr>
      <w:r>
        <w:rPr>
          <w:rFonts w:ascii="Arial" w:cs="Arial" w:eastAsia="Arial" w:hAnsi="Arial"/>
          <w:sz w:val="18"/>
          <w:szCs w:val="18"/>
          <w:color w:val="auto"/>
        </w:rPr>
        <w:t>million, respectively. As of May 31, 2020, there was $5.7 million of total unrecognized compensation cost related to non-vested restricted stock awards, which is expected to be recognized over a weighted average period of 3 years.</w:t>
      </w:r>
    </w:p>
    <w:p>
      <w:pPr>
        <w:spacing w:after="0" w:line="116" w:lineRule="exact"/>
        <w:rPr>
          <w:sz w:val="20"/>
          <w:szCs w:val="20"/>
          <w:color w:val="auto"/>
        </w:rPr>
      </w:pPr>
    </w:p>
    <w:p>
      <w:pPr>
        <w:ind w:right="380" w:firstLine="389"/>
        <w:spacing w:after="0" w:line="261" w:lineRule="auto"/>
        <w:rPr>
          <w:sz w:val="20"/>
          <w:szCs w:val="20"/>
          <w:color w:val="auto"/>
        </w:rPr>
      </w:pPr>
      <w:r>
        <w:rPr>
          <w:rFonts w:ascii="Arial" w:cs="Arial" w:eastAsia="Arial" w:hAnsi="Arial"/>
          <w:sz w:val="18"/>
          <w:szCs w:val="18"/>
          <w:color w:val="auto"/>
        </w:rPr>
        <w:t>The Company grants performance share awards to certain employees under the 2004 Plan which gives the recipients the right to receive shares of Company stock if certain criteria is met.</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performance unit award activity for the year ended May 31,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color w:val="auto"/>
              </w:rPr>
              <w:t>Performance Unit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113"/>
              <w:spacing w:after="0"/>
              <w:rPr>
                <w:sz w:val="20"/>
                <w:szCs w:val="20"/>
                <w:color w:val="auto"/>
              </w:rPr>
            </w:pPr>
            <w:r>
              <w:rPr>
                <w:rFonts w:ascii="Arial" w:cs="Arial" w:eastAsia="Arial" w:hAnsi="Arial"/>
                <w:sz w:val="14"/>
                <w:szCs w:val="14"/>
                <w:color w:val="auto"/>
                <w:w w:val="93"/>
              </w:rPr>
              <w:t>Weighted Average</w:t>
            </w:r>
          </w:p>
        </w:tc>
      </w:tr>
      <w:tr>
        <w:trPr>
          <w:trHeight w:val="188"/>
        </w:trPr>
        <w:tc>
          <w:tcPr>
            <w:tcW w:w="82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Awards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Grant-Date Fair Value</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beginning of year, June 1, 2019</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538,605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21.55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111,594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14.06</w:t>
            </w:r>
          </w:p>
        </w:tc>
      </w:tr>
      <w:tr>
        <w:trPr>
          <w:trHeight w:val="27"/>
        </w:trPr>
        <w:tc>
          <w:tcPr>
            <w:tcW w:w="8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(235,580)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21.68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Canceled</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(141,498)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20.86</w:t>
            </w:r>
          </w:p>
        </w:tc>
      </w:tr>
      <w:tr>
        <w:trPr>
          <w:trHeight w:val="27"/>
        </w:trPr>
        <w:tc>
          <w:tcPr>
            <w:tcW w:w="82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end of year, May 31, 2020</w:t>
            </w:r>
          </w:p>
        </w:tc>
        <w:tc>
          <w:tcPr>
            <w:tcW w:w="1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273,121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22.07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right="20" w:firstLine="389"/>
        <w:spacing w:after="0" w:line="259" w:lineRule="auto"/>
        <w:rPr>
          <w:sz w:val="20"/>
          <w:szCs w:val="20"/>
          <w:color w:val="auto"/>
        </w:rPr>
      </w:pPr>
      <w:r>
        <w:rPr>
          <w:rFonts w:ascii="Arial" w:cs="Arial" w:eastAsia="Arial" w:hAnsi="Arial"/>
          <w:sz w:val="18"/>
          <w:szCs w:val="18"/>
          <w:color w:val="auto"/>
        </w:rPr>
        <w:t>During fiscal year 2020, the Company granted performance unit awards. Performance unit awards subject to vesting are based on the Company's level of attainment of the performance targets which are set for each of the three performance years along with continued employment of the grantee. At the end of the three year period, the vested shares are subject to modification based on the Company’s TSR targets relative to the percentage appreciation of a specified index of companies for the respective three-year period.</w:t>
      </w:r>
    </w:p>
    <w:p>
      <w:pPr>
        <w:spacing w:after="0" w:line="133" w:lineRule="exact"/>
        <w:rPr>
          <w:sz w:val="20"/>
          <w:szCs w:val="20"/>
          <w:color w:val="auto"/>
        </w:rPr>
      </w:pPr>
    </w:p>
    <w:p>
      <w:pPr>
        <w:ind w:right="60" w:firstLine="389"/>
        <w:spacing w:after="0" w:line="286" w:lineRule="auto"/>
        <w:rPr>
          <w:sz w:val="20"/>
          <w:szCs w:val="20"/>
          <w:color w:val="auto"/>
        </w:rPr>
      </w:pPr>
      <w:r>
        <w:rPr>
          <w:rFonts w:ascii="Arial" w:cs="Arial" w:eastAsia="Arial" w:hAnsi="Arial"/>
          <w:sz w:val="17"/>
          <w:szCs w:val="17"/>
          <w:color w:val="auto"/>
        </w:rPr>
        <w:t>During fiscal years 2019 and 2018, the Company granted performance unit awards that include a three-year market condition. Vesting of the performance unit awards is based on the Company's level of attainment of specified TSR targets relative to the percentage appreciation of a specified index of companies for the respective three-year periods. It is also subject to the continued employment of the grantees.</w:t>
      </w:r>
    </w:p>
    <w:p>
      <w:pPr>
        <w:spacing w:after="0" w:line="111" w:lineRule="exact"/>
        <w:rPr>
          <w:sz w:val="20"/>
          <w:szCs w:val="20"/>
          <w:color w:val="auto"/>
        </w:rPr>
      </w:pPr>
    </w:p>
    <w:p>
      <w:pPr>
        <w:ind w:right="180" w:firstLine="389"/>
        <w:spacing w:after="0" w:line="259" w:lineRule="auto"/>
        <w:rPr>
          <w:sz w:val="20"/>
          <w:szCs w:val="20"/>
          <w:color w:val="auto"/>
        </w:rPr>
      </w:pPr>
      <w:r>
        <w:rPr>
          <w:rFonts w:ascii="Arial" w:cs="Arial" w:eastAsia="Arial" w:hAnsi="Arial"/>
          <w:sz w:val="18"/>
          <w:szCs w:val="18"/>
          <w:color w:val="auto"/>
        </w:rPr>
        <w:t>In order to estimate the fair value of such awards, a Monte Carlo Simulation valuation model on the date of the grant was used. For the years ended May 31, 2020, 2019 and 2018, the weighted average grant date fair market value for new grants was $14.06, $28.62 and $23.83, respectively. Compensation cost is recognized over the performance period which is typically three years. As of May 31, 2020, there was $2.0 million of unrecognized compensation cost which is expected to be recognized over a weighted average period of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represents the break out of share-based compensation included in the Company's consolidated statement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2018</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119</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554</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1,778</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6,112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5,461</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7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7,593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9,249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7,912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389"/>
        <w:spacing w:after="0" w:line="263" w:lineRule="auto"/>
        <w:rPr>
          <w:sz w:val="20"/>
          <w:szCs w:val="20"/>
          <w:color w:val="auto"/>
        </w:rPr>
      </w:pPr>
      <w:r>
        <w:rPr>
          <w:rFonts w:ascii="Arial" w:cs="Arial" w:eastAsia="Arial" w:hAnsi="Arial"/>
          <w:sz w:val="18"/>
          <w:szCs w:val="18"/>
          <w:color w:val="auto"/>
        </w:rPr>
        <w:t>The income tax benefit on the compensation expense recognized for all share-based compensation arrangements was $1.7 million, $2.1 million and $1.8 million for the years ended May 31, 2020, 2019 and 2018, respectively. The income tax benefit for 2020, 2019 and 2018 are negated by the full valuation allowance recorded against the deferred tax assets.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firstLine="389"/>
        <w:spacing w:after="0" w:line="287" w:lineRule="auto"/>
        <w:rPr>
          <w:sz w:val="20"/>
          <w:szCs w:val="20"/>
          <w:color w:val="auto"/>
        </w:rPr>
      </w:pPr>
      <w:r>
        <w:rPr>
          <w:rFonts w:ascii="Arial" w:cs="Arial" w:eastAsia="Arial" w:hAnsi="Arial"/>
          <w:sz w:val="16"/>
          <w:szCs w:val="16"/>
          <w:color w:val="auto"/>
        </w:rPr>
        <w:t>The Employee Stock Purchase Plan (the “Stock Purchase Plan”) provides a means by which employees (the “participants”) are given an opportunity to purchase the Company's common stock through payroll deductions. A total of 3,500,000 shares of common stock have been reserved for issuance under the Stock Purchase Plan. Shares are offered through two purchase periods, each with duration of approximately 6 months, commencing on the first business day of the first and third fiscal quarters. An employee is eligible to participate in an offering period if, on the first day of an offering period, he or she has been employed in a full-time capacity for at least six months, with a customary working schedule of 20 or more hours per week and more than five months in a calendar year. Employees who own stock possessing 5% or more of the total combined voting power or value of all classes of stock are not eligible to participate in the Stock Purchase Plan. The purchase price of the shares of common stock acquired on each purchase date will be the lower of (i) 85% of the fair market value of a share of common stock on the first day of the offering period or (ii) 85% of the fair market value of a share of common stock on the last day of the purchase period, subject to adjustments made by the Board of Directors. The Stock Purchase Plan is intended to qualify as an “employee stock purchase plan” within the meaning of Section 423 of the Internal Revenue Code. During the years ended May 31, 2017 and 2019, an additional 500,000 and 1,000,000 shares of the Company's common stock, respectively, were reserved for issuance under the Stock Purchase Plan.</w:t>
      </w:r>
    </w:p>
    <w:p>
      <w:pPr>
        <w:spacing w:after="0" w:line="118" w:lineRule="exact"/>
        <w:rPr>
          <w:sz w:val="20"/>
          <w:szCs w:val="20"/>
          <w:color w:val="auto"/>
        </w:rPr>
      </w:pPr>
    </w:p>
    <w:p>
      <w:pPr>
        <w:jc w:val="both"/>
        <w:ind w:right="240" w:firstLine="389"/>
        <w:spacing w:after="0" w:line="279" w:lineRule="auto"/>
        <w:rPr>
          <w:sz w:val="20"/>
          <w:szCs w:val="20"/>
          <w:color w:val="auto"/>
        </w:rPr>
      </w:pPr>
      <w:r>
        <w:rPr>
          <w:rFonts w:ascii="Arial" w:cs="Arial" w:eastAsia="Arial" w:hAnsi="Arial"/>
          <w:sz w:val="17"/>
          <w:szCs w:val="17"/>
          <w:color w:val="auto"/>
        </w:rPr>
        <w:t>The Company uses the Black-Scholes option-pricing model to calculate the purchase date fair value of the shares issued under the Stock Purchase Plan and recognize expense related to shares purchased ratably over the offering period. During the years ended May 31, 2020, 2019 and 2018, 100,567, 72,863 and 89,943 shares, respectively, were issued at an average price of $12.11, $16.08 and $14.03, respectively, under the Stock Purchase Plan. As of May 31, 2020, 2.1 million shares remained available for future purchases under the Stock Purchase Plan.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75" w:lineRule="exact"/>
        <w:rPr>
          <w:sz w:val="20"/>
          <w:szCs w:val="20"/>
          <w:color w:val="auto"/>
        </w:rPr>
      </w:pPr>
    </w:p>
    <w:p>
      <w:pPr>
        <w:ind w:right="60" w:firstLine="389"/>
        <w:spacing w:after="0" w:line="259" w:lineRule="auto"/>
        <w:rPr>
          <w:sz w:val="20"/>
          <w:szCs w:val="20"/>
          <w:color w:val="auto"/>
        </w:rPr>
      </w:pPr>
      <w:r>
        <w:rPr>
          <w:rFonts w:ascii="Arial" w:cs="Arial" w:eastAsia="Arial" w:hAnsi="Arial"/>
          <w:sz w:val="18"/>
          <w:szCs w:val="18"/>
          <w:color w:val="auto"/>
        </w:rPr>
        <w:t>Basic earnings per share are based on the weighted average number of common shares outstanding.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basic loss per share as the impact would be anti-dilutive.</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reconciles basic to diluted weighted average shares outstanding for the years ended May 31, 2020,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Year ended May 31,</w:t>
            </w:r>
          </w:p>
        </w:tc>
        <w:tc>
          <w:tcPr>
            <w:tcW w:w="1420" w:type="dxa"/>
            <w:vAlign w:val="bottom"/>
            <w:tcBorders>
              <w:bottom w:val="single" w:sz="8" w:color="auto"/>
            </w:tcBorders>
          </w:tcPr>
          <w:p>
            <w:pPr>
              <w:spacing w:after="0"/>
              <w:rPr>
                <w:sz w:val="16"/>
                <w:szCs w:val="16"/>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2018</w:t>
            </w:r>
          </w:p>
        </w:tc>
      </w:tr>
      <w:tr>
        <w:trPr>
          <w:trHeight w:val="24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37,961,224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37,484,573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37,074,797</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37,961,224</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37,484,573</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37,074,797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9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excluded as their inclusion would be anti-dilutive</w:t>
            </w:r>
          </w:p>
        </w:tc>
        <w:tc>
          <w:tcPr>
            <w:tcW w:w="14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2,581,006</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2,200,318</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1,077,256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ASU No. 2016-02, Leases (Topic 842)</w:t>
      </w:r>
    </w:p>
    <w:p>
      <w:pPr>
        <w:spacing w:after="0" w:line="171" w:lineRule="exact"/>
        <w:rPr>
          <w:sz w:val="20"/>
          <w:szCs w:val="20"/>
          <w:color w:val="auto"/>
        </w:rPr>
      </w:pPr>
    </w:p>
    <w:p>
      <w:pPr>
        <w:ind w:right="780" w:firstLine="389"/>
        <w:spacing w:after="0" w:line="286" w:lineRule="auto"/>
        <w:rPr>
          <w:sz w:val="20"/>
          <w:szCs w:val="20"/>
          <w:color w:val="auto"/>
        </w:rPr>
      </w:pPr>
      <w:r>
        <w:rPr>
          <w:rFonts w:ascii="Arial" w:cs="Arial" w:eastAsia="Arial" w:hAnsi="Arial"/>
          <w:sz w:val="17"/>
          <w:szCs w:val="17"/>
          <w:color w:val="auto"/>
        </w:rPr>
        <w:t>On June 1, 2019, the Company adopted ASU No. 2016-02 using the modified retrospective approach. This ASU increases transparency and comparability among organizations by recognizing lease assets and liabilities on the balance sheet and disclosing key information about leasing arrangements. Comparative periods prior to adoption have not been retrospectively adjusted.</w:t>
      </w:r>
    </w:p>
    <w:p>
      <w:pPr>
        <w:spacing w:after="0" w:line="111" w:lineRule="exact"/>
        <w:rPr>
          <w:sz w:val="20"/>
          <w:szCs w:val="20"/>
          <w:color w:val="auto"/>
        </w:rPr>
      </w:pPr>
    </w:p>
    <w:p>
      <w:pPr>
        <w:jc w:val="both"/>
        <w:ind w:right="60" w:firstLine="389"/>
        <w:spacing w:after="0" w:line="279" w:lineRule="auto"/>
        <w:rPr>
          <w:sz w:val="20"/>
          <w:szCs w:val="20"/>
          <w:color w:val="auto"/>
        </w:rPr>
      </w:pPr>
      <w:r>
        <w:rPr>
          <w:rFonts w:ascii="Arial" w:cs="Arial" w:eastAsia="Arial" w:hAnsi="Arial"/>
          <w:sz w:val="17"/>
          <w:szCs w:val="17"/>
          <w:color w:val="auto"/>
        </w:rPr>
        <w:t>The Company elected the three practical expedients that permit an entity to a) not reassess whether expired or existing contracts contain leases, b) not reassess lease classification for existing or expired leases, and c) not consider whether previously capitalized initial direct costs would be appropriate under the new standard. Further, the Company has elected to not recognize leases with terms of 12 months or less on the balance sheet, and elected to account for lease and non-lease components as a single component for certain classes of assets.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ind w:right="140" w:firstLine="389"/>
        <w:spacing w:after="0" w:line="277" w:lineRule="auto"/>
        <w:rPr>
          <w:sz w:val="20"/>
          <w:szCs w:val="20"/>
          <w:color w:val="auto"/>
        </w:rPr>
      </w:pPr>
      <w:r>
        <w:rPr>
          <w:rFonts w:ascii="Arial" w:cs="Arial" w:eastAsia="Arial" w:hAnsi="Arial"/>
          <w:sz w:val="18"/>
          <w:szCs w:val="18"/>
          <w:color w:val="auto"/>
        </w:rPr>
        <w:t>The adoption of this standard resulted in the recording of an additional lease asset and lease liability of approximately $5.6 million. The standard did not have a material impact on the Company's Consolidated Statement of Operations, Stockholders Equity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420" w:firstLine="389"/>
        <w:spacing w:after="0" w:line="277" w:lineRule="auto"/>
        <w:rPr>
          <w:sz w:val="20"/>
          <w:szCs w:val="20"/>
          <w:color w:val="auto"/>
        </w:rPr>
      </w:pPr>
      <w:r>
        <w:rPr>
          <w:rFonts w:ascii="Arial" w:cs="Arial" w:eastAsia="Arial" w:hAnsi="Arial"/>
          <w:sz w:val="18"/>
          <w:szCs w:val="18"/>
          <w:color w:val="auto"/>
        </w:rPr>
        <w:t>The Company determines if an arrangement is a lease at inception of the contract. The Company has operating leases for buildings, primarily for office space, R&amp;D, manufacturing and warehousing.</w:t>
      </w:r>
    </w:p>
    <w:p>
      <w:pPr>
        <w:spacing w:after="0" w:line="116" w:lineRule="exact"/>
        <w:rPr>
          <w:sz w:val="20"/>
          <w:szCs w:val="20"/>
          <w:color w:val="auto"/>
        </w:rPr>
      </w:pPr>
    </w:p>
    <w:p>
      <w:pPr>
        <w:ind w:right="100" w:firstLine="389"/>
        <w:spacing w:after="0" w:line="259" w:lineRule="auto"/>
        <w:rPr>
          <w:sz w:val="20"/>
          <w:szCs w:val="20"/>
          <w:color w:val="auto"/>
        </w:rPr>
      </w:pPr>
      <w:r>
        <w:rPr>
          <w:rFonts w:ascii="Arial" w:cs="Arial" w:eastAsia="Arial" w:hAnsi="Arial"/>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740" w:type="dxa"/>
            <w:vAlign w:val="bottom"/>
            <w:gridSpan w:val="2"/>
          </w:tcPr>
          <w:p>
            <w:pPr>
              <w:ind w:left="640"/>
              <w:spacing w:after="0"/>
              <w:rPr>
                <w:sz w:val="20"/>
                <w:szCs w:val="20"/>
                <w:color w:val="auto"/>
              </w:rPr>
            </w:pPr>
            <w:r>
              <w:rPr>
                <w:rFonts w:ascii="Arial" w:cs="Arial" w:eastAsia="Arial" w:hAnsi="Arial"/>
                <w:sz w:val="14"/>
                <w:szCs w:val="14"/>
                <w:color w:val="auto"/>
              </w:rPr>
              <w:t>Balance Sheet Location</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May 31, 2020</w:t>
            </w:r>
          </w:p>
        </w:tc>
      </w:tr>
      <w:tr>
        <w:trPr>
          <w:trHeight w:val="236"/>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060" w:type="dxa"/>
            <w:vAlign w:val="bottom"/>
          </w:tcPr>
          <w:p>
            <w:pPr>
              <w:ind w:left="220"/>
              <w:spacing w:after="0"/>
              <w:rPr>
                <w:sz w:val="20"/>
                <w:szCs w:val="20"/>
                <w:color w:val="auto"/>
              </w:rPr>
            </w:pPr>
            <w:r>
              <w:rPr>
                <w:rFonts w:ascii="Arial" w:cs="Arial" w:eastAsia="Arial" w:hAnsi="Arial"/>
                <w:sz w:val="18"/>
                <w:szCs w:val="18"/>
                <w:color w:val="auto"/>
              </w:rPr>
              <w:t>Operating lease ROU asset</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10,146</w:t>
            </w:r>
          </w:p>
        </w:tc>
      </w:tr>
      <w:tr>
        <w:trPr>
          <w:trHeight w:val="27"/>
        </w:trPr>
        <w:tc>
          <w:tcPr>
            <w:tcW w:w="70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2,077</w:t>
            </w:r>
          </w:p>
        </w:tc>
      </w:tr>
      <w:tr>
        <w:trPr>
          <w:trHeight w:val="27"/>
        </w:trPr>
        <w:tc>
          <w:tcPr>
            <w:tcW w:w="70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Non-current operating lease liabilities</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8,345</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10,422</w:t>
            </w:r>
          </w:p>
        </w:tc>
      </w:tr>
      <w:tr>
        <w:trPr>
          <w:trHeight w:val="27"/>
        </w:trPr>
        <w:tc>
          <w:tcPr>
            <w:tcW w:w="70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0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389"/>
        <w:spacing w:after="0" w:line="259"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May 31, 2020</w:t>
            </w: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term (in years)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405"/>
        </w:trPr>
        <w:tc>
          <w:tcPr>
            <w:tcW w:w="9740" w:type="dxa"/>
            <w:vAlign w:val="bottom"/>
          </w:tcPr>
          <w:p>
            <w:pPr>
              <w:ind w:left="400"/>
              <w:spacing w:after="0"/>
              <w:rPr>
                <w:sz w:val="20"/>
                <w:szCs w:val="20"/>
                <w:color w:val="auto"/>
              </w:rPr>
            </w:pPr>
            <w:r>
              <w:rPr>
                <w:rFonts w:ascii="Arial" w:cs="Arial" w:eastAsia="Arial" w:hAnsi="Arial"/>
                <w:sz w:val="18"/>
                <w:szCs w:val="18"/>
                <w:color w:val="auto"/>
              </w:rPr>
              <w:t>The following table presents the maturities of the lease liabilities: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5"/>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May 31, 2020</w:t>
            </w:r>
          </w:p>
        </w:tc>
      </w:tr>
      <w:tr>
        <w:trPr>
          <w:trHeight w:val="249"/>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2,466</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2,357</w:t>
            </w:r>
          </w:p>
        </w:tc>
      </w:tr>
      <w:tr>
        <w:trPr>
          <w:trHeight w:val="27"/>
        </w:trPr>
        <w:tc>
          <w:tcPr>
            <w:tcW w:w="9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2,403</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1,864</w:t>
            </w:r>
          </w:p>
        </w:tc>
      </w:tr>
      <w:tr>
        <w:trPr>
          <w:trHeight w:val="27"/>
        </w:trPr>
        <w:tc>
          <w:tcPr>
            <w:tcW w:w="9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1,259</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1,188</w:t>
            </w:r>
          </w:p>
        </w:tc>
      </w:tr>
      <w:tr>
        <w:trPr>
          <w:trHeight w:val="27"/>
        </w:trPr>
        <w:tc>
          <w:tcPr>
            <w:tcW w:w="9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11,537</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1,115</w:t>
            </w:r>
          </w:p>
        </w:tc>
      </w:tr>
      <w:tr>
        <w:trPr>
          <w:trHeight w:val="27"/>
        </w:trPr>
        <w:tc>
          <w:tcPr>
            <w:tcW w:w="9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obligations</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10,422</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Less: Current portion of lease obligations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2,077</w:t>
            </w:r>
          </w:p>
        </w:tc>
      </w:tr>
      <w:tr>
        <w:trPr>
          <w:trHeight w:val="27"/>
        </w:trPr>
        <w:tc>
          <w:tcPr>
            <w:tcW w:w="9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8,345</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389"/>
        <w:spacing w:after="0" w:line="263" w:lineRule="auto"/>
        <w:rPr>
          <w:sz w:val="20"/>
          <w:szCs w:val="20"/>
          <w:color w:val="auto"/>
        </w:rPr>
      </w:pPr>
      <w:r>
        <w:rPr>
          <w:rFonts w:ascii="Arial" w:cs="Arial" w:eastAsia="Arial" w:hAnsi="Arial"/>
          <w:sz w:val="18"/>
          <w:szCs w:val="18"/>
          <w:color w:val="auto"/>
        </w:rPr>
        <w:t>Included in the total lease obligations is a 7-year building operating lease with undiscounted payment obligations of $6.4 million that commenced during the third quarter of fiscal year 2020 and a 5-year building operating lease with undiscounted payment obligations of $1.5 million that commenced during the fourth quarter of fiscal year 2020.</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the year ended May 31, 2020, the Company recognized $3.4 million of operating lease expense which includes immaterial short-term leases.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Rent expense prior to adoption of ASC 842 amounted to $2.5 million and $2.8 million for the years ended May 31, 2019 and 2018, respectively.</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97" w:name="page98"/>
    <w:bookmarkEnd w:id="97"/>
    <w:p>
      <w:pPr>
        <w:ind w:left="400"/>
        <w:spacing w:after="0"/>
        <w:rPr>
          <w:sz w:val="20"/>
          <w:szCs w:val="20"/>
          <w:color w:val="auto"/>
        </w:rPr>
      </w:pPr>
      <w:r>
        <w:rPr>
          <w:rFonts w:ascii="Arial" w:cs="Arial" w:eastAsia="Arial" w:hAnsi="Arial"/>
          <w:sz w:val="18"/>
          <w:szCs w:val="18"/>
          <w:color w:val="auto"/>
        </w:rPr>
        <w:t>As of May 31, 2020, the expenses on the Consolidated Statement of Operations were classified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May 31, 2020</w:t>
            </w:r>
          </w:p>
        </w:tc>
        <w:tc>
          <w:tcPr>
            <w:tcW w:w="0" w:type="dxa"/>
            <w:vAlign w:val="bottom"/>
          </w:tcPr>
          <w:p>
            <w:pPr>
              <w:spacing w:after="0"/>
              <w:rPr>
                <w:sz w:val="1"/>
                <w:szCs w:val="1"/>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9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8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color w:val="auto"/>
              </w:rPr>
              <w:t>The following table presents supplemental cash flow and other information related to leases for the year ended: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May 31, 2020</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621"/>
        </w:trPr>
        <w:tc>
          <w:tcPr>
            <w:tcW w:w="9800" w:type="dxa"/>
            <w:vAlign w:val="bottom"/>
          </w:tcPr>
          <w:p>
            <w:pPr>
              <w:ind w:left="400"/>
              <w:spacing w:after="0"/>
              <w:rPr>
                <w:sz w:val="20"/>
                <w:szCs w:val="20"/>
                <w:color w:val="auto"/>
              </w:rPr>
            </w:pPr>
            <w:r>
              <w:rPr>
                <w:rFonts w:ascii="Arial" w:cs="Arial" w:eastAsia="Arial" w:hAnsi="Arial"/>
                <w:sz w:val="18"/>
                <w:szCs w:val="18"/>
                <w:color w:val="auto"/>
                <w:w w:val="93"/>
              </w:rPr>
              <w:t>Future annual payments under non-cancelable operating leases in the aggregate at May 31, 2019, are summarized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May 31, 2019</w:t>
            </w:r>
          </w:p>
        </w:tc>
        <w:tc>
          <w:tcPr>
            <w:tcW w:w="0" w:type="dxa"/>
            <w:vAlign w:val="bottom"/>
          </w:tcPr>
          <w:p>
            <w:pPr>
              <w:spacing w:after="0"/>
              <w:rPr>
                <w:sz w:val="1"/>
                <w:szCs w:val="1"/>
                <w:color w:val="auto"/>
              </w:rPr>
            </w:pPr>
          </w:p>
        </w:tc>
      </w:tr>
      <w:tr>
        <w:trPr>
          <w:trHeight w:val="249"/>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 and 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12,749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other future commitments and contingencies as of May 31, 2020:</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7"/>
              <w:spacing w:after="0"/>
              <w:rPr>
                <w:sz w:val="20"/>
                <w:szCs w:val="20"/>
                <w:color w:val="auto"/>
              </w:rPr>
            </w:pPr>
            <w:r>
              <w:rPr>
                <w:rFonts w:ascii="Arial" w:cs="Arial" w:eastAsia="Arial" w:hAnsi="Arial"/>
                <w:sz w:val="14"/>
                <w:szCs w:val="14"/>
                <w:color w:val="auto"/>
              </w:rPr>
              <w:t>2025 and</w:t>
            </w:r>
          </w:p>
        </w:tc>
      </w:tr>
      <w:tr>
        <w:trPr>
          <w:trHeight w:val="188"/>
        </w:trPr>
        <w:tc>
          <w:tcPr>
            <w:tcW w:w="4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thereafter</w:t>
            </w:r>
          </w:p>
        </w:tc>
      </w:tr>
      <w:tr>
        <w:trPr>
          <w:trHeight w:val="27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r>
      <w:tr>
        <w:trPr>
          <w:trHeight w:val="270"/>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xml:space="preserve">Royalties </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51,500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36,300</w:t>
            </w:r>
          </w:p>
        </w:tc>
      </w:tr>
      <w:tr>
        <w:trPr>
          <w:trHeight w:val="289"/>
        </w:trPr>
        <w:tc>
          <w:tcPr>
            <w:tcW w:w="43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52,053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4,353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36,300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right="340" w:firstLine="8"/>
        <w:spacing w:after="0" w:line="255" w:lineRule="auto"/>
        <w:tabs>
          <w:tab w:leader="none" w:pos="22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non-cancelable inventory purchase obligations are not reflected on the consolidated balance sheets under accounting principles generally accepted in the United States of America.</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These are future minimum royalty payments.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20" w:firstLine="389"/>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171" w:lineRule="exact"/>
        <w:rPr>
          <w:sz w:val="20"/>
          <w:szCs w:val="20"/>
          <w:color w:val="auto"/>
        </w:rPr>
      </w:pPr>
    </w:p>
    <w:p>
      <w:pPr>
        <w:ind w:right="200" w:firstLine="389"/>
        <w:spacing w:after="0" w:line="277" w:lineRule="auto"/>
        <w:rPr>
          <w:sz w:val="20"/>
          <w:szCs w:val="20"/>
          <w:color w:val="auto"/>
        </w:rPr>
      </w:pPr>
      <w:r>
        <w:rPr>
          <w:rFonts w:ascii="Arial" w:cs="Arial" w:eastAsia="Arial" w:hAnsi="Arial"/>
          <w:sz w:val="18"/>
          <w:szCs w:val="18"/>
          <w:color w:val="auto"/>
        </w:rPr>
        <w:t>On January 11, 2012, C.R. Bard, Inc. (“Bard”) filed a suit in the United States District Court of Utah claiming certain of the Company's implantable port products infringe on three U.S. patents held by Bard (the "Utah Action"). Bard’s complaint</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98" w:name="page99"/>
    <w:bookmarkEnd w:id="98"/>
    <w:p>
      <w:pPr>
        <w:ind w:right="40"/>
        <w:spacing w:after="0" w:line="270" w:lineRule="auto"/>
        <w:rPr>
          <w:sz w:val="20"/>
          <w:szCs w:val="20"/>
          <w:color w:val="auto"/>
        </w:rPr>
      </w:pPr>
      <w:r>
        <w:rPr>
          <w:rFonts w:ascii="Arial" w:cs="Arial" w:eastAsia="Arial" w:hAnsi="Arial"/>
          <w:sz w:val="17"/>
          <w:szCs w:val="17"/>
          <w:color w:val="auto"/>
        </w:rPr>
        <w:t>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For US Patent No. 7,785,302, the rejections of six of the ten claims under reexamination were affirmed, but were reversed on four of the ten claims. For U.S. Patent No. 7,959,615 the rejections of eight of the ten claims under reexamination were affirmed but the rejections of the other two of the ten claims were reversed. In the third, for U.S. Patent No. 7,947,022 the rejections of all twenty claims under reexamination were affirmed. Thereafter, Bard sought Rehearing in all three appeals and the Company sought Rehearing in the ‘302 and ‘615 appeals. The PTO denied all three Rehearing Requests, but modified its characterization of one prior art reference for the ‘302 and ‘022 decisions.</w:t>
      </w:r>
    </w:p>
    <w:p>
      <w:pPr>
        <w:spacing w:after="0" w:line="127" w:lineRule="exact"/>
        <w:rPr>
          <w:sz w:val="20"/>
          <w:szCs w:val="20"/>
          <w:color w:val="auto"/>
        </w:rPr>
      </w:pPr>
    </w:p>
    <w:p>
      <w:pPr>
        <w:ind w:firstLine="389"/>
        <w:spacing w:after="0" w:line="285" w:lineRule="auto"/>
        <w:rPr>
          <w:sz w:val="20"/>
          <w:szCs w:val="20"/>
          <w:color w:val="auto"/>
        </w:rPr>
      </w:pPr>
      <w:r>
        <w:rPr>
          <w:rFonts w:ascii="Arial" w:cs="Arial" w:eastAsia="Arial" w:hAnsi="Arial"/>
          <w:sz w:val="16"/>
          <w:szCs w:val="16"/>
          <w:color w:val="auto"/>
        </w:rPr>
        <w:t>Bard filed appeals to the Federal Circuit Court of Appeals in all three reexams and the Company Cross-Appealed for the ‘302 and the ‘615 reexams. MedComp also filed an Amicus Brief in support of the Company on November 22, 2017. Meanwhile, on July 12, 2017 Bard assigned the asserted patents to Bard Peripheral Vascular, Inc. (“BPV”) which was added as co-Appellant before the Federal Circuit and as a co-Plaintiff in the Utah action. An oral hearing was held on September 5, 2018 and the Court rendered its decision on September 28, 2018, affirming that claims 1-5 and 10 of the ‘615 patent were invalid, but that claims 6-7 of the 615 patent and claims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8-9. The USPTO has since issued Inter Partes Reexamination Certificates for the ‘302 Patent for the ‘022 patent and for the ‘615 patent. The Company thereafter filed a Motion to Unstay the Utah Case and that motion was granted. On November 4, 2019 the Court held a joint Status Conference among the Company’s Utah Action and two other cases filed by Bard on the same patents against MedComp and Smiths. The Court set a schedule for defendant's Motions to Dismiss or Transfer. The Company filed its motion on November 25, 2019; and Bard filed a responsive brief and a motion for venue discovery on December 9, 2019. The Company filed a responsive brief on December 16, 2019 and Bard filed a reply on December 23, 2019. On February 27, 2020, the Court referred all non-dispositive motions to the presiding Magistrate and on March 3, 2020 the Court granted Bard’s Motion for Venue Discovery and denied the Company’s transfer motion without prejudice to re-filing after completion of the venue discovery, but no later than June 30, 2020. The parties have since engaged in venue discovery and AngioDynamics re-filed its Motion to Dismiss or Transfer on June 30, 2020. Bard filed an opposition brief on July 28, 2020, and the Company’s Reply is due 14 days thereafter.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333" w:lineRule="exact"/>
        <w:rPr>
          <w:sz w:val="20"/>
          <w:szCs w:val="20"/>
          <w:color w:val="auto"/>
        </w:rPr>
      </w:pPr>
    </w:p>
    <w:p>
      <w:pPr>
        <w:ind w:right="40" w:firstLine="389"/>
        <w:spacing w:after="0" w:line="255" w:lineRule="auto"/>
        <w:rPr>
          <w:sz w:val="20"/>
          <w:szCs w:val="20"/>
          <w:color w:val="auto"/>
        </w:rPr>
      </w:pPr>
      <w:r>
        <w:rPr>
          <w:rFonts w:ascii="Arial" w:cs="Arial" w:eastAsia="Arial" w:hAnsi="Arial"/>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138" w:lineRule="exact"/>
        <w:rPr>
          <w:sz w:val="20"/>
          <w:szCs w:val="20"/>
          <w:color w:val="auto"/>
        </w:rPr>
      </w:pPr>
    </w:p>
    <w:p>
      <w:pPr>
        <w:ind w:right="160" w:firstLine="389"/>
        <w:spacing w:after="0" w:line="263" w:lineRule="auto"/>
        <w:rPr>
          <w:sz w:val="20"/>
          <w:szCs w:val="20"/>
          <w:color w:val="auto"/>
        </w:rPr>
      </w:pPr>
      <w:r>
        <w:rPr>
          <w:rFonts w:ascii="Arial" w:cs="Arial" w:eastAsia="Arial" w:hAnsi="Arial"/>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30" w:lineRule="exact"/>
        <w:rPr>
          <w:sz w:val="20"/>
          <w:szCs w:val="20"/>
          <w:color w:val="auto"/>
        </w:rPr>
      </w:pPr>
    </w:p>
    <w:p>
      <w:pPr>
        <w:ind w:right="80" w:firstLine="389"/>
        <w:spacing w:after="0" w:line="288" w:lineRule="auto"/>
        <w:rPr>
          <w:sz w:val="20"/>
          <w:szCs w:val="20"/>
          <w:color w:val="auto"/>
        </w:rPr>
      </w:pPr>
      <w:r>
        <w:rPr>
          <w:rFonts w:ascii="Arial" w:cs="Arial" w:eastAsia="Arial" w:hAnsi="Arial"/>
          <w:sz w:val="16"/>
          <w:szCs w:val="16"/>
          <w:color w:val="auto"/>
        </w:rPr>
        <w:t>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(by Magistrate-Judge Fallon) was issued on February 11, 2019 and entered by the Court on February 28, 2019. Jury selection was held on Friday March 1, 2019 and trial began on March 4, 2019. On day four of the jury trial, at the close of C.R. Bard’s case, the Court granted the Company's oral motion for judgment as a matter of law under rule 50(a) as well as its motions for summary judgement on the grounds that the asserted patents are invalid, ineligible, not infringed and not willfully infringed.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9" w:name="page100"/>
    <w:bookmarkEnd w:id="99"/>
    <w:p>
      <w:pPr>
        <w:ind w:right="80"/>
        <w:spacing w:after="0" w:line="254" w:lineRule="auto"/>
        <w:rPr>
          <w:sz w:val="20"/>
          <w:szCs w:val="20"/>
          <w:color w:val="auto"/>
        </w:rPr>
      </w:pPr>
      <w:r>
        <w:rPr>
          <w:rFonts w:ascii="Arial" w:cs="Arial" w:eastAsia="Arial" w:hAnsi="Arial"/>
          <w:sz w:val="18"/>
          <w:szCs w:val="18"/>
          <w:color w:val="auto"/>
        </w:rPr>
        <w:t>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filed on September 27, 2019; the Company's answering brief was filed on January 15, 2020; and Bard’s reply brief was filed on March 4, 2020. A hearing date was held on June 1, 2020, and the Company is currently awaiting a decision from the Federal Circuit .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171" w:lineRule="exact"/>
        <w:rPr>
          <w:sz w:val="20"/>
          <w:szCs w:val="20"/>
          <w:color w:val="auto"/>
        </w:rPr>
      </w:pPr>
    </w:p>
    <w:p>
      <w:pPr>
        <w:ind w:right="100" w:firstLine="389"/>
        <w:spacing w:after="0" w:line="257" w:lineRule="auto"/>
        <w:rPr>
          <w:sz w:val="20"/>
          <w:szCs w:val="20"/>
          <w:color w:val="auto"/>
        </w:rPr>
      </w:pPr>
      <w:r>
        <w:rPr>
          <w:rFonts w:ascii="Arial" w:cs="Arial" w:eastAsia="Arial" w:hAnsi="Arial"/>
          <w:sz w:val="17"/>
          <w:szCs w:val="17"/>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Discovery is largely complete, summary judgment will be fully briefed by September 11, 2020, and the case will subsequently proceed to trial thereafter.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171" w:lineRule="exact"/>
        <w:rPr>
          <w:sz w:val="20"/>
          <w:szCs w:val="20"/>
          <w:color w:val="auto"/>
        </w:rPr>
      </w:pPr>
    </w:p>
    <w:p>
      <w:pPr>
        <w:ind w:right="20" w:firstLine="389"/>
        <w:spacing w:after="0" w:line="301" w:lineRule="auto"/>
        <w:rPr>
          <w:sz w:val="20"/>
          <w:szCs w:val="20"/>
          <w:color w:val="auto"/>
        </w:rPr>
      </w:pPr>
      <w:r>
        <w:rPr>
          <w:rFonts w:ascii="Arial" w:cs="Arial" w:eastAsia="Arial" w:hAnsi="Arial"/>
          <w:sz w:val="16"/>
          <w:szCs w:val="16"/>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of fiscal year 2020. The case was subsequently dismissed.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SEGMENTS AND GEOGRAPHIC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firstLine="389"/>
        <w:spacing w:after="0" w:line="257" w:lineRule="auto"/>
        <w:rPr>
          <w:sz w:val="20"/>
          <w:szCs w:val="20"/>
          <w:color w:val="auto"/>
        </w:rPr>
      </w:pPr>
      <w:r>
        <w:rPr>
          <w:rFonts w:ascii="Arial" w:cs="Arial" w:eastAsia="Arial" w:hAnsi="Arial"/>
          <w:sz w:val="18"/>
          <w:szCs w:val="18"/>
          <w:color w:val="auto"/>
        </w:rPr>
        <w:t>The Company considers its business to be a single segment entity related to the development, manufacture and sale on a global basis of medical devices for vascular access, surgery, peripheral vascular disease and oncology. The Company's chief operating decision maker (CEO) evaluates the various global product portfolios on a net sales basis. Executives reporting in to the CEO include those responsible for operations and supply chain management, research and development, sales, franchise marketing and certain corporate functions. The CEO evaluates profitability, investment and cash flow metrics on a consolidated worldwide basis due to shared infrastructure and resources.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sales by product category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Year ended May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Product Category</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112,706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119,901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119,704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94,730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92,760</w:t>
            </w: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Oncology/Surgery</w:t>
            </w:r>
          </w:p>
        </w:tc>
        <w:tc>
          <w:tcPr>
            <w:tcW w:w="34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57,152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56,003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49,191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264,157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270,634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261,655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ind w:left="400"/>
              <w:spacing w:after="0"/>
              <w:rPr>
                <w:sz w:val="20"/>
                <w:szCs w:val="20"/>
                <w:color w:val="auto"/>
              </w:rPr>
            </w:pPr>
            <w:r>
              <w:rPr>
                <w:rFonts w:ascii="Arial" w:cs="Arial" w:eastAsia="Arial" w:hAnsi="Arial"/>
                <w:sz w:val="18"/>
                <w:szCs w:val="18"/>
                <w:color w:val="auto"/>
              </w:rPr>
              <w:t>Total sales for geographic areas are summarized below:</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Year ended May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207,980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216,957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213,727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56,177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53,677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47,928</w:t>
            </w:r>
          </w:p>
        </w:tc>
        <w:tc>
          <w:tcPr>
            <w:tcW w:w="0" w:type="dxa"/>
            <w:vAlign w:val="bottom"/>
          </w:tcPr>
          <w:p>
            <w:pPr>
              <w:spacing w:after="0"/>
              <w:rPr>
                <w:sz w:val="1"/>
                <w:szCs w:val="1"/>
                <w:color w:val="auto"/>
              </w:rPr>
            </w:pPr>
          </w:p>
        </w:tc>
      </w:tr>
      <w:tr>
        <w:trPr>
          <w:trHeight w:val="236"/>
        </w:trPr>
        <w:tc>
          <w:tcPr>
            <w:tcW w:w="6740" w:type="dxa"/>
            <w:vAlign w:val="bottom"/>
          </w:tcPr>
          <w:p>
            <w:pPr>
              <w:ind w:left="6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264,157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270,634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261,655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00" w:name="page101"/>
    <w:bookmarkEnd w:id="100"/>
    <w:p>
      <w:pPr>
        <w:jc w:val="both"/>
        <w:ind w:firstLine="389"/>
        <w:spacing w:after="0" w:line="311" w:lineRule="auto"/>
        <w:rPr>
          <w:sz w:val="20"/>
          <w:szCs w:val="20"/>
          <w:color w:val="auto"/>
        </w:rPr>
      </w:pPr>
      <w:r>
        <w:rPr>
          <w:rFonts w:ascii="Arial" w:cs="Arial" w:eastAsia="Arial" w:hAnsi="Arial"/>
          <w:sz w:val="16"/>
          <w:szCs w:val="16"/>
          <w:color w:val="auto"/>
        </w:rPr>
        <w:t>For fiscal years 2020, 2019 and 2018, international sales as a percentage of total net sales were 21%, 20% and 18%, respectively. Sales to any one country outside the U.S., as determined by shipment destination, did not comprise a material portion of net sales in any of the last three fiscal years. In addition, no one customer represents more than 10% of consolidated net sales. 99% of long-lived assets are located within the United States.</w:t>
      </w: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895" w:right="679" w:bottom="1440" w:gutter="0" w:footer="0" w:header="0"/>
        </w:sectPr>
      </w:pPr>
    </w:p>
    <w:bookmarkStart w:id="101" w:name="page102"/>
    <w:bookmarkEnd w:id="101"/>
    <w:p>
      <w:pPr>
        <w:ind w:left="400" w:right="5840" w:hanging="392"/>
        <w:spacing w:after="0" w:line="469" w:lineRule="auto"/>
        <w:tabs>
          <w:tab w:leader="none" w:pos="281"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RESTRUCTURING AND OTHER ITEMS, NET </w:t>
      </w:r>
      <w:r>
        <w:rPr>
          <w:rFonts w:ascii="Arial" w:cs="Arial" w:eastAsia="Arial" w:hAnsi="Arial"/>
          <w:sz w:val="18"/>
          <w:szCs w:val="18"/>
          <w:color w:val="auto"/>
        </w:rPr>
        <w:t>Acquisition, restructuring and other items, net consisted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May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5"/>
        </w:trPr>
        <w:tc>
          <w:tcPr>
            <w:tcW w:w="6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2018</w:t>
            </w: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 xml:space="preserve">Legal </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8,407</w:t>
            </w:r>
          </w:p>
        </w:tc>
      </w:tr>
      <w:tr>
        <w:trPr>
          <w:trHeight w:val="27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Mergers and acquisitions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4,030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1,660</w:t>
            </w: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 xml:space="preserve">Transition service agreement </w:t>
            </w:r>
            <w:r>
              <w:rPr>
                <w:rFonts w:ascii="Arial" w:cs="Arial" w:eastAsia="Arial" w:hAnsi="Arial"/>
                <w:sz w:val="23"/>
                <w:szCs w:val="23"/>
                <w:color w:val="auto"/>
                <w:vertAlign w:val="superscript"/>
              </w:rPr>
              <w:t>(3)</w:t>
            </w:r>
          </w:p>
        </w:tc>
        <w:tc>
          <w:tcPr>
            <w:tcW w:w="3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Divestiture </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Intangible and other asset impairment</w:t>
            </w:r>
          </w:p>
        </w:tc>
        <w:tc>
          <w:tcPr>
            <w:tcW w:w="3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4,674</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691</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15,432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40" w:hanging="232"/>
        <w:spacing w:after="0"/>
        <w:tabs>
          <w:tab w:leader="none" w:pos="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Mergers and acquisitions expenses related to investment banking, legal and due diligence.</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Transition services agreement that was entered into as a result of the sale of the Fluid Management business.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Divestiture expenses incurred to transition manufacturing from Glens Falls, NY to Queensbury, NY.</w:t>
      </w:r>
    </w:p>
    <w:p>
      <w:pPr>
        <w:spacing w:after="0" w:line="149" w:lineRule="exact"/>
        <w:rPr>
          <w:sz w:val="20"/>
          <w:szCs w:val="20"/>
          <w:color w:val="auto"/>
        </w:rPr>
      </w:pPr>
    </w:p>
    <w:p>
      <w:pPr>
        <w:ind w:right="140" w:firstLine="389"/>
        <w:spacing w:after="0" w:line="263" w:lineRule="auto"/>
        <w:rPr>
          <w:sz w:val="20"/>
          <w:szCs w:val="20"/>
          <w:color w:val="auto"/>
        </w:rPr>
      </w:pPr>
      <w:r>
        <w:rPr>
          <w:rFonts w:ascii="Arial" w:cs="Arial" w:eastAsia="Arial" w:hAnsi="Arial"/>
          <w:sz w:val="18"/>
          <w:szCs w:val="18"/>
          <w:color w:val="auto"/>
        </w:rPr>
        <w:t>Included in legal for fiscal years 2020 and 2019 are settlements received for the Biolitec litigation of $0.5 million and $3.4 million, respectively. The settlement received offsets legal expenses paid related to the settlement proceedings. In addition, the $2.5 million accrual for the settlement of the Merz contract termination is included in legal expenses for fiscal year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ind w:right="420" w:firstLine="389"/>
        <w:spacing w:after="0" w:line="277" w:lineRule="auto"/>
        <w:rPr>
          <w:sz w:val="20"/>
          <w:szCs w:val="20"/>
          <w:color w:val="auto"/>
        </w:rPr>
      </w:pPr>
      <w:r>
        <w:rPr>
          <w:rFonts w:ascii="Arial" w:cs="Arial" w:eastAsia="Arial" w:hAnsi="Arial"/>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Consolidation</w:t>
      </w:r>
    </w:p>
    <w:p>
      <w:pPr>
        <w:spacing w:after="0" w:line="171" w:lineRule="exact"/>
        <w:rPr>
          <w:sz w:val="20"/>
          <w:szCs w:val="20"/>
          <w:color w:val="auto"/>
        </w:rPr>
      </w:pPr>
    </w:p>
    <w:p>
      <w:pPr>
        <w:ind w:right="60" w:firstLine="389"/>
        <w:spacing w:after="0" w:line="275" w:lineRule="auto"/>
        <w:rPr>
          <w:sz w:val="20"/>
          <w:szCs w:val="20"/>
          <w:color w:val="auto"/>
        </w:rPr>
      </w:pPr>
      <w:r>
        <w:rPr>
          <w:rFonts w:ascii="Arial" w:cs="Arial" w:eastAsia="Arial" w:hAnsi="Arial"/>
          <w:sz w:val="17"/>
          <w:szCs w:val="17"/>
          <w:color w:val="auto"/>
        </w:rPr>
        <w:t>On February 1, 2017, the Company announced to employees an operational consolidation plan (the “plan”) to consolidate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were completed in the fourth quarter of fiscal year 2018 with immaterial validation and regulatory costs incurred in fiscal year 2019.</w:t>
      </w:r>
    </w:p>
    <w:p>
      <w:pPr>
        <w:spacing w:after="0" w:line="122" w:lineRule="exact"/>
        <w:rPr>
          <w:sz w:val="20"/>
          <w:szCs w:val="20"/>
          <w:color w:val="auto"/>
        </w:rPr>
      </w:pPr>
    </w:p>
    <w:p>
      <w:pPr>
        <w:jc w:val="both"/>
        <w:ind w:right="40" w:firstLine="389"/>
        <w:spacing w:after="0" w:line="311" w:lineRule="auto"/>
        <w:rPr>
          <w:sz w:val="20"/>
          <w:szCs w:val="20"/>
          <w:color w:val="auto"/>
        </w:rPr>
      </w:pPr>
      <w:r>
        <w:rPr>
          <w:rFonts w:ascii="Arial" w:cs="Arial" w:eastAsia="Arial" w:hAnsi="Arial"/>
          <w:sz w:val="16"/>
          <w:szCs w:val="16"/>
          <w:color w:val="auto"/>
        </w:rPr>
        <w:t>The Company recorded restructuring charges related to the plan during the year ended May 31, 2020, 2019 and 2018 of $0.0 million, $0.3 million and $4.7 million, respectively. Total restructuring charges recorded as part of the plan were $6.3 million. Termination benefits were only earned if an employee stays until their termination date; therefore, the expenses related to termination benefits were recorded ratably over the service period.</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a rollforward of the restructuring reserve for the years ended May 31, 2020, 2019 and 2018: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Contract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Termination</w:t>
            </w:r>
          </w:p>
        </w:tc>
        <w:tc>
          <w:tcPr>
            <w:tcW w:w="220" w:type="dxa"/>
            <w:vAlign w:val="bottom"/>
          </w:tcPr>
          <w:p>
            <w:pPr>
              <w:spacing w:after="0"/>
              <w:rPr>
                <w:sz w:val="17"/>
                <w:szCs w:val="17"/>
                <w:color w:val="auto"/>
              </w:rPr>
            </w:pPr>
          </w:p>
        </w:tc>
        <w:tc>
          <w:tcPr>
            <w:tcW w:w="1320" w:type="dxa"/>
            <w:vAlign w:val="bottom"/>
            <w:gridSpan w:val="2"/>
          </w:tcPr>
          <w:p>
            <w:pPr>
              <w:ind w:left="340"/>
              <w:spacing w:after="0"/>
              <w:rPr>
                <w:sz w:val="20"/>
                <w:szCs w:val="20"/>
                <w:color w:val="auto"/>
              </w:rPr>
            </w:pPr>
            <w:r>
              <w:rPr>
                <w:rFonts w:ascii="Arial" w:cs="Arial" w:eastAsia="Arial" w:hAnsi="Arial"/>
                <w:sz w:val="14"/>
                <w:szCs w:val="14"/>
                <w:color w:val="auto"/>
              </w:rPr>
              <w:t>Plant</w:t>
            </w: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Regulatory</w:t>
            </w:r>
          </w:p>
        </w:tc>
        <w:tc>
          <w:tcPr>
            <w:tcW w:w="2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Cancellation</w:t>
            </w:r>
          </w:p>
        </w:tc>
        <w:tc>
          <w:tcPr>
            <w:tcW w:w="24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Benefits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Consolidation</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8"/>
              </w:rPr>
              <w:t>Filings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w w:val="89"/>
              </w:rPr>
              <w:t>Costs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Costs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Total</w:t>
            </w:r>
          </w:p>
        </w:tc>
      </w:tr>
      <w:tr>
        <w:trPr>
          <w:trHeight w:val="249"/>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May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962</w:t>
            </w: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center"/>
              <w:ind w:left="473"/>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center"/>
              <w:ind w:left="313"/>
              <w:spacing w:after="0"/>
              <w:rPr>
                <w:sz w:val="20"/>
                <w:szCs w:val="20"/>
                <w:color w:val="auto"/>
              </w:rPr>
            </w:pPr>
            <w:r>
              <w:rPr>
                <w:rFonts w:ascii="Arial" w:cs="Arial" w:eastAsia="Arial" w:hAnsi="Arial"/>
                <w:sz w:val="18"/>
                <w:szCs w:val="18"/>
                <w:color w:val="auto"/>
                <w:w w:val="89"/>
              </w:rPr>
              <w:t>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4,674</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Non-cash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center"/>
              <w:ind w:left="433"/>
              <w:spacing w:after="0"/>
              <w:rPr>
                <w:sz w:val="20"/>
                <w:szCs w:val="20"/>
                <w:color w:val="auto"/>
              </w:rPr>
            </w:pPr>
            <w:r>
              <w:rPr>
                <w:rFonts w:ascii="Arial" w:cs="Arial" w:eastAsia="Arial" w:hAnsi="Arial"/>
                <w:sz w:val="18"/>
                <w:szCs w:val="18"/>
                <w:color w:val="auto"/>
                <w:w w:val="93"/>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center"/>
              <w:ind w:left="273"/>
              <w:spacing w:after="0"/>
              <w:rPr>
                <w:sz w:val="20"/>
                <w:szCs w:val="20"/>
                <w:color w:val="auto"/>
              </w:rPr>
            </w:pPr>
            <w:r>
              <w:rPr>
                <w:rFonts w:ascii="Arial" w:cs="Arial" w:eastAsia="Arial" w:hAnsi="Arial"/>
                <w:sz w:val="18"/>
                <w:szCs w:val="18"/>
                <w:color w:val="auto"/>
                <w:w w:val="93"/>
              </w:rPr>
              <w:t>(74)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(4,289)</w:t>
            </w:r>
          </w:p>
        </w:tc>
      </w:tr>
      <w:tr>
        <w:trPr>
          <w:trHeight w:val="27"/>
        </w:trPr>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May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473"/>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1,071</w:t>
            </w: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center"/>
              <w:ind w:left="473"/>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center"/>
              <w:ind w:left="193"/>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288</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Non-cash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center"/>
              <w:ind w:left="433"/>
              <w:spacing w:after="0"/>
              <w:rPr>
                <w:sz w:val="20"/>
                <w:szCs w:val="20"/>
                <w:color w:val="auto"/>
              </w:rPr>
            </w:pPr>
            <w:r>
              <w:rPr>
                <w:rFonts w:ascii="Arial" w:cs="Arial" w:eastAsia="Arial" w:hAnsi="Arial"/>
                <w:sz w:val="18"/>
                <w:szCs w:val="18"/>
                <w:color w:val="auto"/>
                <w:w w:val="93"/>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center"/>
              <w:ind w:left="193"/>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(1,338)</w:t>
            </w:r>
          </w:p>
        </w:tc>
      </w:tr>
      <w:tr>
        <w:trPr>
          <w:trHeight w:val="27"/>
        </w:trPr>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May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473"/>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center"/>
              <w:ind w:left="473"/>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center"/>
              <w:ind w:left="193"/>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26</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8"/>
                <w:szCs w:val="18"/>
                <w:color w:val="auto"/>
                <w:w w:val="93"/>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r>
      <w:tr>
        <w:trPr>
          <w:trHeight w:val="26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Balance at May 31, 2020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center"/>
              <w:ind w:left="47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center"/>
              <w:ind w:left="31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1"/>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ACCUMULATED OTHER COMPREHENSIVE INCOME (LOSS)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Changes in each component of accumulated other comprehensive income (loss), net of tax, are as follows for fiscal years 2020 and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Unrealized gain (loss)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8"/>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Foreign currency</w:t>
            </w: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on marketable</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8"/>
        </w:trPr>
        <w:tc>
          <w:tcPr>
            <w:tcW w:w="6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translation gain (loss)</w:t>
            </w: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securities</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color w:val="auto"/>
              </w:rPr>
              <w:t>Total</w:t>
            </w:r>
          </w:p>
        </w:tc>
      </w:tr>
      <w:tr>
        <w:trPr>
          <w:trHeight w:val="250"/>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Other comprehensive income before reclassifications, net of tax</w:t>
            </w:r>
          </w:p>
        </w:tc>
        <w:tc>
          <w:tcPr>
            <w:tcW w:w="16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(284)</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Net other comprehensive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(400)</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60" w:type="dxa"/>
            <w:vAlign w:val="bottom"/>
          </w:tcPr>
          <w:p>
            <w:pPr>
              <w:spacing w:after="0"/>
              <w:rPr>
                <w:sz w:val="21"/>
                <w:szCs w:val="21"/>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other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r>
      <w:tr>
        <w:trPr>
          <w:trHeight w:val="264"/>
        </w:trPr>
        <w:tc>
          <w:tcPr>
            <w:tcW w:w="6740" w:type="dxa"/>
            <w:vAlign w:val="bottom"/>
          </w:tcPr>
          <w:p>
            <w:pPr>
              <w:ind w:left="20"/>
              <w:spacing w:after="0"/>
              <w:rPr>
                <w:sz w:val="20"/>
                <w:szCs w:val="20"/>
                <w:color w:val="auto"/>
              </w:rPr>
            </w:pPr>
            <w:r>
              <w:rPr>
                <w:rFonts w:ascii="Arial" w:cs="Arial" w:eastAsia="Arial" w:hAnsi="Arial"/>
                <w:sz w:val="18"/>
                <w:szCs w:val="18"/>
                <w:color w:val="auto"/>
              </w:rPr>
              <w:t>Balance at May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(1,341)</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INFORMATION (unaudited)</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Quarterly results of operations during the fiscal years ended May 31, 2020 and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w w:val="89"/>
              </w:rPr>
              <w:t>2020</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First quarter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8"/>
              </w:rPr>
              <w:t>Second quarter</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Third quarter</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Fourth quarter</w:t>
            </w: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70,003</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58,332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38,217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40,299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30,212</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loss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(5,709)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(157,067)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Earnings per share net income</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(4.14)</w:t>
            </w:r>
          </w:p>
        </w:tc>
      </w:tr>
    </w:tbl>
    <w:p>
      <w:pPr>
        <w:spacing w:after="0" w:line="175" w:lineRule="exact"/>
        <w:rPr>
          <w:sz w:val="20"/>
          <w:szCs w:val="20"/>
          <w:color w:val="auto"/>
        </w:rPr>
      </w:pPr>
    </w:p>
    <w:p>
      <w:pPr>
        <w:ind w:left="240" w:hanging="232"/>
        <w:spacing w:after="0"/>
        <w:tabs>
          <w:tab w:leader="none" w:pos="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Net loss in the fourth quarter of fiscal year 2020 included the goodwill impairment charge of </w:t>
      </w:r>
      <w:r>
        <w:rPr>
          <w:rFonts w:ascii="Arial" w:cs="Arial" w:eastAsia="Arial" w:hAnsi="Arial"/>
          <w:sz w:val="17"/>
          <w:szCs w:val="17"/>
          <w:color w:val="auto"/>
        </w:rPr>
        <w:t>158.6 million</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6"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w w:val="89"/>
              </w:rPr>
              <w:t>2019</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First quarter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8"/>
              </w:rPr>
              <w:t>Second quarter</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Third quarter</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Fourth quarter</w:t>
            </w: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63,943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69,985</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71,182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35,953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38,163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41,332</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2,753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22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56,120</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58,873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Loss per share from continuing operations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0.07</w:t>
            </w: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(0.10)</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0.07</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from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1.49</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Earnings per share net income</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1.57</w:t>
            </w: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1.54</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(1) Net income in the fourth quarter of fiscal year 2019 was driven by the gain on the sale of the Fluid Management business.</w:t>
      </w:r>
    </w:p>
    <w:p>
      <w:pPr>
        <w:spacing w:after="0" w:line="163" w:lineRule="exact"/>
        <w:rPr>
          <w:sz w:val="20"/>
          <w:szCs w:val="20"/>
          <w:color w:val="auto"/>
        </w:rPr>
      </w:pPr>
    </w:p>
    <w:p>
      <w:pPr>
        <w:ind w:right="220" w:firstLine="389"/>
        <w:spacing w:after="0" w:line="277" w:lineRule="auto"/>
        <w:rPr>
          <w:sz w:val="20"/>
          <w:szCs w:val="20"/>
          <w:color w:val="auto"/>
        </w:rPr>
      </w:pPr>
      <w:r>
        <w:rPr>
          <w:rFonts w:ascii="Arial" w:cs="Arial" w:eastAsia="Arial" w:hAnsi="Arial"/>
          <w:sz w:val="18"/>
          <w:szCs w:val="18"/>
          <w:color w:val="auto"/>
        </w:rPr>
        <w:t>The data in the schedules above has been intentionally rounded to the nearest thousand and therefore the quarterly amounts may not sum to the full year amounts.</w:t>
      </w:r>
    </w:p>
    <w:p>
      <w:pPr>
        <w:spacing w:after="0" w:line="116" w:lineRule="exact"/>
        <w:rPr>
          <w:sz w:val="20"/>
          <w:szCs w:val="20"/>
          <w:color w:val="auto"/>
        </w:rPr>
      </w:pPr>
    </w:p>
    <w:p>
      <w:pPr>
        <w:ind w:right="300" w:firstLine="389"/>
        <w:spacing w:after="0" w:line="259" w:lineRule="auto"/>
        <w:rPr>
          <w:sz w:val="20"/>
          <w:szCs w:val="20"/>
          <w:color w:val="auto"/>
        </w:rPr>
      </w:pPr>
      <w:r>
        <w:rPr>
          <w:rFonts w:ascii="Arial" w:cs="Arial" w:eastAsia="Arial" w:hAnsi="Arial"/>
          <w:sz w:val="18"/>
          <w:szCs w:val="18"/>
          <w:color w:val="auto"/>
        </w:rPr>
        <w:t>On May 31, 2019, the Company completed the sale of the Fluid Management business and all of the assets used primarily in connection with the Fluid Management business (Note 3). The Company has adjusted the consolidated financial statements to reflect the Fluid Management business as a discontinued operation for the current year and all prior periods presented. The quarterly information for fiscal year 2019 reflect the Fluid Management business as a discontinued operation.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04" w:name="page105"/>
    <w:bookmarkEnd w:id="104"/>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5740" w:type="dxa"/>
            <w:vAlign w:val="bottom"/>
            <w:tcBorders>
              <w:bottom w:val="single" w:sz="8" w:color="auto"/>
            </w:tcBorders>
            <w:gridSpan w:val="10"/>
          </w:tcPr>
          <w:p>
            <w:pPr>
              <w:jc w:val="right"/>
              <w:ind w:right="995"/>
              <w:spacing w:after="0"/>
              <w:rPr>
                <w:sz w:val="20"/>
                <w:szCs w:val="20"/>
                <w:color w:val="auto"/>
              </w:rPr>
            </w:pPr>
            <w:r>
              <w:rPr>
                <w:rFonts w:ascii="Arial" w:cs="Arial" w:eastAsia="Arial" w:hAnsi="Arial"/>
                <w:sz w:val="14"/>
                <w:szCs w:val="14"/>
                <w:color w:val="auto"/>
              </w:rPr>
              <w:t>SCHEDULE II -VALUATION AND QUALIFYING ACCOUNTS</w:t>
            </w:r>
          </w:p>
        </w:tc>
      </w:tr>
      <w:tr>
        <w:trPr>
          <w:trHeight w:val="156"/>
        </w:trPr>
        <w:tc>
          <w:tcPr>
            <w:tcW w:w="5200" w:type="dxa"/>
            <w:vAlign w:val="bottom"/>
          </w:tcPr>
          <w:p>
            <w:pPr>
              <w:spacing w:after="0"/>
              <w:rPr>
                <w:sz w:val="13"/>
                <w:szCs w:val="13"/>
                <w:color w:val="auto"/>
              </w:rPr>
            </w:pPr>
          </w:p>
        </w:tc>
        <w:tc>
          <w:tcPr>
            <w:tcW w:w="1540" w:type="dxa"/>
            <w:vAlign w:val="bottom"/>
            <w:gridSpan w:val="3"/>
          </w:tcPr>
          <w:p>
            <w:pPr>
              <w:jc w:val="center"/>
              <w:ind w:right="140"/>
              <w:spacing w:after="0" w:line="156" w:lineRule="exact"/>
              <w:rPr>
                <w:sz w:val="20"/>
                <w:szCs w:val="20"/>
                <w:color w:val="auto"/>
              </w:rPr>
            </w:pPr>
            <w:r>
              <w:rPr>
                <w:rFonts w:ascii="Arial" w:cs="Arial" w:eastAsia="Arial" w:hAnsi="Arial"/>
                <w:sz w:val="14"/>
                <w:szCs w:val="14"/>
                <w:color w:val="auto"/>
                <w:w w:val="93"/>
              </w:rPr>
              <w:t>Balance at Beginning</w:t>
            </w:r>
          </w:p>
        </w:tc>
        <w:tc>
          <w:tcPr>
            <w:tcW w:w="1520" w:type="dxa"/>
            <w:vAlign w:val="bottom"/>
            <w:gridSpan w:val="3"/>
          </w:tcPr>
          <w:p>
            <w:pPr>
              <w:jc w:val="center"/>
              <w:ind w:right="120"/>
              <w:spacing w:after="0" w:line="156" w:lineRule="exact"/>
              <w:rPr>
                <w:sz w:val="20"/>
                <w:szCs w:val="20"/>
                <w:color w:val="auto"/>
              </w:rPr>
            </w:pPr>
            <w:r>
              <w:rPr>
                <w:rFonts w:ascii="Arial" w:cs="Arial" w:eastAsia="Arial" w:hAnsi="Arial"/>
                <w:sz w:val="14"/>
                <w:szCs w:val="14"/>
                <w:color w:val="auto"/>
                <w:w w:val="94"/>
              </w:rPr>
              <w:t>Additions - Charged to</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35"/>
              <w:spacing w:after="0" w:line="156" w:lineRule="exact"/>
              <w:rPr>
                <w:sz w:val="20"/>
                <w:szCs w:val="20"/>
                <w:color w:val="auto"/>
              </w:rPr>
            </w:pPr>
            <w:r>
              <w:rPr>
                <w:rFonts w:ascii="Arial" w:cs="Arial" w:eastAsia="Arial" w:hAnsi="Arial"/>
                <w:sz w:val="14"/>
                <w:szCs w:val="14"/>
                <w:color w:val="auto"/>
              </w:rPr>
              <w:t>Balance at</w:t>
            </w: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color w:val="auto"/>
              </w:rPr>
              <w:t>Description</w:t>
            </w:r>
          </w:p>
        </w:tc>
        <w:tc>
          <w:tcPr>
            <w:tcW w:w="30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of Year</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87"/>
              </w:rPr>
              <w:t>costs and expenses</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color w:val="auto"/>
              </w:rPr>
              <w:t>Deductions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color w:val="auto"/>
              </w:rPr>
              <w:t>End of Period</w:t>
            </w:r>
          </w:p>
        </w:tc>
      </w:tr>
      <w:tr>
        <w:trPr>
          <w:trHeight w:val="23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May 31, 2018</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Allowance for deferred tax asset</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48,348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(21,741)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26,607</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sales returns and doubtful accounts</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2,466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Year Ended May 31, 2019</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deferred tax asset</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26,607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11,688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Allowance for sales returns and doubtful accounts</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1,906</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May 31, 2020</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Allowance for deferred tax asset</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11,688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13,114</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 and doubtful accounts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2,150</w:t>
            </w:r>
          </w:p>
        </w:tc>
      </w:tr>
      <w:tr>
        <w:trPr>
          <w:trHeight w:val="27"/>
        </w:trPr>
        <w:tc>
          <w:tcPr>
            <w:tcW w:w="5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0" w:type="dxa"/>
            <w:vAlign w:val="bottom"/>
            <w:gridSpan w:val="6"/>
          </w:tcPr>
          <w:p>
            <w:pPr>
              <w:ind w:left="540"/>
              <w:spacing w:after="0"/>
              <w:rPr>
                <w:sz w:val="20"/>
                <w:szCs w:val="20"/>
                <w:color w:val="auto"/>
              </w:rPr>
            </w:pPr>
            <w:r>
              <w:rPr>
                <w:rFonts w:ascii="Arial" w:cs="Arial" w:eastAsia="Arial" w:hAnsi="Arial"/>
                <w:sz w:val="18"/>
                <w:szCs w:val="18"/>
                <w:color w:val="auto"/>
              </w:rPr>
              <w:t>EXHIBITS</w:t>
            </w:r>
          </w:p>
        </w:tc>
        <w:tc>
          <w:tcPr>
            <w:tcW w:w="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80" w:type="dxa"/>
            <w:vAlign w:val="bottom"/>
            <w:gridSpan w:val="2"/>
          </w:tcPr>
          <w:p>
            <w:pPr>
              <w:ind w:left="140"/>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27"/>
        </w:trPr>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Exhibit</w:t>
            </w:r>
          </w:p>
        </w:tc>
        <w:tc>
          <w:tcPr>
            <w:tcW w:w="2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0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5980" w:type="dxa"/>
            <w:vAlign w:val="bottom"/>
            <w:gridSpan w:val="8"/>
          </w:tcPr>
          <w:p>
            <w:pPr>
              <w:ind w:left="2140"/>
              <w:spacing w:after="0"/>
              <w:rPr>
                <w:sz w:val="20"/>
                <w:szCs w:val="20"/>
                <w:color w:val="auto"/>
              </w:rPr>
            </w:pPr>
            <w:r>
              <w:rPr>
                <w:rFonts w:ascii="Arial" w:cs="Arial" w:eastAsia="Arial" w:hAnsi="Arial"/>
                <w:sz w:val="18"/>
                <w:szCs w:val="18"/>
                <w:color w:val="auto"/>
              </w:rPr>
              <w:t>Description of Exhibits</w:t>
            </w:r>
          </w:p>
        </w:tc>
        <w:tc>
          <w:tcPr>
            <w:tcW w:w="960" w:type="dxa"/>
            <w:vAlign w:val="bottom"/>
          </w:tcPr>
          <w:p>
            <w:pPr>
              <w:jc w:val="center"/>
              <w:ind w:left="170"/>
              <w:spacing w:after="0"/>
              <w:rPr>
                <w:sz w:val="20"/>
                <w:szCs w:val="20"/>
                <w:color w:val="auto"/>
              </w:rPr>
            </w:pPr>
            <w:r>
              <w:rPr>
                <w:rFonts w:ascii="Arial" w:cs="Arial" w:eastAsia="Arial" w:hAnsi="Arial"/>
                <w:sz w:val="18"/>
                <w:szCs w:val="18"/>
                <w:color w:val="auto"/>
                <w:w w:val="90"/>
              </w:rPr>
              <w:t>Form</w:t>
            </w:r>
          </w:p>
        </w:tc>
        <w:tc>
          <w:tcPr>
            <w:tcW w:w="1520" w:type="dxa"/>
            <w:vAlign w:val="bottom"/>
          </w:tcPr>
          <w:p>
            <w:pPr>
              <w:ind w:left="720"/>
              <w:spacing w:after="0"/>
              <w:rPr>
                <w:sz w:val="20"/>
                <w:szCs w:val="20"/>
                <w:color w:val="auto"/>
              </w:rPr>
            </w:pPr>
            <w:r>
              <w:rPr>
                <w:rFonts w:ascii="Arial" w:cs="Arial" w:eastAsia="Arial" w:hAnsi="Arial"/>
                <w:sz w:val="18"/>
                <w:szCs w:val="18"/>
                <w:color w:val="auto"/>
              </w:rPr>
              <w:t>Exhibit</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2"/>
              </w:rPr>
              <w:t>Filing Date</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0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2.2</w:t>
            </w:r>
          </w:p>
        </w:tc>
        <w:tc>
          <w:tcPr>
            <w:tcW w:w="5140" w:type="dxa"/>
            <w:vAlign w:val="bottom"/>
            <w:tcBorders>
              <w:bottom w:val="single" w:sz="8" w:color="0000FF"/>
            </w:tcBorders>
            <w:gridSpan w:val="5"/>
            <w:shd w:val="clear" w:color="auto" w:fill="CCEEFF"/>
          </w:tcPr>
          <w:p>
            <w:pPr>
              <w:spacing w:after="0" w:line="169" w:lineRule="exact"/>
              <w:rPr>
                <w:rFonts w:ascii="Arial" w:cs="Arial" w:eastAsia="Arial" w:hAnsi="Arial"/>
                <w:sz w:val="18"/>
                <w:szCs w:val="18"/>
                <w:color w:val="0000FF"/>
                <w:w w:val="88"/>
              </w:rPr>
            </w:pPr>
            <w:hyperlink r:id="rId126">
              <w:r>
                <w:rPr>
                  <w:rFonts w:ascii="Arial" w:cs="Arial" w:eastAsia="Arial" w:hAnsi="Arial"/>
                  <w:sz w:val="18"/>
                  <w:szCs w:val="18"/>
                  <w:color w:val="0000FF"/>
                  <w:w w:val="88"/>
                </w:rPr>
                <w:t>Stock Purchase Agreement, dated as of October 8, 2012, by and among</w:t>
              </w:r>
            </w:hyperlink>
          </w:p>
        </w:tc>
        <w:tc>
          <w:tcPr>
            <w:tcW w:w="840" w:type="dxa"/>
            <w:vAlign w:val="bottom"/>
            <w:tcBorders>
              <w:bottom w:val="single" w:sz="8" w:color="CCEEFF"/>
            </w:tcBorders>
            <w:gridSpan w:val="3"/>
            <w:vMerge w:val="restart"/>
            <w:shd w:val="clear" w:color="auto" w:fill="CCEEFF"/>
          </w:tcPr>
          <w:p>
            <w:pPr>
              <w:ind w:left="80"/>
              <w:spacing w:after="0"/>
              <w:rPr>
                <w:rFonts w:ascii="Arial" w:cs="Arial" w:eastAsia="Arial" w:hAnsi="Arial"/>
                <w:sz w:val="18"/>
                <w:szCs w:val="18"/>
                <w:color w:val="0000FF"/>
              </w:rPr>
            </w:pPr>
            <w:hyperlink r:id="rId126">
              <w:r>
                <w:rPr>
                  <w:rFonts w:ascii="Arial" w:cs="Arial" w:eastAsia="Arial" w:hAnsi="Arial"/>
                  <w:sz w:val="18"/>
                  <w:szCs w:val="18"/>
                  <w:color w:val="0000FF"/>
                </w:rPr>
                <w:t>of Vortex</w:t>
              </w:r>
            </w:hyperlink>
          </w:p>
        </w:tc>
        <w:tc>
          <w:tcPr>
            <w:tcW w:w="960" w:type="dxa"/>
            <w:vAlign w:val="bottom"/>
            <w:tcBorders>
              <w:bottom w:val="single" w:sz="8" w:color="CCEEFF"/>
            </w:tcBorders>
            <w:shd w:val="clear" w:color="auto" w:fill="CCEEFF"/>
          </w:tcPr>
          <w:p>
            <w:pPr>
              <w:jc w:val="center"/>
              <w:ind w:left="150"/>
              <w:spacing w:after="0" w:line="182" w:lineRule="exact"/>
              <w:rPr>
                <w:sz w:val="20"/>
                <w:szCs w:val="20"/>
                <w:color w:val="auto"/>
              </w:rPr>
            </w:pPr>
            <w:r>
              <w:rPr>
                <w:rFonts w:ascii="Arial" w:cs="Arial" w:eastAsia="Arial" w:hAnsi="Arial"/>
                <w:sz w:val="18"/>
                <w:szCs w:val="18"/>
                <w:color w:val="auto"/>
                <w:w w:val="99"/>
              </w:rPr>
              <w:t>8-K</w:t>
            </w:r>
          </w:p>
        </w:tc>
        <w:tc>
          <w:tcPr>
            <w:tcW w:w="1520" w:type="dxa"/>
            <w:vAlign w:val="bottom"/>
            <w:tcBorders>
              <w:bottom w:val="single" w:sz="8" w:color="CCEEFF"/>
            </w:tcBorders>
            <w:shd w:val="clear" w:color="auto" w:fill="CCEEFF"/>
          </w:tcPr>
          <w:p>
            <w:pPr>
              <w:jc w:val="center"/>
              <w:ind w:left="350"/>
              <w:spacing w:after="0" w:line="182" w:lineRule="exact"/>
              <w:rPr>
                <w:sz w:val="20"/>
                <w:szCs w:val="20"/>
                <w:color w:val="auto"/>
              </w:rPr>
            </w:pPr>
            <w:r>
              <w:rPr>
                <w:rFonts w:ascii="Arial" w:cs="Arial" w:eastAsia="Arial" w:hAnsi="Arial"/>
                <w:sz w:val="18"/>
                <w:szCs w:val="18"/>
                <w:color w:val="auto"/>
                <w:w w:val="95"/>
              </w:rPr>
              <w:t>2.1</w:t>
            </w:r>
          </w:p>
        </w:tc>
        <w:tc>
          <w:tcPr>
            <w:tcW w:w="1660" w:type="dxa"/>
            <w:vAlign w:val="bottom"/>
            <w:tcBorders>
              <w:bottom w:val="single" w:sz="8" w:color="CCEEFF"/>
            </w:tcBorders>
            <w:shd w:val="clear" w:color="auto" w:fill="CCEEFF"/>
          </w:tcPr>
          <w:p>
            <w:pPr>
              <w:jc w:val="center"/>
              <w:ind w:left="90"/>
              <w:spacing w:after="0" w:line="182" w:lineRule="exact"/>
              <w:rPr>
                <w:sz w:val="20"/>
                <w:szCs w:val="20"/>
                <w:color w:val="auto"/>
              </w:rPr>
            </w:pPr>
            <w:r>
              <w:rPr>
                <w:rFonts w:ascii="Arial" w:cs="Arial" w:eastAsia="Arial" w:hAnsi="Arial"/>
                <w:sz w:val="18"/>
                <w:szCs w:val="18"/>
                <w:color w:val="auto"/>
                <w:w w:val="89"/>
              </w:rPr>
              <w:t>October 12, 2012</w:t>
            </w:r>
          </w:p>
        </w:tc>
        <w:tc>
          <w:tcPr>
            <w:tcW w:w="0" w:type="dxa"/>
            <w:vAlign w:val="bottom"/>
          </w:tcPr>
          <w:p>
            <w:pPr>
              <w:spacing w:after="0"/>
              <w:rPr>
                <w:sz w:val="1"/>
                <w:szCs w:val="1"/>
                <w:color w:val="auto"/>
              </w:rPr>
            </w:pPr>
          </w:p>
        </w:tc>
      </w:tr>
      <w:tr>
        <w:trPr>
          <w:trHeight w:val="156"/>
        </w:trPr>
        <w:tc>
          <w:tcPr>
            <w:tcW w:w="1100" w:type="dxa"/>
            <w:vAlign w:val="bottom"/>
            <w:shd w:val="clear" w:color="auto" w:fill="CCEEFF"/>
          </w:tcPr>
          <w:p>
            <w:pPr>
              <w:spacing w:after="0"/>
              <w:rPr>
                <w:sz w:val="13"/>
                <w:szCs w:val="13"/>
                <w:color w:val="auto"/>
              </w:rPr>
            </w:pPr>
          </w:p>
        </w:tc>
        <w:tc>
          <w:tcPr>
            <w:tcW w:w="5140" w:type="dxa"/>
            <w:vAlign w:val="bottom"/>
            <w:gridSpan w:val="5"/>
            <w:shd w:val="clear" w:color="auto" w:fill="CCEEFF"/>
          </w:tcPr>
          <w:p>
            <w:pPr>
              <w:spacing w:after="0" w:line="15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AngioDynamics, Inc., Vortex Medical, Inc. (“Vortex”), the stockholders</w:t>
              </w:r>
            </w:hyperlink>
          </w:p>
        </w:tc>
        <w:tc>
          <w:tcPr>
            <w:tcW w:w="840" w:type="dxa"/>
            <w:vAlign w:val="bottom"/>
            <w:gridSpan w:val="3"/>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590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set forth on the signature pages thereto, the option holders of Vortex set forth on</w:t>
              </w:r>
            </w:hyperlink>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00" w:type="dxa"/>
            <w:vAlign w:val="bottom"/>
            <w:tcBorders>
              <w:top w:val="single" w:sz="8" w:color="CCEEFF"/>
            </w:tcBorders>
            <w:shd w:val="clear" w:color="auto" w:fill="CCEEFF"/>
          </w:tcPr>
          <w:p>
            <w:pPr>
              <w:spacing w:after="0"/>
              <w:rPr>
                <w:sz w:val="12"/>
                <w:szCs w:val="12"/>
                <w:color w:val="auto"/>
              </w:rPr>
            </w:pPr>
          </w:p>
        </w:tc>
        <w:tc>
          <w:tcPr>
            <w:tcW w:w="5760" w:type="dxa"/>
            <w:vAlign w:val="bottom"/>
            <w:tcBorders>
              <w:top w:val="single" w:sz="8" w:color="0000FF"/>
            </w:tcBorders>
            <w:gridSpan w:val="6"/>
            <w:shd w:val="clear" w:color="auto" w:fill="CCEEFF"/>
          </w:tcPr>
          <w:p>
            <w:pPr>
              <w:spacing w:after="0" w:line="142" w:lineRule="exact"/>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the signature pages thereto and CHTP Management Services, Inc., as sellers’</w:t>
              </w:r>
            </w:hyperlink>
          </w:p>
        </w:tc>
        <w:tc>
          <w:tcPr>
            <w:tcW w:w="220" w:type="dxa"/>
            <w:vAlign w:val="bottom"/>
            <w:tcBorders>
              <w:top w:val="single" w:sz="8" w:color="CCEEFF"/>
            </w:tcBorders>
            <w:gridSpan w:val="2"/>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CEEFF"/>
          </w:tcPr>
          <w:p>
            <w:pPr>
              <w:spacing w:after="0"/>
              <w:rPr>
                <w:sz w:val="19"/>
                <w:szCs w:val="19"/>
                <w:color w:val="auto"/>
              </w:rPr>
            </w:pPr>
          </w:p>
        </w:tc>
        <w:tc>
          <w:tcPr>
            <w:tcW w:w="5980" w:type="dxa"/>
            <w:vAlign w:val="bottom"/>
            <w:gridSpan w:val="8"/>
            <w:shd w:val="clear" w:color="auto" w:fill="CCEEFF"/>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representative.</w:t>
              </w:r>
            </w:hyperlink>
          </w:p>
        </w:tc>
        <w:tc>
          <w:tcPr>
            <w:tcW w:w="9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00" w:type="dxa"/>
            <w:vAlign w:val="bottom"/>
          </w:tcPr>
          <w:p>
            <w:pPr>
              <w:jc w:val="center"/>
              <w:spacing w:after="0" w:line="169" w:lineRule="exact"/>
              <w:rPr>
                <w:sz w:val="20"/>
                <w:szCs w:val="20"/>
                <w:color w:val="auto"/>
              </w:rPr>
            </w:pPr>
            <w:r>
              <w:rPr>
                <w:rFonts w:ascii="Arial" w:cs="Arial" w:eastAsia="Arial" w:hAnsi="Arial"/>
                <w:sz w:val="18"/>
                <w:szCs w:val="18"/>
                <w:color w:val="auto"/>
                <w:w w:val="87"/>
              </w:rPr>
              <w:t>2.3</w:t>
            </w:r>
          </w:p>
        </w:tc>
        <w:tc>
          <w:tcPr>
            <w:tcW w:w="5980" w:type="dxa"/>
            <w:vAlign w:val="bottom"/>
            <w:gridSpan w:val="8"/>
          </w:tcPr>
          <w:p>
            <w:pPr>
              <w:spacing w:after="0" w:line="169" w:lineRule="exact"/>
              <w:rPr>
                <w:rFonts w:ascii="Arial" w:cs="Arial" w:eastAsia="Arial" w:hAnsi="Arial"/>
                <w:sz w:val="18"/>
                <w:szCs w:val="18"/>
                <w:color w:val="0000FF"/>
              </w:rPr>
            </w:pPr>
            <w:hyperlink r:id="rId127">
              <w:r>
                <w:rPr>
                  <w:rFonts w:ascii="Arial" w:cs="Arial" w:eastAsia="Arial" w:hAnsi="Arial"/>
                  <w:sz w:val="18"/>
                  <w:szCs w:val="18"/>
                  <w:color w:val="0000FF"/>
                </w:rPr>
                <w:t>Asset Purchase Agreement dated as of April 17, 2019 by and between</w:t>
              </w:r>
            </w:hyperlink>
          </w:p>
        </w:tc>
        <w:tc>
          <w:tcPr>
            <w:tcW w:w="960" w:type="dxa"/>
            <w:vAlign w:val="bottom"/>
          </w:tcPr>
          <w:p>
            <w:pPr>
              <w:jc w:val="center"/>
              <w:ind w:left="150"/>
              <w:spacing w:after="0" w:line="169" w:lineRule="exact"/>
              <w:rPr>
                <w:sz w:val="20"/>
                <w:szCs w:val="20"/>
                <w:color w:val="auto"/>
              </w:rPr>
            </w:pPr>
            <w:r>
              <w:rPr>
                <w:rFonts w:ascii="Arial" w:cs="Arial" w:eastAsia="Arial" w:hAnsi="Arial"/>
                <w:sz w:val="18"/>
                <w:szCs w:val="18"/>
                <w:color w:val="auto"/>
                <w:w w:val="99"/>
              </w:rPr>
              <w:t>8-K</w:t>
            </w:r>
          </w:p>
        </w:tc>
        <w:tc>
          <w:tcPr>
            <w:tcW w:w="1520" w:type="dxa"/>
            <w:vAlign w:val="bottom"/>
          </w:tcPr>
          <w:p>
            <w:pPr>
              <w:jc w:val="center"/>
              <w:ind w:left="350"/>
              <w:spacing w:after="0" w:line="169" w:lineRule="exact"/>
              <w:rPr>
                <w:sz w:val="20"/>
                <w:szCs w:val="20"/>
                <w:color w:val="auto"/>
              </w:rPr>
            </w:pPr>
            <w:r>
              <w:rPr>
                <w:rFonts w:ascii="Arial" w:cs="Arial" w:eastAsia="Arial" w:hAnsi="Arial"/>
                <w:sz w:val="18"/>
                <w:szCs w:val="18"/>
                <w:color w:val="auto"/>
                <w:w w:val="95"/>
              </w:rPr>
              <w:t>2.1</w:t>
            </w:r>
          </w:p>
        </w:tc>
        <w:tc>
          <w:tcPr>
            <w:tcW w:w="1660" w:type="dxa"/>
            <w:vAlign w:val="bottom"/>
          </w:tcPr>
          <w:p>
            <w:pPr>
              <w:jc w:val="center"/>
              <w:ind w:left="90"/>
              <w:spacing w:after="0" w:line="169" w:lineRule="exact"/>
              <w:rPr>
                <w:sz w:val="20"/>
                <w:szCs w:val="20"/>
                <w:color w:val="auto"/>
              </w:rPr>
            </w:pPr>
            <w:r>
              <w:rPr>
                <w:rFonts w:ascii="Arial" w:cs="Arial" w:eastAsia="Arial" w:hAnsi="Arial"/>
                <w:sz w:val="18"/>
                <w:szCs w:val="18"/>
                <w:color w:val="auto"/>
                <w:w w:val="93"/>
              </w:rPr>
              <w:t>April 18, 2019</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0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AngioDynamics, Inc. and Medline Industries Inc.</w:t>
              </w:r>
            </w:hyperlink>
          </w:p>
        </w:tc>
        <w:tc>
          <w:tcPr>
            <w:tcW w:w="20" w:type="dxa"/>
            <w:vAlign w:val="bottom"/>
          </w:tcPr>
          <w:p>
            <w:pPr>
              <w:spacing w:after="0"/>
              <w:rPr>
                <w:sz w:val="13"/>
                <w:szCs w:val="13"/>
                <w:color w:val="auto"/>
              </w:rPr>
            </w:pPr>
          </w:p>
        </w:tc>
        <w:tc>
          <w:tcPr>
            <w:tcW w:w="92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3.1.1</w:t>
            </w:r>
          </w:p>
        </w:tc>
        <w:tc>
          <w:tcPr>
            <w:tcW w:w="5980" w:type="dxa"/>
            <w:vAlign w:val="bottom"/>
            <w:tcBorders>
              <w:bottom w:val="single" w:sz="8" w:color="CCEEFF"/>
            </w:tcBorders>
            <w:gridSpan w:val="8"/>
            <w:shd w:val="clear" w:color="auto" w:fill="CCEEFF"/>
          </w:tcPr>
          <w:p>
            <w:pPr>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Amended and Restated Certificate of Incorporation.</w:t>
              </w:r>
            </w:hyperlink>
          </w:p>
        </w:tc>
        <w:tc>
          <w:tcPr>
            <w:tcW w:w="9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4"/>
              </w:rPr>
              <w:t>10-Q</w:t>
            </w:r>
          </w:p>
        </w:tc>
        <w:tc>
          <w:tcPr>
            <w:tcW w:w="15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5"/>
              </w:rPr>
              <w:t>3.1</w:t>
            </w:r>
          </w:p>
        </w:tc>
        <w:tc>
          <w:tcPr>
            <w:tcW w:w="16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October 7, 2005</w:t>
            </w:r>
          </w:p>
        </w:tc>
        <w:tc>
          <w:tcPr>
            <w:tcW w:w="0" w:type="dxa"/>
            <w:vAlign w:val="bottom"/>
          </w:tcPr>
          <w:p>
            <w:pPr>
              <w:spacing w:after="0"/>
              <w:rPr>
                <w:sz w:val="1"/>
                <w:szCs w:val="1"/>
                <w:color w:val="auto"/>
              </w:rPr>
            </w:pPr>
          </w:p>
        </w:tc>
      </w:tr>
      <w:tr>
        <w:trPr>
          <w:trHeight w:val="189"/>
        </w:trPr>
        <w:tc>
          <w:tcPr>
            <w:tcW w:w="1100" w:type="dxa"/>
            <w:vAlign w:val="bottom"/>
          </w:tcPr>
          <w:p>
            <w:pPr>
              <w:jc w:val="center"/>
              <w:spacing w:after="0" w:line="169" w:lineRule="exact"/>
              <w:rPr>
                <w:sz w:val="20"/>
                <w:szCs w:val="20"/>
                <w:color w:val="auto"/>
              </w:rPr>
            </w:pPr>
            <w:r>
              <w:rPr>
                <w:rFonts w:ascii="Arial" w:cs="Arial" w:eastAsia="Arial" w:hAnsi="Arial"/>
                <w:sz w:val="18"/>
                <w:szCs w:val="18"/>
                <w:color w:val="auto"/>
                <w:w w:val="89"/>
              </w:rPr>
              <w:t>3.1.2</w:t>
            </w:r>
          </w:p>
        </w:tc>
        <w:tc>
          <w:tcPr>
            <w:tcW w:w="5980" w:type="dxa"/>
            <w:vAlign w:val="bottom"/>
            <w:gridSpan w:val="8"/>
          </w:tcPr>
          <w:p>
            <w:pPr>
              <w:spacing w:after="0" w:line="169" w:lineRule="exact"/>
              <w:rPr>
                <w:rFonts w:ascii="Arial" w:cs="Arial" w:eastAsia="Arial" w:hAnsi="Arial"/>
                <w:sz w:val="18"/>
                <w:szCs w:val="18"/>
                <w:color w:val="0000FF"/>
              </w:rPr>
            </w:pPr>
            <w:hyperlink r:id="rId129">
              <w:r>
                <w:rPr>
                  <w:rFonts w:ascii="Arial" w:cs="Arial" w:eastAsia="Arial" w:hAnsi="Arial"/>
                  <w:sz w:val="18"/>
                  <w:szCs w:val="18"/>
                  <w:color w:val="0000FF"/>
                </w:rPr>
                <w:t>Certificate of Amendment to the Amended and Restated Certificate of</w:t>
              </w:r>
            </w:hyperlink>
          </w:p>
        </w:tc>
        <w:tc>
          <w:tcPr>
            <w:tcW w:w="960" w:type="dxa"/>
            <w:vAlign w:val="bottom"/>
          </w:tcPr>
          <w:p>
            <w:pPr>
              <w:jc w:val="center"/>
              <w:ind w:left="170"/>
              <w:spacing w:after="0" w:line="169" w:lineRule="exact"/>
              <w:rPr>
                <w:sz w:val="20"/>
                <w:szCs w:val="20"/>
                <w:color w:val="auto"/>
              </w:rPr>
            </w:pPr>
            <w:r>
              <w:rPr>
                <w:rFonts w:ascii="Arial" w:cs="Arial" w:eastAsia="Arial" w:hAnsi="Arial"/>
                <w:sz w:val="18"/>
                <w:szCs w:val="18"/>
                <w:color w:val="auto"/>
                <w:w w:val="99"/>
              </w:rPr>
              <w:t>10-K</w:t>
            </w:r>
          </w:p>
        </w:tc>
        <w:tc>
          <w:tcPr>
            <w:tcW w:w="1520" w:type="dxa"/>
            <w:vAlign w:val="bottom"/>
          </w:tcPr>
          <w:p>
            <w:pPr>
              <w:jc w:val="center"/>
              <w:ind w:left="350"/>
              <w:spacing w:after="0" w:line="169" w:lineRule="exact"/>
              <w:rPr>
                <w:sz w:val="20"/>
                <w:szCs w:val="20"/>
                <w:color w:val="auto"/>
              </w:rPr>
            </w:pPr>
            <w:r>
              <w:rPr>
                <w:rFonts w:ascii="Arial" w:cs="Arial" w:eastAsia="Arial" w:hAnsi="Arial"/>
                <w:sz w:val="18"/>
                <w:szCs w:val="18"/>
                <w:color w:val="auto"/>
                <w:w w:val="89"/>
              </w:rPr>
              <w:t>3.1.2</w:t>
            </w:r>
          </w:p>
        </w:tc>
        <w:tc>
          <w:tcPr>
            <w:tcW w:w="1660" w:type="dxa"/>
            <w:vAlign w:val="bottom"/>
          </w:tcPr>
          <w:p>
            <w:pPr>
              <w:jc w:val="center"/>
              <w:ind w:left="90"/>
              <w:spacing w:after="0" w:line="169" w:lineRule="exact"/>
              <w:rPr>
                <w:sz w:val="20"/>
                <w:szCs w:val="20"/>
                <w:color w:val="auto"/>
              </w:rPr>
            </w:pPr>
            <w:r>
              <w:rPr>
                <w:rFonts w:ascii="Arial" w:cs="Arial" w:eastAsia="Arial" w:hAnsi="Arial"/>
                <w:sz w:val="18"/>
                <w:szCs w:val="18"/>
                <w:color w:val="auto"/>
                <w:w w:val="91"/>
              </w:rPr>
              <w:t>August 10, 2015</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0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Incorporation of AngioDynamics, Inc.</w:t>
              </w:r>
            </w:hyperlink>
          </w:p>
        </w:tc>
        <w:tc>
          <w:tcPr>
            <w:tcW w:w="92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220"/>
          </w:cols>
          <w:pgMar w:left="320" w:top="895" w:right="359" w:bottom="1440" w:gutter="0" w:footer="0" w:header="0"/>
        </w:sectPr>
      </w:pPr>
    </w:p>
    <w:p>
      <w:pPr>
        <w:ind w:left="44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30">
        <w:r>
          <w:rPr>
            <w:rFonts w:ascii="Arial" w:cs="Arial" w:eastAsia="Arial" w:hAnsi="Arial"/>
            <w:sz w:val="16"/>
            <w:szCs w:val="16"/>
            <w:u w:val="single" w:color="auto"/>
            <w:color w:val="0000FF"/>
          </w:rPr>
          <w:t>Second Amended and Restated By-Laws, effective October 16,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100" w:hanging="714"/>
        <w:spacing w:after="0" w:line="219"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32">
        <w:r>
          <w:rPr>
            <w:rFonts w:ascii="Arial" w:cs="Arial" w:eastAsia="Arial" w:hAnsi="Arial"/>
            <w:sz w:val="18"/>
            <w:szCs w:val="18"/>
            <w:u w:val="single" w:color="auto"/>
            <w:color w:val="0000FF"/>
          </w:rPr>
          <w:t>Credit Agreement, dated as of June 3, 2019, by and among AngioDynamics, Inc.,</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the lenders party thereto, JPMorgan Chase Bank, N.A., as administrative agent,</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Bank of America, N.A. and Keybank National Association as co-syndication</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agents.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1580" w:type="dxa"/>
            <w:vAlign w:val="bottom"/>
          </w:tcPr>
          <w:p>
            <w:pPr>
              <w:jc w:val="center"/>
              <w:ind w:left="250"/>
              <w:spacing w:after="0"/>
              <w:rPr>
                <w:sz w:val="20"/>
                <w:szCs w:val="20"/>
                <w:color w:val="auto"/>
              </w:rPr>
            </w:pPr>
            <w:r>
              <w:rPr>
                <w:rFonts w:ascii="Arial" w:cs="Arial" w:eastAsia="Arial" w:hAnsi="Arial"/>
                <w:sz w:val="18"/>
                <w:szCs w:val="18"/>
                <w:color w:val="auto"/>
                <w:w w:val="89"/>
              </w:rPr>
              <w:t>October 21, 2015</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1580" w:type="dxa"/>
            <w:vAlign w:val="bottom"/>
          </w:tcPr>
          <w:p>
            <w:pPr>
              <w:jc w:val="center"/>
              <w:ind w:left="250"/>
              <w:spacing w:after="0"/>
              <w:rPr>
                <w:sz w:val="20"/>
                <w:szCs w:val="20"/>
                <w:color w:val="auto"/>
              </w:rPr>
            </w:pPr>
            <w:r>
              <w:rPr>
                <w:rFonts w:ascii="Arial" w:cs="Arial" w:eastAsia="Arial" w:hAnsi="Arial"/>
                <w:sz w:val="18"/>
                <w:szCs w:val="18"/>
                <w:color w:val="auto"/>
                <w:w w:val="88"/>
              </w:rPr>
              <w:t>June 6, 2019</w:t>
            </w:r>
          </w:p>
        </w:tc>
      </w:tr>
    </w:tbl>
    <w:p>
      <w:pPr>
        <w:spacing w:after="0" w:line="512" w:lineRule="exact"/>
        <w:rPr>
          <w:rFonts w:ascii="Arial" w:cs="Arial" w:eastAsia="Arial" w:hAnsi="Arial"/>
          <w:sz w:val="18"/>
          <w:szCs w:val="18"/>
          <w:u w:val="single" w:color="auto"/>
          <w:color w:val="0000FF"/>
        </w:rPr>
      </w:pPr>
    </w:p>
    <w:p>
      <w:pPr>
        <w:sectPr>
          <w:pgSz w:w="11900" w:h="16838" w:orient="portrait"/>
          <w:cols w:equalWidth="0" w:num="2">
            <w:col w:w="6980" w:space="560"/>
            <w:col w:w="3680"/>
          </w:cols>
          <w:pgMar w:left="320" w:top="895" w:right="359" w:bottom="1440" w:gutter="0" w:footer="0" w:header="0"/>
          <w:type w:val="continuous"/>
        </w:sectPr>
      </w:pPr>
    </w:p>
    <w:p>
      <w:pPr>
        <w:ind w:left="32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134">
        <w:r>
          <w:rPr>
            <w:rFonts w:ascii="Arial" w:cs="Arial" w:eastAsia="Arial" w:hAnsi="Arial"/>
            <w:sz w:val="16"/>
            <w:szCs w:val="16"/>
            <w:u w:val="single" w:color="auto"/>
            <w:color w:val="0000FF"/>
          </w:rPr>
          <w:t>AngioDynamics, Inc. 2004 Stock and Incentive Award Plan (as amended)</w:t>
        </w:r>
        <w:r>
          <w:rPr>
            <w:rFonts w:ascii="Arial" w:cs="Arial" w:eastAsia="Arial" w:hAnsi="Arial"/>
            <w:sz w:val="16"/>
            <w:szCs w:val="16"/>
            <w:color w:val="0000FF"/>
          </w:rPr>
          <w:t>.</w:t>
        </w:r>
      </w:hyperlink>
    </w:p>
    <w:p>
      <w:pPr>
        <w:spacing w:after="0" w:line="62" w:lineRule="exact"/>
        <w:rPr>
          <w:rFonts w:ascii="Arial" w:cs="Arial" w:eastAsia="Arial" w:hAnsi="Arial"/>
          <w:sz w:val="18"/>
          <w:szCs w:val="18"/>
          <w:u w:val="single" w:color="auto"/>
          <w:color w:val="0000FF"/>
        </w:rPr>
      </w:pPr>
    </w:p>
    <w:p>
      <w:pPr>
        <w:ind w:left="1100" w:hanging="782"/>
        <w:spacing w:after="0" w:line="235"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35">
        <w:r>
          <w:rPr>
            <w:rFonts w:ascii="Arial" w:cs="Arial" w:eastAsia="Arial" w:hAnsi="Arial"/>
            <w:sz w:val="18"/>
            <w:szCs w:val="18"/>
            <w:u w:val="single" w:color="auto"/>
            <w:color w:val="0000FF"/>
          </w:rPr>
          <w:t>AngioDynamics 2016 Total Shareholder Return Performance Unit Agreement</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Program.</w:t>
        </w:r>
      </w:hyperlink>
    </w:p>
    <w:p>
      <w:pPr>
        <w:spacing w:after="0" w:line="243" w:lineRule="exact"/>
        <w:rPr>
          <w:sz w:val="20"/>
          <w:szCs w:val="20"/>
          <w:color w:val="auto"/>
        </w:rPr>
      </w:pPr>
    </w:p>
    <w:p>
      <w:pPr>
        <w:ind w:left="1100" w:hanging="782"/>
        <w:spacing w:after="0" w:line="235"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36">
        <w:r>
          <w:rPr>
            <w:rFonts w:ascii="Arial" w:cs="Arial" w:eastAsia="Arial" w:hAnsi="Arial"/>
            <w:sz w:val="18"/>
            <w:szCs w:val="18"/>
            <w:u w:val="single" w:color="auto"/>
            <w:color w:val="0000FF"/>
          </w:rPr>
          <w:t>AngioDynamics 2017 Total Shareholder Return Performance Unit Agreement</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Program.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15175" cy="411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15175" cy="411480"/>
                    </a:xfrm>
                    <a:prstGeom prst="rect">
                      <a:avLst/>
                    </a:prstGeom>
                    <a:noFill/>
                  </pic:spPr>
                </pic:pic>
              </a:graphicData>
            </a:graphic>
          </wp:anchor>
        </w:drawing>
      </w:r>
    </w:p>
    <w:p>
      <w:pPr>
        <w:spacing w:after="0" w:line="223" w:lineRule="exact"/>
        <w:rPr>
          <w:sz w:val="20"/>
          <w:szCs w:val="20"/>
          <w:color w:val="auto"/>
        </w:rPr>
      </w:pPr>
    </w:p>
    <w:p>
      <w:pPr>
        <w:ind w:left="1100" w:hanging="782"/>
        <w:spacing w:after="0" w:line="235"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38">
        <w:r>
          <w:rPr>
            <w:rFonts w:ascii="Arial" w:cs="Arial" w:eastAsia="Arial" w:hAnsi="Arial"/>
            <w:sz w:val="18"/>
            <w:szCs w:val="18"/>
            <w:u w:val="single" w:color="auto"/>
            <w:color w:val="0000FF"/>
          </w:rPr>
          <w:t>AngioDynamics 2018 Total Shareholder Return Performance Unit Agreement</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Program.</w:t>
        </w:r>
      </w:hyperlink>
    </w:p>
    <w:p>
      <w:pPr>
        <w:spacing w:after="0" w:line="243" w:lineRule="exact"/>
        <w:rPr>
          <w:sz w:val="20"/>
          <w:szCs w:val="20"/>
          <w:color w:val="auto"/>
        </w:rPr>
      </w:pPr>
    </w:p>
    <w:p>
      <w:pPr>
        <w:ind w:left="1100" w:hanging="782"/>
        <w:spacing w:after="0" w:line="235"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39">
        <w:r>
          <w:rPr>
            <w:rFonts w:ascii="Arial" w:cs="Arial" w:eastAsia="Arial" w:hAnsi="Arial"/>
            <w:sz w:val="18"/>
            <w:szCs w:val="18"/>
            <w:u w:val="single" w:color="auto"/>
            <w:color w:val="0000FF"/>
          </w:rPr>
          <w:t>AngioDynamics 2019 Total Shareholder Return Performance Unit Agreement</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Program.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15175"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jc w:val="center"/>
              <w:ind w:right="290"/>
              <w:spacing w:after="0"/>
              <w:rPr>
                <w:sz w:val="20"/>
                <w:szCs w:val="20"/>
                <w:color w:val="auto"/>
              </w:rPr>
            </w:pPr>
            <w:r>
              <w:rPr>
                <w:rFonts w:ascii="Arial" w:cs="Arial" w:eastAsia="Arial" w:hAnsi="Arial"/>
                <w:sz w:val="18"/>
                <w:szCs w:val="18"/>
                <w:color w:val="auto"/>
                <w:w w:val="95"/>
              </w:rPr>
              <w:t>DEF 14A</w:t>
            </w:r>
          </w:p>
        </w:tc>
        <w:tc>
          <w:tcPr>
            <w:tcW w:w="1140" w:type="dxa"/>
            <w:vAlign w:val="bottom"/>
          </w:tcPr>
          <w:p>
            <w:pPr>
              <w:spacing w:after="0"/>
              <w:rPr>
                <w:sz w:val="20"/>
                <w:szCs w:val="20"/>
                <w:color w:val="auto"/>
              </w:rPr>
            </w:pPr>
          </w:p>
        </w:tc>
        <w:tc>
          <w:tcPr>
            <w:tcW w:w="1520" w:type="dxa"/>
            <w:vAlign w:val="bottom"/>
          </w:tcPr>
          <w:p>
            <w:pPr>
              <w:jc w:val="center"/>
              <w:ind w:left="230"/>
              <w:spacing w:after="0"/>
              <w:rPr>
                <w:sz w:val="20"/>
                <w:szCs w:val="20"/>
                <w:color w:val="auto"/>
              </w:rPr>
            </w:pPr>
            <w:r>
              <w:rPr>
                <w:rFonts w:ascii="Arial" w:cs="Arial" w:eastAsia="Arial" w:hAnsi="Arial"/>
                <w:sz w:val="18"/>
                <w:szCs w:val="18"/>
                <w:color w:val="auto"/>
                <w:w w:val="91"/>
              </w:rPr>
              <w:t>August 30, 2018</w:t>
            </w:r>
          </w:p>
        </w:tc>
      </w:tr>
      <w:tr>
        <w:trPr>
          <w:trHeight w:val="270"/>
        </w:trPr>
        <w:tc>
          <w:tcPr>
            <w:tcW w:w="1080" w:type="dxa"/>
            <w:vAlign w:val="bottom"/>
          </w:tcPr>
          <w:p>
            <w:pPr>
              <w:jc w:val="center"/>
              <w:ind w:right="29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20" w:type="dxa"/>
            <w:vAlign w:val="bottom"/>
          </w:tcPr>
          <w:p>
            <w:pPr>
              <w:jc w:val="center"/>
              <w:ind w:left="230"/>
              <w:spacing w:after="0"/>
              <w:rPr>
                <w:sz w:val="20"/>
                <w:szCs w:val="20"/>
                <w:color w:val="auto"/>
              </w:rPr>
            </w:pPr>
            <w:r>
              <w:rPr>
                <w:rFonts w:ascii="Arial" w:cs="Arial" w:eastAsia="Arial" w:hAnsi="Arial"/>
                <w:sz w:val="18"/>
                <w:szCs w:val="18"/>
                <w:color w:val="auto"/>
                <w:w w:val="89"/>
              </w:rPr>
              <w:t>October 5, 2016</w:t>
            </w:r>
          </w:p>
        </w:tc>
      </w:tr>
      <w:tr>
        <w:trPr>
          <w:trHeight w:val="634"/>
        </w:trPr>
        <w:tc>
          <w:tcPr>
            <w:tcW w:w="1080" w:type="dxa"/>
            <w:vAlign w:val="bottom"/>
          </w:tcPr>
          <w:p>
            <w:pPr>
              <w:jc w:val="center"/>
              <w:ind w:right="29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20" w:type="dxa"/>
            <w:vAlign w:val="bottom"/>
          </w:tcPr>
          <w:p>
            <w:pPr>
              <w:jc w:val="center"/>
              <w:ind w:left="230"/>
              <w:spacing w:after="0"/>
              <w:rPr>
                <w:sz w:val="20"/>
                <w:szCs w:val="20"/>
                <w:color w:val="auto"/>
              </w:rPr>
            </w:pPr>
            <w:r>
              <w:rPr>
                <w:rFonts w:ascii="Arial" w:cs="Arial" w:eastAsia="Arial" w:hAnsi="Arial"/>
                <w:sz w:val="18"/>
                <w:szCs w:val="18"/>
                <w:color w:val="auto"/>
                <w:w w:val="88"/>
              </w:rPr>
              <w:t>September 29,</w:t>
            </w:r>
          </w:p>
        </w:tc>
      </w:tr>
      <w:tr>
        <w:trPr>
          <w:trHeight w:val="230"/>
        </w:trPr>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jc w:val="center"/>
              <w:ind w:left="230"/>
              <w:spacing w:after="0"/>
              <w:rPr>
                <w:sz w:val="20"/>
                <w:szCs w:val="20"/>
                <w:color w:val="auto"/>
              </w:rPr>
            </w:pPr>
            <w:r>
              <w:rPr>
                <w:rFonts w:ascii="Arial" w:cs="Arial" w:eastAsia="Arial" w:hAnsi="Arial"/>
                <w:sz w:val="18"/>
                <w:szCs w:val="18"/>
                <w:color w:val="auto"/>
                <w:w w:val="89"/>
              </w:rPr>
              <w:t>2017</w:t>
            </w:r>
          </w:p>
        </w:tc>
      </w:tr>
      <w:tr>
        <w:trPr>
          <w:trHeight w:val="432"/>
        </w:trPr>
        <w:tc>
          <w:tcPr>
            <w:tcW w:w="1080" w:type="dxa"/>
            <w:vAlign w:val="bottom"/>
          </w:tcPr>
          <w:p>
            <w:pPr>
              <w:jc w:val="center"/>
              <w:ind w:right="29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10.1.7</w:t>
            </w:r>
          </w:p>
        </w:tc>
        <w:tc>
          <w:tcPr>
            <w:tcW w:w="1520" w:type="dxa"/>
            <w:vAlign w:val="bottom"/>
          </w:tcPr>
          <w:p>
            <w:pPr>
              <w:jc w:val="center"/>
              <w:ind w:left="230"/>
              <w:spacing w:after="0"/>
              <w:rPr>
                <w:sz w:val="20"/>
                <w:szCs w:val="20"/>
                <w:color w:val="auto"/>
              </w:rPr>
            </w:pPr>
            <w:r>
              <w:rPr>
                <w:rFonts w:ascii="Arial" w:cs="Arial" w:eastAsia="Arial" w:hAnsi="Arial"/>
                <w:sz w:val="18"/>
                <w:szCs w:val="18"/>
                <w:color w:val="auto"/>
                <w:w w:val="89"/>
              </w:rPr>
              <w:t>July 23, 2018</w:t>
            </w:r>
          </w:p>
        </w:tc>
      </w:tr>
      <w:tr>
        <w:trPr>
          <w:trHeight w:val="648"/>
        </w:trPr>
        <w:tc>
          <w:tcPr>
            <w:tcW w:w="1080" w:type="dxa"/>
            <w:vAlign w:val="bottom"/>
          </w:tcPr>
          <w:p>
            <w:pPr>
              <w:jc w:val="center"/>
              <w:ind w:right="29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10.1.8</w:t>
            </w:r>
          </w:p>
        </w:tc>
        <w:tc>
          <w:tcPr>
            <w:tcW w:w="1520" w:type="dxa"/>
            <w:vAlign w:val="bottom"/>
          </w:tcPr>
          <w:p>
            <w:pPr>
              <w:jc w:val="center"/>
              <w:ind w:left="210"/>
              <w:spacing w:after="0"/>
              <w:rPr>
                <w:sz w:val="20"/>
                <w:szCs w:val="20"/>
                <w:color w:val="auto"/>
              </w:rPr>
            </w:pPr>
            <w:r>
              <w:rPr>
                <w:rFonts w:ascii="Arial" w:cs="Arial" w:eastAsia="Arial" w:hAnsi="Arial"/>
                <w:sz w:val="18"/>
                <w:szCs w:val="18"/>
                <w:color w:val="auto"/>
                <w:w w:val="88"/>
              </w:rPr>
              <w:t>January 8, 2020</w:t>
            </w:r>
          </w:p>
        </w:tc>
      </w:tr>
    </w:tbl>
    <w:p>
      <w:pPr>
        <w:spacing w:after="0" w:line="162" w:lineRule="exact"/>
        <w:rPr>
          <w:sz w:val="20"/>
          <w:szCs w:val="20"/>
          <w:color w:val="auto"/>
        </w:rPr>
      </w:pPr>
    </w:p>
    <w:p>
      <w:pPr>
        <w:sectPr>
          <w:pgSz w:w="11900" w:h="16838" w:orient="portrait"/>
          <w:cols w:equalWidth="0" w:num="2">
            <w:col w:w="6720" w:space="620"/>
            <w:col w:w="3880"/>
          </w:cols>
          <w:pgMar w:left="320" w:top="895" w:right="35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1100" w:type="dxa"/>
            <w:vAlign w:val="bottom"/>
          </w:tcPr>
          <w:p>
            <w:pPr>
              <w:jc w:val="right"/>
              <w:ind w:right="310"/>
              <w:spacing w:after="0"/>
              <w:rPr>
                <w:sz w:val="20"/>
                <w:szCs w:val="20"/>
                <w:color w:val="auto"/>
              </w:rPr>
            </w:pPr>
            <w:r>
              <w:rPr>
                <w:rFonts w:ascii="Arial" w:cs="Arial" w:eastAsia="Arial" w:hAnsi="Arial"/>
                <w:sz w:val="18"/>
                <w:szCs w:val="18"/>
                <w:color w:val="auto"/>
              </w:rPr>
              <w:t>10.2</w:t>
            </w:r>
          </w:p>
        </w:tc>
        <w:tc>
          <w:tcPr>
            <w:tcW w:w="6060" w:type="dxa"/>
            <w:vAlign w:val="bottom"/>
            <w:gridSpan w:val="3"/>
          </w:tcPr>
          <w:p>
            <w:pPr>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AngioDynamics, Inc. Employee Stock Purchase Plan (as amended).</w:t>
              </w:r>
            </w:hyperlink>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5"/>
              </w:rPr>
              <w:t>DEF 14A</w:t>
            </w:r>
          </w:p>
        </w:tc>
        <w:tc>
          <w:tcPr>
            <w:tcW w:w="1080" w:type="dxa"/>
            <w:vAlign w:val="bottom"/>
          </w:tcPr>
          <w:p>
            <w:pPr>
              <w:spacing w:after="0"/>
              <w:rPr>
                <w:sz w:val="21"/>
                <w:szCs w:val="21"/>
                <w:color w:val="auto"/>
              </w:rPr>
            </w:pPr>
          </w:p>
        </w:tc>
        <w:tc>
          <w:tcPr>
            <w:tcW w:w="1700" w:type="dxa"/>
            <w:vAlign w:val="bottom"/>
          </w:tcPr>
          <w:p>
            <w:pPr>
              <w:jc w:val="center"/>
              <w:ind w:left="130"/>
              <w:spacing w:after="0"/>
              <w:rPr>
                <w:sz w:val="20"/>
                <w:szCs w:val="20"/>
                <w:color w:val="auto"/>
              </w:rPr>
            </w:pPr>
            <w:r>
              <w:rPr>
                <w:rFonts w:ascii="Arial" w:cs="Arial" w:eastAsia="Arial" w:hAnsi="Arial"/>
                <w:sz w:val="18"/>
                <w:szCs w:val="18"/>
                <w:color w:val="auto"/>
                <w:w w:val="91"/>
              </w:rPr>
              <w:t>August 30, 2018</w:t>
            </w:r>
          </w:p>
        </w:tc>
      </w:tr>
      <w:tr>
        <w:trPr>
          <w:trHeight w:val="27"/>
        </w:trPr>
        <w:tc>
          <w:tcPr>
            <w:tcW w:w="1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89"/>
        </w:trPr>
        <w:tc>
          <w:tcPr>
            <w:tcW w:w="1100" w:type="dxa"/>
            <w:vAlign w:val="bottom"/>
            <w:shd w:val="clear" w:color="auto" w:fill="CCEEFF"/>
          </w:tcPr>
          <w:p>
            <w:pPr>
              <w:jc w:val="right"/>
              <w:ind w:right="310"/>
              <w:spacing w:after="0" w:line="169" w:lineRule="exact"/>
              <w:rPr>
                <w:sz w:val="20"/>
                <w:szCs w:val="20"/>
                <w:color w:val="auto"/>
              </w:rPr>
            </w:pPr>
            <w:r>
              <w:rPr>
                <w:rFonts w:ascii="Arial" w:cs="Arial" w:eastAsia="Arial" w:hAnsi="Arial"/>
                <w:sz w:val="18"/>
                <w:szCs w:val="18"/>
                <w:color w:val="auto"/>
              </w:rPr>
              <w:t>10.3</w:t>
            </w:r>
          </w:p>
        </w:tc>
        <w:tc>
          <w:tcPr>
            <w:tcW w:w="6060" w:type="dxa"/>
            <w:vAlign w:val="bottom"/>
            <w:gridSpan w:val="3"/>
            <w:shd w:val="clear" w:color="auto" w:fill="CCEEFF"/>
          </w:tcPr>
          <w:p>
            <w:pPr>
              <w:spacing w:after="0" w:line="169" w:lineRule="exact"/>
              <w:rPr>
                <w:rFonts w:ascii="Arial" w:cs="Arial" w:eastAsia="Arial" w:hAnsi="Arial"/>
                <w:sz w:val="18"/>
                <w:szCs w:val="18"/>
                <w:color w:val="0000FF"/>
                <w:w w:val="94"/>
              </w:rPr>
            </w:pPr>
            <w:hyperlink r:id="rId141">
              <w:r>
                <w:rPr>
                  <w:rFonts w:ascii="Arial" w:cs="Arial" w:eastAsia="Arial" w:hAnsi="Arial"/>
                  <w:sz w:val="18"/>
                  <w:szCs w:val="18"/>
                  <w:color w:val="0000FF"/>
                  <w:w w:val="94"/>
                </w:rPr>
                <w:t>Form of Non-Statutory Stock Option Agreement pursuant to the AngioDynamics,</w:t>
              </w:r>
            </w:hyperlink>
          </w:p>
        </w:tc>
        <w:tc>
          <w:tcPr>
            <w:tcW w:w="1280" w:type="dxa"/>
            <w:vAlign w:val="bottom"/>
            <w:shd w:val="clear" w:color="auto" w:fill="CCEEFF"/>
          </w:tcPr>
          <w:p>
            <w:pPr>
              <w:jc w:val="center"/>
              <w:ind w:right="130"/>
              <w:spacing w:after="0" w:line="169" w:lineRule="exact"/>
              <w:rPr>
                <w:sz w:val="20"/>
                <w:szCs w:val="20"/>
                <w:color w:val="auto"/>
              </w:rPr>
            </w:pPr>
            <w:r>
              <w:rPr>
                <w:rFonts w:ascii="Arial" w:cs="Arial" w:eastAsia="Arial" w:hAnsi="Arial"/>
                <w:sz w:val="18"/>
                <w:szCs w:val="18"/>
                <w:color w:val="auto"/>
                <w:w w:val="94"/>
              </w:rPr>
              <w:t>10-Q</w:t>
            </w:r>
          </w:p>
        </w:tc>
        <w:tc>
          <w:tcPr>
            <w:tcW w:w="1080" w:type="dxa"/>
            <w:vAlign w:val="bottom"/>
            <w:shd w:val="clear" w:color="auto" w:fill="CCEEFF"/>
          </w:tcPr>
          <w:p>
            <w:pPr>
              <w:jc w:val="right"/>
              <w:ind w:right="250"/>
              <w:spacing w:after="0" w:line="169" w:lineRule="exact"/>
              <w:rPr>
                <w:sz w:val="20"/>
                <w:szCs w:val="20"/>
                <w:color w:val="auto"/>
              </w:rPr>
            </w:pPr>
            <w:r>
              <w:rPr>
                <w:rFonts w:ascii="Arial" w:cs="Arial" w:eastAsia="Arial" w:hAnsi="Arial"/>
                <w:sz w:val="18"/>
                <w:szCs w:val="18"/>
                <w:color w:val="auto"/>
              </w:rPr>
              <w:t>10.1</w:t>
            </w:r>
          </w:p>
        </w:tc>
        <w:tc>
          <w:tcPr>
            <w:tcW w:w="1700" w:type="dxa"/>
            <w:vAlign w:val="bottom"/>
            <w:shd w:val="clear" w:color="auto" w:fill="CCEEFF"/>
          </w:tcPr>
          <w:p>
            <w:pPr>
              <w:jc w:val="center"/>
              <w:ind w:left="130"/>
              <w:spacing w:after="0" w:line="169" w:lineRule="exact"/>
              <w:rPr>
                <w:sz w:val="20"/>
                <w:szCs w:val="20"/>
                <w:color w:val="auto"/>
              </w:rPr>
            </w:pPr>
            <w:r>
              <w:rPr>
                <w:rFonts w:ascii="Arial" w:cs="Arial" w:eastAsia="Arial" w:hAnsi="Arial"/>
                <w:sz w:val="18"/>
                <w:szCs w:val="18"/>
                <w:color w:val="auto"/>
                <w:w w:val="89"/>
              </w:rPr>
              <w:t>October 12, 2004</w:t>
            </w:r>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590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Inc. Stock and Incentive Award Plan.</w:t>
              </w:r>
            </w:hyperlink>
          </w:p>
        </w:tc>
        <w:tc>
          <w:tcPr>
            <w:tcW w:w="16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0000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895" w:right="359" w:bottom="1440" w:gutter="0" w:footer="0" w:header="0"/>
          <w:type w:val="continuous"/>
        </w:sectPr>
      </w:pPr>
    </w:p>
    <w:p>
      <w:pPr>
        <w:ind w:left="1100" w:hanging="782"/>
        <w:spacing w:after="0" w:line="234"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142">
        <w:r>
          <w:rPr>
            <w:rFonts w:ascii="Arial" w:cs="Arial" w:eastAsia="Arial" w:hAnsi="Arial"/>
            <w:sz w:val="18"/>
            <w:szCs w:val="18"/>
            <w:u w:val="single" w:color="auto"/>
            <w:color w:val="0000FF"/>
          </w:rPr>
          <w:t>Form of Non-Statutory Stock Option Agreement pursuant to the AngioDynamics,</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Inc. Stock and Incentive Award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ind w:left="1100" w:right="1000" w:hanging="782"/>
        <w:spacing w:after="0" w:line="248" w:lineRule="auto"/>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10.4.3</w:t>
      </w:r>
      <w:r>
        <w:rPr>
          <w:sz w:val="20"/>
          <w:szCs w:val="20"/>
          <w:color w:val="auto"/>
        </w:rPr>
        <w:tab/>
      </w:r>
      <w:hyperlink r:id="rId144">
        <w:r>
          <w:rPr>
            <w:rFonts w:ascii="Arial" w:cs="Arial" w:eastAsia="Arial" w:hAnsi="Arial"/>
            <w:sz w:val="17"/>
            <w:szCs w:val="17"/>
            <w:u w:val="single" w:color="auto"/>
            <w:color w:val="0000FF"/>
          </w:rPr>
          <w:t>Form of 2016 Performance Share Award Agreement pursuant to the</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AngioDynamics, Inc. 2004 Stock and Incentive Award Plan.</w:t>
        </w:r>
      </w:hyperlink>
    </w:p>
    <w:p>
      <w:pPr>
        <w:spacing w:after="0" w:line="1" w:lineRule="exact"/>
        <w:rPr>
          <w:sz w:val="20"/>
          <w:szCs w:val="20"/>
          <w:color w:val="auto"/>
        </w:rPr>
      </w:pPr>
    </w:p>
    <w:p>
      <w:pPr>
        <w:ind w:left="1100" w:right="1000" w:hanging="782"/>
        <w:spacing w:after="0" w:line="257" w:lineRule="auto"/>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10.4.4</w:t>
      </w:r>
      <w:r>
        <w:rPr>
          <w:sz w:val="20"/>
          <w:szCs w:val="20"/>
          <w:color w:val="auto"/>
        </w:rPr>
        <w:tab/>
      </w:r>
      <w:hyperlink r:id="rId145">
        <w:r>
          <w:rPr>
            <w:rFonts w:ascii="Arial" w:cs="Arial" w:eastAsia="Arial" w:hAnsi="Arial"/>
            <w:sz w:val="17"/>
            <w:szCs w:val="17"/>
            <w:u w:val="single" w:color="auto"/>
            <w:color w:val="0000FF"/>
          </w:rPr>
          <w:t>Form of 2017 Performance Share Award Agreement pursuant to the</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AngioDynamics, Inc. 2004 Stock and Incentive Award Plan.</w:t>
        </w:r>
      </w:hyperlink>
    </w:p>
    <w:p>
      <w:pPr>
        <w:spacing w:after="0" w:line="67" w:lineRule="exact"/>
        <w:rPr>
          <w:sz w:val="20"/>
          <w:szCs w:val="20"/>
          <w:color w:val="auto"/>
        </w:rPr>
      </w:pPr>
    </w:p>
    <w:p>
      <w:pPr>
        <w:ind w:left="1100" w:right="1000" w:hanging="782"/>
        <w:spacing w:after="0" w:line="249" w:lineRule="auto"/>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10.4.5</w:t>
      </w:r>
      <w:r>
        <w:rPr>
          <w:sz w:val="20"/>
          <w:szCs w:val="20"/>
          <w:color w:val="auto"/>
        </w:rPr>
        <w:tab/>
      </w:r>
      <w:hyperlink r:id="rId146">
        <w:r>
          <w:rPr>
            <w:rFonts w:ascii="Arial" w:cs="Arial" w:eastAsia="Arial" w:hAnsi="Arial"/>
            <w:sz w:val="17"/>
            <w:szCs w:val="17"/>
            <w:u w:val="single" w:color="auto"/>
            <w:color w:val="0000FF"/>
          </w:rPr>
          <w:t>Form of 2018 Performance Share Award Agreement pursuant to the</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AngioDynamics, Inc. 2004 Stock and Incentive Award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15175" cy="257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10-K</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87"/>
              </w:rPr>
              <w:t>10.3.1</w:t>
            </w:r>
          </w:p>
        </w:tc>
        <w:tc>
          <w:tcPr>
            <w:tcW w:w="1500" w:type="dxa"/>
            <w:vAlign w:val="bottom"/>
          </w:tcPr>
          <w:p>
            <w:pPr>
              <w:jc w:val="center"/>
              <w:ind w:left="250"/>
              <w:spacing w:after="0"/>
              <w:rPr>
                <w:sz w:val="20"/>
                <w:szCs w:val="20"/>
                <w:color w:val="auto"/>
              </w:rPr>
            </w:pPr>
            <w:r>
              <w:rPr>
                <w:rFonts w:ascii="Arial" w:cs="Arial" w:eastAsia="Arial" w:hAnsi="Arial"/>
                <w:sz w:val="18"/>
                <w:szCs w:val="18"/>
                <w:color w:val="auto"/>
                <w:w w:val="89"/>
              </w:rPr>
              <w:t>July 23, 2018</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10-Q</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10.2</w:t>
            </w:r>
          </w:p>
        </w:tc>
        <w:tc>
          <w:tcPr>
            <w:tcW w:w="1500" w:type="dxa"/>
            <w:vAlign w:val="bottom"/>
          </w:tcPr>
          <w:p>
            <w:pPr>
              <w:jc w:val="center"/>
              <w:ind w:left="250"/>
              <w:spacing w:after="0"/>
              <w:rPr>
                <w:sz w:val="20"/>
                <w:szCs w:val="20"/>
                <w:color w:val="auto"/>
              </w:rPr>
            </w:pPr>
            <w:r>
              <w:rPr>
                <w:rFonts w:ascii="Arial" w:cs="Arial" w:eastAsia="Arial" w:hAnsi="Arial"/>
                <w:sz w:val="18"/>
                <w:szCs w:val="18"/>
                <w:color w:val="auto"/>
                <w:w w:val="89"/>
              </w:rPr>
              <w:t>October 5, 2016</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10-Q</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10.2</w:t>
            </w:r>
          </w:p>
        </w:tc>
        <w:tc>
          <w:tcPr>
            <w:tcW w:w="1500" w:type="dxa"/>
            <w:vAlign w:val="bottom"/>
          </w:tcPr>
          <w:p>
            <w:pPr>
              <w:jc w:val="center"/>
              <w:ind w:left="250"/>
              <w:spacing w:after="0"/>
              <w:rPr>
                <w:sz w:val="20"/>
                <w:szCs w:val="20"/>
                <w:color w:val="auto"/>
              </w:rPr>
            </w:pPr>
            <w:r>
              <w:rPr>
                <w:rFonts w:ascii="Arial" w:cs="Arial" w:eastAsia="Arial" w:hAnsi="Arial"/>
                <w:sz w:val="18"/>
                <w:szCs w:val="18"/>
                <w:color w:val="auto"/>
                <w:w w:val="88"/>
              </w:rPr>
              <w:t>September 29,</w:t>
            </w:r>
          </w:p>
        </w:tc>
      </w:tr>
      <w:tr>
        <w:trPr>
          <w:trHeight w:val="230"/>
        </w:trPr>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00" w:type="dxa"/>
            <w:vAlign w:val="bottom"/>
          </w:tcPr>
          <w:p>
            <w:pPr>
              <w:jc w:val="center"/>
              <w:ind w:left="250"/>
              <w:spacing w:after="0"/>
              <w:rPr>
                <w:sz w:val="20"/>
                <w:szCs w:val="20"/>
                <w:color w:val="auto"/>
              </w:rPr>
            </w:pPr>
            <w:r>
              <w:rPr>
                <w:rFonts w:ascii="Arial" w:cs="Arial" w:eastAsia="Arial" w:hAnsi="Arial"/>
                <w:sz w:val="18"/>
                <w:szCs w:val="18"/>
                <w:color w:val="auto"/>
                <w:w w:val="89"/>
              </w:rPr>
              <w:t>2017</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10-K</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87"/>
              </w:rPr>
              <w:t>10.4.5</w:t>
            </w:r>
          </w:p>
        </w:tc>
        <w:tc>
          <w:tcPr>
            <w:tcW w:w="1500" w:type="dxa"/>
            <w:vAlign w:val="bottom"/>
          </w:tcPr>
          <w:p>
            <w:pPr>
              <w:jc w:val="center"/>
              <w:ind w:left="250"/>
              <w:spacing w:after="0"/>
              <w:rPr>
                <w:sz w:val="20"/>
                <w:szCs w:val="20"/>
                <w:color w:val="auto"/>
              </w:rPr>
            </w:pPr>
            <w:r>
              <w:rPr>
                <w:rFonts w:ascii="Arial" w:cs="Arial" w:eastAsia="Arial" w:hAnsi="Arial"/>
                <w:sz w:val="18"/>
                <w:szCs w:val="18"/>
                <w:color w:val="auto"/>
                <w:w w:val="89"/>
              </w:rPr>
              <w:t>July 23, 2018</w:t>
            </w:r>
          </w:p>
        </w:tc>
      </w:tr>
    </w:tbl>
    <w:p>
      <w:pPr>
        <w:spacing w:after="0" w:line="162" w:lineRule="exact"/>
        <w:rPr>
          <w:sz w:val="20"/>
          <w:szCs w:val="20"/>
          <w:color w:val="auto"/>
        </w:rPr>
      </w:pPr>
    </w:p>
    <w:p>
      <w:pPr>
        <w:sectPr>
          <w:pgSz w:w="11900" w:h="16838" w:orient="portrait"/>
          <w:cols w:equalWidth="0" w:num="2">
            <w:col w:w="7000" w:space="500"/>
            <w:col w:w="3720"/>
          </w:cols>
          <w:pgMar w:left="320" w:top="895" w:right="35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100" w:type="dxa"/>
            <w:vAlign w:val="bottom"/>
          </w:tcPr>
          <w:p>
            <w:pPr>
              <w:jc w:val="right"/>
              <w:ind w:right="310"/>
              <w:spacing w:after="0" w:line="170" w:lineRule="exact"/>
              <w:rPr>
                <w:sz w:val="20"/>
                <w:szCs w:val="20"/>
                <w:color w:val="auto"/>
              </w:rPr>
            </w:pPr>
            <w:r>
              <w:rPr>
                <w:rFonts w:ascii="Arial" w:cs="Arial" w:eastAsia="Arial" w:hAnsi="Arial"/>
                <w:sz w:val="18"/>
                <w:szCs w:val="18"/>
                <w:color w:val="auto"/>
              </w:rPr>
              <w:t>10.5</w:t>
            </w:r>
          </w:p>
        </w:tc>
        <w:tc>
          <w:tcPr>
            <w:tcW w:w="6160" w:type="dxa"/>
            <w:vAlign w:val="bottom"/>
            <w:gridSpan w:val="3"/>
          </w:tcPr>
          <w:p>
            <w:pPr>
              <w:spacing w:after="0" w:line="170" w:lineRule="exact"/>
              <w:rPr>
                <w:rFonts w:ascii="Arial" w:cs="Arial" w:eastAsia="Arial" w:hAnsi="Arial"/>
                <w:sz w:val="18"/>
                <w:szCs w:val="18"/>
                <w:color w:val="0000FF"/>
                <w:w w:val="95"/>
              </w:rPr>
            </w:pPr>
            <w:hyperlink r:id="rId148">
              <w:r>
                <w:rPr>
                  <w:rFonts w:ascii="Arial" w:cs="Arial" w:eastAsia="Arial" w:hAnsi="Arial"/>
                  <w:sz w:val="18"/>
                  <w:szCs w:val="18"/>
                  <w:color w:val="0000FF"/>
                  <w:w w:val="95"/>
                </w:rPr>
                <w:t>Form of Restricted Stock Award Agreement pursuant to the AngioDynamics, Inc.</w:t>
              </w:r>
            </w:hyperlink>
          </w:p>
        </w:tc>
        <w:tc>
          <w:tcPr>
            <w:tcW w:w="1080" w:type="dxa"/>
            <w:vAlign w:val="bottom"/>
          </w:tcPr>
          <w:p>
            <w:pPr>
              <w:ind w:left="280"/>
              <w:spacing w:after="0" w:line="170" w:lineRule="exact"/>
              <w:rPr>
                <w:sz w:val="20"/>
                <w:szCs w:val="20"/>
                <w:color w:val="auto"/>
              </w:rPr>
            </w:pPr>
            <w:r>
              <w:rPr>
                <w:rFonts w:ascii="Arial" w:cs="Arial" w:eastAsia="Arial" w:hAnsi="Arial"/>
                <w:sz w:val="18"/>
                <w:szCs w:val="18"/>
                <w:color w:val="auto"/>
              </w:rPr>
              <w:t>8-K</w:t>
            </w:r>
          </w:p>
        </w:tc>
        <w:tc>
          <w:tcPr>
            <w:tcW w:w="1240" w:type="dxa"/>
            <w:vAlign w:val="bottom"/>
          </w:tcPr>
          <w:p>
            <w:pPr>
              <w:jc w:val="right"/>
              <w:ind w:right="310"/>
              <w:spacing w:after="0" w:line="170" w:lineRule="exact"/>
              <w:rPr>
                <w:sz w:val="20"/>
                <w:szCs w:val="20"/>
                <w:color w:val="auto"/>
              </w:rPr>
            </w:pPr>
            <w:r>
              <w:rPr>
                <w:rFonts w:ascii="Arial" w:cs="Arial" w:eastAsia="Arial" w:hAnsi="Arial"/>
                <w:sz w:val="18"/>
                <w:szCs w:val="18"/>
                <w:color w:val="auto"/>
              </w:rPr>
              <w:t>10.3</w:t>
            </w:r>
          </w:p>
        </w:tc>
        <w:tc>
          <w:tcPr>
            <w:tcW w:w="1640" w:type="dxa"/>
            <w:vAlign w:val="bottom"/>
          </w:tcPr>
          <w:p>
            <w:pPr>
              <w:jc w:val="center"/>
              <w:ind w:left="70"/>
              <w:spacing w:after="0" w:line="170" w:lineRule="exact"/>
              <w:rPr>
                <w:sz w:val="20"/>
                <w:szCs w:val="20"/>
                <w:color w:val="auto"/>
              </w:rPr>
            </w:pPr>
            <w:r>
              <w:rPr>
                <w:rFonts w:ascii="Arial" w:cs="Arial" w:eastAsia="Arial" w:hAnsi="Arial"/>
                <w:sz w:val="18"/>
                <w:szCs w:val="18"/>
                <w:color w:val="auto"/>
                <w:w w:val="91"/>
              </w:rPr>
              <w:t>May 12, 2005</w:t>
            </w:r>
          </w:p>
        </w:tc>
      </w:tr>
      <w:tr>
        <w:trPr>
          <w:trHeight w:val="155"/>
        </w:trPr>
        <w:tc>
          <w:tcPr>
            <w:tcW w:w="1100" w:type="dxa"/>
            <w:vAlign w:val="bottom"/>
          </w:tcPr>
          <w:p>
            <w:pPr>
              <w:spacing w:after="0"/>
              <w:rPr>
                <w:sz w:val="13"/>
                <w:szCs w:val="13"/>
                <w:color w:val="auto"/>
              </w:rPr>
            </w:pPr>
          </w:p>
        </w:tc>
        <w:tc>
          <w:tcPr>
            <w:tcW w:w="58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2004 Stock and Incentive Award Plan.</w:t>
              </w:r>
            </w:hyperlink>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43"/>
        </w:trPr>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10.6</w:t>
            </w:r>
          </w:p>
        </w:tc>
        <w:tc>
          <w:tcPr>
            <w:tcW w:w="6160" w:type="dxa"/>
            <w:vAlign w:val="bottom"/>
            <w:gridSpan w:val="3"/>
            <w:shd w:val="clear" w:color="auto" w:fill="CCEEFF"/>
          </w:tcPr>
          <w:p>
            <w:pPr>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Rita Medical Systems, Inc. 1994 Incentive Stock Plan.</w:t>
              </w:r>
            </w:hyperlink>
          </w:p>
        </w:tc>
        <w:tc>
          <w:tcPr>
            <w:tcW w:w="1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S-1</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10.2</w:t>
            </w:r>
          </w:p>
        </w:tc>
        <w:tc>
          <w:tcPr>
            <w:tcW w:w="16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May 3, 2000</w:t>
            </w:r>
          </w:p>
        </w:tc>
      </w:tr>
      <w:tr>
        <w:trPr>
          <w:trHeight w:val="27"/>
        </w:trPr>
        <w:tc>
          <w:tcPr>
            <w:tcW w:w="1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4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27"/>
        </w:trPr>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Exhibit</w:t>
            </w: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80" w:type="dxa"/>
            <w:vAlign w:val="bottom"/>
            <w:gridSpan w:val="14"/>
          </w:tcPr>
          <w:p>
            <w:pPr>
              <w:ind w:left="440"/>
              <w:spacing w:after="0"/>
              <w:rPr>
                <w:sz w:val="20"/>
                <w:szCs w:val="20"/>
                <w:color w:val="auto"/>
              </w:rPr>
            </w:pPr>
            <w:r>
              <w:rPr>
                <w:rFonts w:ascii="Arial" w:cs="Arial" w:eastAsia="Arial" w:hAnsi="Arial"/>
                <w:sz w:val="18"/>
                <w:szCs w:val="18"/>
                <w:color w:val="auto"/>
              </w:rPr>
              <w:t>Description of Exhibits</w:t>
            </w:r>
          </w:p>
        </w:tc>
        <w:tc>
          <w:tcPr>
            <w:tcW w:w="1000" w:type="dxa"/>
            <w:vAlign w:val="bottom"/>
          </w:tcPr>
          <w:p>
            <w:pPr>
              <w:jc w:val="center"/>
              <w:ind w:left="130"/>
              <w:spacing w:after="0"/>
              <w:rPr>
                <w:sz w:val="20"/>
                <w:szCs w:val="20"/>
                <w:color w:val="auto"/>
              </w:rPr>
            </w:pPr>
            <w:r>
              <w:rPr>
                <w:rFonts w:ascii="Arial" w:cs="Arial" w:eastAsia="Arial" w:hAnsi="Arial"/>
                <w:sz w:val="18"/>
                <w:szCs w:val="18"/>
                <w:color w:val="auto"/>
                <w:w w:val="90"/>
              </w:rPr>
              <w:t>Form</w:t>
            </w:r>
          </w:p>
        </w:tc>
        <w:tc>
          <w:tcPr>
            <w:tcW w:w="1480" w:type="dxa"/>
            <w:vAlign w:val="bottom"/>
          </w:tcPr>
          <w:p>
            <w:pPr>
              <w:ind w:left="680"/>
              <w:spacing w:after="0"/>
              <w:rPr>
                <w:sz w:val="20"/>
                <w:szCs w:val="20"/>
                <w:color w:val="auto"/>
              </w:rPr>
            </w:pPr>
            <w:r>
              <w:rPr>
                <w:rFonts w:ascii="Arial" w:cs="Arial" w:eastAsia="Arial" w:hAnsi="Arial"/>
                <w:sz w:val="18"/>
                <w:szCs w:val="18"/>
                <w:color w:val="auto"/>
              </w:rPr>
              <w:t>Exhibit</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2"/>
              </w:rPr>
              <w:t>Filing Date</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10.7</w:t>
            </w:r>
          </w:p>
        </w:tc>
        <w:tc>
          <w:tcPr>
            <w:tcW w:w="5980" w:type="dxa"/>
            <w:vAlign w:val="bottom"/>
            <w:tcBorders>
              <w:bottom w:val="single" w:sz="8" w:color="CCEEFF"/>
            </w:tcBorders>
            <w:gridSpan w:val="18"/>
            <w:shd w:val="clear" w:color="auto" w:fill="CCEEFF"/>
          </w:tcPr>
          <w:p>
            <w:pPr>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Horizon Medical Products, Inc. 1998 Stock Incentive Plan.</w:t>
              </w:r>
            </w:hyperlink>
          </w:p>
        </w:tc>
        <w:tc>
          <w:tcPr>
            <w:tcW w:w="100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2"/>
              </w:rPr>
              <w:t>S-1</w:t>
            </w:r>
          </w:p>
        </w:tc>
        <w:tc>
          <w:tcPr>
            <w:tcW w:w="148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10.11</w:t>
            </w:r>
          </w:p>
        </w:tc>
        <w:tc>
          <w:tcPr>
            <w:tcW w:w="16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February 13, 1998</w:t>
            </w:r>
          </w:p>
        </w:tc>
        <w:tc>
          <w:tcPr>
            <w:tcW w:w="0" w:type="dxa"/>
            <w:vAlign w:val="bottom"/>
          </w:tcPr>
          <w:p>
            <w:pPr>
              <w:spacing w:after="0"/>
              <w:rPr>
                <w:sz w:val="1"/>
                <w:szCs w:val="1"/>
                <w:color w:val="auto"/>
              </w:rPr>
            </w:pPr>
          </w:p>
        </w:tc>
      </w:tr>
      <w:tr>
        <w:trPr>
          <w:trHeight w:val="243"/>
        </w:trPr>
        <w:tc>
          <w:tcPr>
            <w:tcW w:w="110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5980" w:type="dxa"/>
            <w:vAlign w:val="bottom"/>
            <w:gridSpan w:val="18"/>
          </w:tcPr>
          <w:p>
            <w:pPr>
              <w:spacing w:after="0"/>
              <w:rPr>
                <w:rFonts w:ascii="Arial" w:cs="Arial" w:eastAsia="Arial" w:hAnsi="Arial"/>
                <w:sz w:val="18"/>
                <w:szCs w:val="18"/>
                <w:color w:val="0000FF"/>
              </w:rPr>
            </w:pPr>
            <w:hyperlink r:id="rId152">
              <w:r>
                <w:rPr>
                  <w:rFonts w:ascii="Arial" w:cs="Arial" w:eastAsia="Arial" w:hAnsi="Arial"/>
                  <w:sz w:val="18"/>
                  <w:szCs w:val="18"/>
                  <w:u w:val="single" w:color="auto"/>
                  <w:color w:val="0000FF"/>
                </w:rPr>
                <w:t>Rita Medical Systems, Inc. 2000 Stock Plan</w:t>
              </w:r>
              <w:r>
                <w:rPr>
                  <w:rFonts w:ascii="Arial" w:cs="Arial" w:eastAsia="Arial" w:hAnsi="Arial"/>
                  <w:sz w:val="18"/>
                  <w:szCs w:val="18"/>
                  <w:color w:val="0000FF"/>
                </w:rPr>
                <w:t>.</w:t>
              </w:r>
            </w:hyperlink>
          </w:p>
        </w:tc>
        <w:tc>
          <w:tcPr>
            <w:tcW w:w="1000" w:type="dxa"/>
            <w:vAlign w:val="bottom"/>
          </w:tcPr>
          <w:p>
            <w:pPr>
              <w:jc w:val="center"/>
              <w:ind w:left="1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ind w:left="310"/>
              <w:spacing w:after="0"/>
              <w:rPr>
                <w:sz w:val="20"/>
                <w:szCs w:val="20"/>
                <w:color w:val="auto"/>
              </w:rPr>
            </w:pPr>
            <w:r>
              <w:rPr>
                <w:rFonts w:ascii="Arial" w:cs="Arial" w:eastAsia="Arial" w:hAnsi="Arial"/>
                <w:sz w:val="18"/>
                <w:szCs w:val="18"/>
                <w:color w:val="auto"/>
                <w:w w:val="91"/>
              </w:rPr>
              <w:t>10.3</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87"/>
              </w:rPr>
              <w:t>June 14, 2000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5"/>
              </w:rPr>
              <w:t>10.9</w:t>
            </w:r>
          </w:p>
        </w:tc>
        <w:tc>
          <w:tcPr>
            <w:tcW w:w="5980" w:type="dxa"/>
            <w:vAlign w:val="bottom"/>
            <w:gridSpan w:val="18"/>
            <w:shd w:val="clear" w:color="auto" w:fill="CCEEFF"/>
          </w:tcPr>
          <w:p>
            <w:pPr>
              <w:spacing w:after="0" w:line="169"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Rita Medical Systems, Inc. 2000 Directors’ Stock Plan, as amended on June 8,</w:t>
              </w:r>
            </w:hyperlink>
          </w:p>
        </w:tc>
        <w:tc>
          <w:tcPr>
            <w:tcW w:w="1000" w:type="dxa"/>
            <w:vAlign w:val="bottom"/>
            <w:shd w:val="clear" w:color="auto" w:fill="CCEEFF"/>
          </w:tcPr>
          <w:p>
            <w:pPr>
              <w:jc w:val="center"/>
              <w:ind w:left="130"/>
              <w:spacing w:after="0" w:line="169" w:lineRule="exact"/>
              <w:rPr>
                <w:sz w:val="20"/>
                <w:szCs w:val="20"/>
                <w:color w:val="auto"/>
              </w:rPr>
            </w:pPr>
            <w:r>
              <w:rPr>
                <w:rFonts w:ascii="Arial" w:cs="Arial" w:eastAsia="Arial" w:hAnsi="Arial"/>
                <w:sz w:val="18"/>
                <w:szCs w:val="18"/>
                <w:color w:val="auto"/>
                <w:w w:val="92"/>
              </w:rPr>
              <w:t>S-8</w:t>
            </w:r>
          </w:p>
        </w:tc>
        <w:tc>
          <w:tcPr>
            <w:tcW w:w="1480" w:type="dxa"/>
            <w:vAlign w:val="bottom"/>
            <w:shd w:val="clear" w:color="auto" w:fill="CCEEFF"/>
          </w:tcPr>
          <w:p>
            <w:pPr>
              <w:jc w:val="center"/>
              <w:ind w:left="310"/>
              <w:spacing w:after="0" w:line="169" w:lineRule="exact"/>
              <w:rPr>
                <w:sz w:val="20"/>
                <w:szCs w:val="20"/>
                <w:color w:val="auto"/>
              </w:rPr>
            </w:pPr>
            <w:r>
              <w:rPr>
                <w:rFonts w:ascii="Arial" w:cs="Arial" w:eastAsia="Arial" w:hAnsi="Arial"/>
                <w:sz w:val="18"/>
                <w:szCs w:val="18"/>
                <w:color w:val="auto"/>
                <w:w w:val="91"/>
              </w:rPr>
              <w:t>99.2</w:t>
            </w:r>
          </w:p>
        </w:tc>
        <w:tc>
          <w:tcPr>
            <w:tcW w:w="1660" w:type="dxa"/>
            <w:vAlign w:val="bottom"/>
            <w:shd w:val="clear" w:color="auto" w:fill="CCEEFF"/>
          </w:tcPr>
          <w:p>
            <w:pPr>
              <w:jc w:val="center"/>
              <w:ind w:left="90"/>
              <w:spacing w:after="0" w:line="169" w:lineRule="exact"/>
              <w:rPr>
                <w:sz w:val="20"/>
                <w:szCs w:val="20"/>
                <w:color w:val="auto"/>
              </w:rPr>
            </w:pPr>
            <w:r>
              <w:rPr>
                <w:rFonts w:ascii="Arial" w:cs="Arial" w:eastAsia="Arial" w:hAnsi="Arial"/>
                <w:sz w:val="18"/>
                <w:szCs w:val="18"/>
                <w:color w:val="auto"/>
                <w:w w:val="90"/>
              </w:rPr>
              <w:t>July 8, 2005</w:t>
            </w:r>
          </w:p>
        </w:tc>
        <w:tc>
          <w:tcPr>
            <w:tcW w:w="0" w:type="dxa"/>
            <w:vAlign w:val="bottom"/>
          </w:tcPr>
          <w:p>
            <w:pPr>
              <w:spacing w:after="0"/>
              <w:rPr>
                <w:sz w:val="1"/>
                <w:szCs w:val="1"/>
                <w:color w:val="auto"/>
              </w:rPr>
            </w:pPr>
          </w:p>
        </w:tc>
      </w:tr>
      <w:tr>
        <w:trPr>
          <w:trHeight w:val="176"/>
        </w:trPr>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8"/>
              </w:rPr>
            </w:pPr>
            <w:hyperlink r:id="rId153">
              <w:r>
                <w:rPr>
                  <w:rFonts w:ascii="Arial" w:cs="Arial" w:eastAsia="Arial" w:hAnsi="Arial"/>
                  <w:sz w:val="18"/>
                  <w:szCs w:val="18"/>
                  <w:color w:val="0000FF"/>
                  <w:w w:val="88"/>
                </w:rPr>
                <w:t>2005.</w:t>
              </w:r>
            </w:hyperlink>
          </w:p>
        </w:tc>
        <w:tc>
          <w:tcPr>
            <w:tcW w:w="98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0000FF"/>
              <w:bottom w:val="single" w:sz="8" w:color="CCEEFF"/>
            </w:tcBorders>
            <w:shd w:val="clear" w:color="auto" w:fill="CCEEFF"/>
          </w:tcPr>
          <w:p>
            <w:pPr>
              <w:spacing w:after="0"/>
              <w:rPr>
                <w:sz w:val="15"/>
                <w:szCs w:val="15"/>
                <w:color w:val="auto"/>
              </w:rPr>
            </w:pPr>
          </w:p>
        </w:tc>
        <w:tc>
          <w:tcPr>
            <w:tcW w:w="15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0000FF"/>
              <w:bottom w:val="single" w:sz="8" w:color="CCEEFF"/>
            </w:tcBorders>
            <w:shd w:val="clear" w:color="auto" w:fill="CCEEFF"/>
          </w:tcPr>
          <w:p>
            <w:pPr>
              <w:spacing w:after="0"/>
              <w:rPr>
                <w:sz w:val="15"/>
                <w:szCs w:val="15"/>
                <w:color w:val="auto"/>
              </w:rPr>
            </w:pPr>
          </w:p>
        </w:tc>
        <w:tc>
          <w:tcPr>
            <w:tcW w:w="380" w:type="dxa"/>
            <w:vAlign w:val="bottom"/>
            <w:tcBorders>
              <w:top w:val="single" w:sz="8" w:color="0000FF"/>
              <w:bottom w:val="single" w:sz="8" w:color="CCEEFF"/>
            </w:tcBorders>
            <w:shd w:val="clear" w:color="auto" w:fill="CCEEFF"/>
          </w:tcPr>
          <w:p>
            <w:pPr>
              <w:spacing w:after="0"/>
              <w:rPr>
                <w:sz w:val="15"/>
                <w:szCs w:val="15"/>
                <w:color w:val="auto"/>
              </w:rPr>
            </w:pPr>
          </w:p>
        </w:tc>
        <w:tc>
          <w:tcPr>
            <w:tcW w:w="140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1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5980" w:type="dxa"/>
            <w:vAlign w:val="bottom"/>
            <w:gridSpan w:val="18"/>
          </w:tcPr>
          <w:p>
            <w:pPr>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Rita Medical Systems, Inc. 2005 Stock and Incentive Plan.</w:t>
              </w:r>
            </w:hyperlink>
          </w:p>
        </w:tc>
        <w:tc>
          <w:tcPr>
            <w:tcW w:w="1000" w:type="dxa"/>
            <w:vAlign w:val="bottom"/>
          </w:tcPr>
          <w:p>
            <w:pPr>
              <w:jc w:val="center"/>
              <w:ind w:left="130"/>
              <w:spacing w:after="0"/>
              <w:rPr>
                <w:sz w:val="20"/>
                <w:szCs w:val="20"/>
                <w:color w:val="auto"/>
              </w:rPr>
            </w:pPr>
            <w:r>
              <w:rPr>
                <w:rFonts w:ascii="Arial" w:cs="Arial" w:eastAsia="Arial" w:hAnsi="Arial"/>
                <w:sz w:val="18"/>
                <w:szCs w:val="18"/>
                <w:color w:val="auto"/>
                <w:w w:val="92"/>
              </w:rPr>
              <w:t>S-8</w:t>
            </w:r>
          </w:p>
        </w:tc>
        <w:tc>
          <w:tcPr>
            <w:tcW w:w="1480" w:type="dxa"/>
            <w:vAlign w:val="bottom"/>
          </w:tcPr>
          <w:p>
            <w:pPr>
              <w:jc w:val="center"/>
              <w:ind w:left="310"/>
              <w:spacing w:after="0"/>
              <w:rPr>
                <w:sz w:val="20"/>
                <w:szCs w:val="20"/>
                <w:color w:val="auto"/>
              </w:rPr>
            </w:pPr>
            <w:r>
              <w:rPr>
                <w:rFonts w:ascii="Arial" w:cs="Arial" w:eastAsia="Arial" w:hAnsi="Arial"/>
                <w:sz w:val="18"/>
                <w:szCs w:val="18"/>
                <w:color w:val="auto"/>
                <w:w w:val="91"/>
              </w:rPr>
              <w:t>99.1</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0"/>
              </w:rPr>
              <w:t>July 8, 2005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10.11</w:t>
            </w:r>
          </w:p>
        </w:tc>
        <w:tc>
          <w:tcPr>
            <w:tcW w:w="5980" w:type="dxa"/>
            <w:vAlign w:val="bottom"/>
            <w:tcBorders>
              <w:bottom w:val="single" w:sz="8" w:color="CCEEFF"/>
            </w:tcBorders>
            <w:gridSpan w:val="18"/>
            <w:shd w:val="clear" w:color="auto" w:fill="CCEEFF"/>
          </w:tcPr>
          <w:p>
            <w:pPr>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Form of Indemnification Agreement of AngioDynamics, Inc.</w:t>
              </w:r>
            </w:hyperlink>
          </w:p>
        </w:tc>
        <w:tc>
          <w:tcPr>
            <w:tcW w:w="10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9"/>
              </w:rPr>
              <w:t>8-K</w:t>
            </w:r>
          </w:p>
        </w:tc>
        <w:tc>
          <w:tcPr>
            <w:tcW w:w="148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10.1</w:t>
            </w:r>
          </w:p>
        </w:tc>
        <w:tc>
          <w:tcPr>
            <w:tcW w:w="16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May 12, 2006</w:t>
            </w:r>
          </w:p>
        </w:tc>
        <w:tc>
          <w:tcPr>
            <w:tcW w:w="0" w:type="dxa"/>
            <w:vAlign w:val="bottom"/>
          </w:tcPr>
          <w:p>
            <w:pPr>
              <w:spacing w:after="0"/>
              <w:rPr>
                <w:sz w:val="1"/>
                <w:szCs w:val="1"/>
                <w:color w:val="auto"/>
              </w:rPr>
            </w:pPr>
          </w:p>
        </w:tc>
      </w:tr>
      <w:tr>
        <w:trPr>
          <w:trHeight w:val="189"/>
        </w:trPr>
        <w:tc>
          <w:tcPr>
            <w:tcW w:w="1100" w:type="dxa"/>
            <w:vAlign w:val="bottom"/>
          </w:tcPr>
          <w:p>
            <w:pPr>
              <w:jc w:val="center"/>
              <w:spacing w:after="0" w:line="169" w:lineRule="exact"/>
              <w:rPr>
                <w:sz w:val="20"/>
                <w:szCs w:val="20"/>
                <w:color w:val="auto"/>
              </w:rPr>
            </w:pPr>
            <w:r>
              <w:rPr>
                <w:rFonts w:ascii="Arial" w:cs="Arial" w:eastAsia="Arial" w:hAnsi="Arial"/>
                <w:sz w:val="18"/>
                <w:szCs w:val="18"/>
                <w:color w:val="auto"/>
                <w:w w:val="89"/>
              </w:rPr>
              <w:t>10.11.1</w:t>
            </w:r>
          </w:p>
        </w:tc>
        <w:tc>
          <w:tcPr>
            <w:tcW w:w="5980" w:type="dxa"/>
            <w:vAlign w:val="bottom"/>
            <w:gridSpan w:val="18"/>
          </w:tcPr>
          <w:p>
            <w:pPr>
              <w:spacing w:after="0" w:line="169" w:lineRule="exact"/>
              <w:rPr>
                <w:rFonts w:ascii="Arial" w:cs="Arial" w:eastAsia="Arial" w:hAnsi="Arial"/>
                <w:sz w:val="18"/>
                <w:szCs w:val="18"/>
                <w:color w:val="0000FF"/>
                <w:w w:val="93"/>
              </w:rPr>
            </w:pPr>
            <w:hyperlink r:id="rId156">
              <w:r>
                <w:rPr>
                  <w:rFonts w:ascii="Arial" w:cs="Arial" w:eastAsia="Arial" w:hAnsi="Arial"/>
                  <w:sz w:val="18"/>
                  <w:szCs w:val="18"/>
                  <w:color w:val="0000FF"/>
                  <w:w w:val="93"/>
                </w:rPr>
                <w:t>Employment Agreement, dated April 1, 2016, between AngioDynamics, Inc. and</w:t>
              </w:r>
            </w:hyperlink>
          </w:p>
        </w:tc>
        <w:tc>
          <w:tcPr>
            <w:tcW w:w="1000" w:type="dxa"/>
            <w:vAlign w:val="bottom"/>
          </w:tcPr>
          <w:p>
            <w:pPr>
              <w:jc w:val="center"/>
              <w:ind w:left="110"/>
              <w:spacing w:after="0" w:line="169" w:lineRule="exact"/>
              <w:rPr>
                <w:sz w:val="20"/>
                <w:szCs w:val="20"/>
                <w:color w:val="auto"/>
              </w:rPr>
            </w:pPr>
            <w:r>
              <w:rPr>
                <w:rFonts w:ascii="Arial" w:cs="Arial" w:eastAsia="Arial" w:hAnsi="Arial"/>
                <w:sz w:val="18"/>
                <w:szCs w:val="18"/>
                <w:color w:val="auto"/>
                <w:w w:val="99"/>
              </w:rPr>
              <w:t>8-K</w:t>
            </w:r>
          </w:p>
        </w:tc>
        <w:tc>
          <w:tcPr>
            <w:tcW w:w="1480" w:type="dxa"/>
            <w:vAlign w:val="bottom"/>
          </w:tcPr>
          <w:p>
            <w:pPr>
              <w:jc w:val="center"/>
              <w:ind w:left="310"/>
              <w:spacing w:after="0" w:line="169" w:lineRule="exact"/>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90"/>
              <w:spacing w:after="0" w:line="169"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8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James C. Clemmer.</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9"/>
              </w:rPr>
              <w:t>10.11.2</w:t>
            </w:r>
          </w:p>
        </w:tc>
        <w:tc>
          <w:tcPr>
            <w:tcW w:w="5980" w:type="dxa"/>
            <w:vAlign w:val="bottom"/>
            <w:gridSpan w:val="18"/>
            <w:shd w:val="clear" w:color="auto" w:fill="CCEEFF"/>
          </w:tcPr>
          <w:p>
            <w:pPr>
              <w:spacing w:after="0" w:line="169" w:lineRule="exact"/>
              <w:rPr>
                <w:rFonts w:ascii="Arial" w:cs="Arial" w:eastAsia="Arial" w:hAnsi="Arial"/>
                <w:sz w:val="18"/>
                <w:szCs w:val="18"/>
                <w:color w:val="0000FF"/>
                <w:w w:val="96"/>
              </w:rPr>
            </w:pPr>
            <w:hyperlink r:id="rId157">
              <w:r>
                <w:rPr>
                  <w:rFonts w:ascii="Arial" w:cs="Arial" w:eastAsia="Arial" w:hAnsi="Arial"/>
                  <w:sz w:val="18"/>
                  <w:szCs w:val="18"/>
                  <w:color w:val="0000FF"/>
                  <w:w w:val="96"/>
                </w:rPr>
                <w:t>Employment letter, dated August 18, 2016, between AngioDynamics, Inc. and</w:t>
              </w:r>
            </w:hyperlink>
          </w:p>
        </w:tc>
        <w:tc>
          <w:tcPr>
            <w:tcW w:w="1000" w:type="dxa"/>
            <w:vAlign w:val="bottom"/>
            <w:shd w:val="clear" w:color="auto" w:fill="CCEEFF"/>
          </w:tcPr>
          <w:p>
            <w:pPr>
              <w:jc w:val="center"/>
              <w:ind w:left="110"/>
              <w:spacing w:after="0" w:line="169" w:lineRule="exact"/>
              <w:rPr>
                <w:sz w:val="20"/>
                <w:szCs w:val="20"/>
                <w:color w:val="auto"/>
              </w:rPr>
            </w:pPr>
            <w:r>
              <w:rPr>
                <w:rFonts w:ascii="Arial" w:cs="Arial" w:eastAsia="Arial" w:hAnsi="Arial"/>
                <w:sz w:val="18"/>
                <w:szCs w:val="18"/>
                <w:color w:val="auto"/>
                <w:w w:val="99"/>
              </w:rPr>
              <w:t>8-K</w:t>
            </w:r>
          </w:p>
        </w:tc>
        <w:tc>
          <w:tcPr>
            <w:tcW w:w="1480" w:type="dxa"/>
            <w:vAlign w:val="bottom"/>
            <w:shd w:val="clear" w:color="auto" w:fill="CCEEFF"/>
          </w:tcPr>
          <w:p>
            <w:pPr>
              <w:jc w:val="center"/>
              <w:ind w:left="310"/>
              <w:spacing w:after="0" w:line="169" w:lineRule="exact"/>
              <w:rPr>
                <w:sz w:val="20"/>
                <w:szCs w:val="20"/>
                <w:color w:val="auto"/>
              </w:rPr>
            </w:pPr>
            <w:r>
              <w:rPr>
                <w:rFonts w:ascii="Arial" w:cs="Arial" w:eastAsia="Arial" w:hAnsi="Arial"/>
                <w:sz w:val="18"/>
                <w:szCs w:val="18"/>
                <w:color w:val="auto"/>
                <w:w w:val="91"/>
              </w:rPr>
              <w:t>10.1</w:t>
            </w:r>
          </w:p>
        </w:tc>
        <w:tc>
          <w:tcPr>
            <w:tcW w:w="1660" w:type="dxa"/>
            <w:vAlign w:val="bottom"/>
            <w:shd w:val="clear" w:color="auto" w:fill="CCEEFF"/>
          </w:tcPr>
          <w:p>
            <w:pPr>
              <w:jc w:val="center"/>
              <w:ind w:left="90"/>
              <w:spacing w:after="0" w:line="169" w:lineRule="exact"/>
              <w:rPr>
                <w:sz w:val="20"/>
                <w:szCs w:val="20"/>
                <w:color w:val="auto"/>
              </w:rPr>
            </w:pPr>
            <w:r>
              <w:rPr>
                <w:rFonts w:ascii="Arial" w:cs="Arial" w:eastAsia="Arial" w:hAnsi="Arial"/>
                <w:sz w:val="18"/>
                <w:szCs w:val="18"/>
                <w:color w:val="auto"/>
                <w:w w:val="89"/>
              </w:rPr>
              <w:t>July 25, 2016</w:t>
            </w:r>
          </w:p>
        </w:tc>
        <w:tc>
          <w:tcPr>
            <w:tcW w:w="0" w:type="dxa"/>
            <w:vAlign w:val="bottom"/>
          </w:tcPr>
          <w:p>
            <w:pPr>
              <w:spacing w:after="0"/>
              <w:rPr>
                <w:sz w:val="1"/>
                <w:szCs w:val="1"/>
                <w:color w:val="auto"/>
              </w:rPr>
            </w:pPr>
          </w:p>
        </w:tc>
      </w:tr>
      <w:tr>
        <w:trPr>
          <w:trHeight w:val="176"/>
        </w:trPr>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Michael C. Greiner.</w:t>
              </w:r>
            </w:hyperlink>
          </w:p>
        </w:tc>
        <w:tc>
          <w:tcPr>
            <w:tcW w:w="420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2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00" w:type="dxa"/>
            <w:vAlign w:val="bottom"/>
          </w:tcPr>
          <w:p>
            <w:pPr>
              <w:jc w:val="center"/>
              <w:spacing w:after="0" w:line="169" w:lineRule="exact"/>
              <w:rPr>
                <w:sz w:val="20"/>
                <w:szCs w:val="20"/>
                <w:color w:val="auto"/>
              </w:rPr>
            </w:pPr>
            <w:r>
              <w:rPr>
                <w:rFonts w:ascii="Arial" w:cs="Arial" w:eastAsia="Arial" w:hAnsi="Arial"/>
                <w:sz w:val="18"/>
                <w:szCs w:val="18"/>
                <w:color w:val="auto"/>
                <w:w w:val="93"/>
              </w:rPr>
              <w:t>10.12</w:t>
            </w:r>
          </w:p>
        </w:tc>
        <w:tc>
          <w:tcPr>
            <w:tcW w:w="5980" w:type="dxa"/>
            <w:vAlign w:val="bottom"/>
            <w:gridSpan w:val="18"/>
          </w:tcPr>
          <w:p>
            <w:pPr>
              <w:spacing w:after="0" w:line="169" w:lineRule="exact"/>
              <w:rPr>
                <w:rFonts w:ascii="Arial" w:cs="Arial" w:eastAsia="Arial" w:hAnsi="Arial"/>
                <w:sz w:val="18"/>
                <w:szCs w:val="18"/>
                <w:color w:val="0000FF"/>
                <w:w w:val="92"/>
              </w:rPr>
            </w:pPr>
            <w:hyperlink r:id="rId158">
              <w:r>
                <w:rPr>
                  <w:rFonts w:ascii="Arial" w:cs="Arial" w:eastAsia="Arial" w:hAnsi="Arial"/>
                  <w:sz w:val="18"/>
                  <w:szCs w:val="18"/>
                  <w:color w:val="0000FF"/>
                  <w:w w:val="92"/>
                </w:rPr>
                <w:t>Change in Control Agreement, dated April 1, 2016, between AngioDynamics, Inc.</w:t>
              </w:r>
            </w:hyperlink>
          </w:p>
        </w:tc>
        <w:tc>
          <w:tcPr>
            <w:tcW w:w="1000" w:type="dxa"/>
            <w:vAlign w:val="bottom"/>
          </w:tcPr>
          <w:p>
            <w:pPr>
              <w:jc w:val="center"/>
              <w:ind w:left="110"/>
              <w:spacing w:after="0" w:line="169" w:lineRule="exact"/>
              <w:rPr>
                <w:sz w:val="20"/>
                <w:szCs w:val="20"/>
                <w:color w:val="auto"/>
              </w:rPr>
            </w:pPr>
            <w:r>
              <w:rPr>
                <w:rFonts w:ascii="Arial" w:cs="Arial" w:eastAsia="Arial" w:hAnsi="Arial"/>
                <w:sz w:val="18"/>
                <w:szCs w:val="18"/>
                <w:color w:val="auto"/>
                <w:w w:val="99"/>
              </w:rPr>
              <w:t>8-K</w:t>
            </w:r>
          </w:p>
        </w:tc>
        <w:tc>
          <w:tcPr>
            <w:tcW w:w="1480" w:type="dxa"/>
            <w:vAlign w:val="bottom"/>
          </w:tcPr>
          <w:p>
            <w:pPr>
              <w:jc w:val="center"/>
              <w:ind w:left="310"/>
              <w:spacing w:after="0" w:line="169" w:lineRule="exact"/>
              <w:rPr>
                <w:sz w:val="20"/>
                <w:szCs w:val="20"/>
                <w:color w:val="auto"/>
              </w:rPr>
            </w:pPr>
            <w:r>
              <w:rPr>
                <w:rFonts w:ascii="Arial" w:cs="Arial" w:eastAsia="Arial" w:hAnsi="Arial"/>
                <w:sz w:val="18"/>
                <w:szCs w:val="18"/>
                <w:color w:val="auto"/>
                <w:w w:val="91"/>
              </w:rPr>
              <w:t>10.2</w:t>
            </w:r>
          </w:p>
        </w:tc>
        <w:tc>
          <w:tcPr>
            <w:tcW w:w="1660" w:type="dxa"/>
            <w:vAlign w:val="bottom"/>
          </w:tcPr>
          <w:p>
            <w:pPr>
              <w:jc w:val="center"/>
              <w:ind w:left="90"/>
              <w:spacing w:after="0" w:line="169"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9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and James C. Clemmer.</w:t>
              </w:r>
            </w:hyperlink>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10.12.2</w:t>
            </w:r>
          </w:p>
        </w:tc>
        <w:tc>
          <w:tcPr>
            <w:tcW w:w="5980" w:type="dxa"/>
            <w:vAlign w:val="bottom"/>
            <w:tcBorders>
              <w:bottom w:val="single" w:sz="8" w:color="CCEEFF"/>
            </w:tcBorders>
            <w:gridSpan w:val="18"/>
            <w:shd w:val="clear" w:color="auto" w:fill="CCEEFF"/>
          </w:tcPr>
          <w:p>
            <w:pPr>
              <w:spacing w:after="0"/>
              <w:rPr>
                <w:rFonts w:ascii="Arial" w:cs="Arial" w:eastAsia="Arial" w:hAnsi="Arial"/>
                <w:sz w:val="18"/>
                <w:szCs w:val="18"/>
                <w:color w:val="0000FF"/>
              </w:rPr>
            </w:pPr>
            <w:hyperlink w:anchor="page109">
              <w:r>
                <w:rPr>
                  <w:rFonts w:ascii="Arial" w:cs="Arial" w:eastAsia="Arial" w:hAnsi="Arial"/>
                  <w:sz w:val="18"/>
                  <w:szCs w:val="18"/>
                  <w:u w:val="single" w:color="auto"/>
                  <w:color w:val="0000FF"/>
                </w:rPr>
                <w:t>Form of Severance Agreement of AngioDynamics, Inc</w:t>
              </w:r>
              <w:r>
                <w:rPr>
                  <w:rFonts w:ascii="Arial" w:cs="Arial" w:eastAsia="Arial" w:hAnsi="Arial"/>
                  <w:sz w:val="18"/>
                  <w:szCs w:val="18"/>
                  <w:color w:val="0000FF"/>
                </w:rPr>
                <w:t>.</w:t>
              </w:r>
            </w:hyperlink>
          </w:p>
        </w:tc>
        <w:tc>
          <w:tcPr>
            <w:tcW w:w="100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9"/>
              </w:rPr>
              <w:t>10-K</w:t>
            </w:r>
          </w:p>
        </w:tc>
        <w:tc>
          <w:tcPr>
            <w:tcW w:w="148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9"/>
              </w:rPr>
              <w:t>10.12.2</w:t>
            </w: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5980" w:type="dxa"/>
            <w:vAlign w:val="bottom"/>
            <w:gridSpan w:val="18"/>
          </w:tcPr>
          <w:p>
            <w:pPr>
              <w:spacing w:after="0"/>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Form of Change in Control Agreement.</w:t>
              </w:r>
            </w:hyperlink>
          </w:p>
        </w:tc>
        <w:tc>
          <w:tcPr>
            <w:tcW w:w="1000" w:type="dxa"/>
            <w:vAlign w:val="bottom"/>
          </w:tcPr>
          <w:p>
            <w:pPr>
              <w:jc w:val="center"/>
              <w:ind w:left="130"/>
              <w:spacing w:after="0"/>
              <w:rPr>
                <w:sz w:val="20"/>
                <w:szCs w:val="20"/>
                <w:color w:val="auto"/>
              </w:rPr>
            </w:pPr>
            <w:r>
              <w:rPr>
                <w:rFonts w:ascii="Arial" w:cs="Arial" w:eastAsia="Arial" w:hAnsi="Arial"/>
                <w:sz w:val="18"/>
                <w:szCs w:val="18"/>
                <w:color w:val="auto"/>
                <w:w w:val="98"/>
              </w:rPr>
              <w:t>10-K/A</w:t>
            </w:r>
          </w:p>
        </w:tc>
        <w:tc>
          <w:tcPr>
            <w:tcW w:w="1480" w:type="dxa"/>
            <w:vAlign w:val="bottom"/>
          </w:tcPr>
          <w:p>
            <w:pPr>
              <w:jc w:val="center"/>
              <w:ind w:left="310"/>
              <w:spacing w:after="0"/>
              <w:rPr>
                <w:sz w:val="20"/>
                <w:szCs w:val="20"/>
                <w:color w:val="auto"/>
              </w:rPr>
            </w:pPr>
            <w:r>
              <w:rPr>
                <w:rFonts w:ascii="Arial" w:cs="Arial" w:eastAsia="Arial" w:hAnsi="Arial"/>
                <w:sz w:val="18"/>
                <w:szCs w:val="18"/>
                <w:color w:val="auto"/>
                <w:w w:val="88"/>
              </w:rPr>
              <w:t>10.13</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89"/>
              </w:rPr>
              <w:t>January 12, 2015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3"/>
              </w:rPr>
              <w:t>10.14</w:t>
            </w:r>
          </w:p>
        </w:tc>
        <w:tc>
          <w:tcPr>
            <w:tcW w:w="5980" w:type="dxa"/>
            <w:vAlign w:val="bottom"/>
            <w:gridSpan w:val="18"/>
            <w:shd w:val="clear" w:color="auto" w:fill="CCEEFF"/>
          </w:tcPr>
          <w:p>
            <w:pPr>
              <w:spacing w:after="0" w:line="169"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Performance Share Award Agreement, with a grant date of April 4, 2016, between</w:t>
              </w:r>
            </w:hyperlink>
          </w:p>
        </w:tc>
        <w:tc>
          <w:tcPr>
            <w:tcW w:w="1000" w:type="dxa"/>
            <w:vAlign w:val="bottom"/>
            <w:shd w:val="clear" w:color="auto" w:fill="CCEEFF"/>
          </w:tcPr>
          <w:p>
            <w:pPr>
              <w:jc w:val="center"/>
              <w:ind w:left="110"/>
              <w:spacing w:after="0" w:line="169" w:lineRule="exact"/>
              <w:rPr>
                <w:sz w:val="20"/>
                <w:szCs w:val="20"/>
                <w:color w:val="auto"/>
              </w:rPr>
            </w:pPr>
            <w:r>
              <w:rPr>
                <w:rFonts w:ascii="Arial" w:cs="Arial" w:eastAsia="Arial" w:hAnsi="Arial"/>
                <w:sz w:val="18"/>
                <w:szCs w:val="18"/>
                <w:color w:val="auto"/>
                <w:w w:val="99"/>
              </w:rPr>
              <w:t>8-K</w:t>
            </w:r>
          </w:p>
        </w:tc>
        <w:tc>
          <w:tcPr>
            <w:tcW w:w="1480" w:type="dxa"/>
            <w:vAlign w:val="bottom"/>
            <w:shd w:val="clear" w:color="auto" w:fill="CCEEFF"/>
          </w:tcPr>
          <w:p>
            <w:pPr>
              <w:jc w:val="center"/>
              <w:ind w:left="310"/>
              <w:spacing w:after="0" w:line="169" w:lineRule="exact"/>
              <w:rPr>
                <w:sz w:val="20"/>
                <w:szCs w:val="20"/>
                <w:color w:val="auto"/>
              </w:rPr>
            </w:pPr>
            <w:r>
              <w:rPr>
                <w:rFonts w:ascii="Arial" w:cs="Arial" w:eastAsia="Arial" w:hAnsi="Arial"/>
                <w:sz w:val="18"/>
                <w:szCs w:val="18"/>
                <w:color w:val="auto"/>
                <w:w w:val="91"/>
              </w:rPr>
              <w:t>10.3</w:t>
            </w:r>
          </w:p>
        </w:tc>
        <w:tc>
          <w:tcPr>
            <w:tcW w:w="1660" w:type="dxa"/>
            <w:vAlign w:val="bottom"/>
            <w:shd w:val="clear" w:color="auto" w:fill="CCEEFF"/>
          </w:tcPr>
          <w:p>
            <w:pPr>
              <w:jc w:val="center"/>
              <w:ind w:left="90"/>
              <w:spacing w:after="0" w:line="169"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76"/>
        </w:trPr>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3300" w:type="dxa"/>
            <w:vAlign w:val="bottom"/>
            <w:tcBorders>
              <w:top w:val="single" w:sz="8" w:color="0000FF"/>
              <w:bottom w:val="single" w:sz="8" w:color="0000FF"/>
            </w:tcBorders>
            <w:gridSpan w:val="6"/>
            <w:shd w:val="clear" w:color="auto" w:fill="CCEEFF"/>
          </w:tcPr>
          <w:p>
            <w:pPr>
              <w:spacing w:after="0" w:line="156"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AngioDynamics, Inc. and James C. Clemmer.</w:t>
              </w:r>
            </w:hyperlink>
          </w:p>
        </w:tc>
        <w:tc>
          <w:tcPr>
            <w:tcW w:w="262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00" w:type="dxa"/>
            <w:vAlign w:val="bottom"/>
          </w:tcPr>
          <w:p>
            <w:pPr>
              <w:jc w:val="center"/>
              <w:spacing w:after="0" w:line="169" w:lineRule="exact"/>
              <w:rPr>
                <w:sz w:val="20"/>
                <w:szCs w:val="20"/>
                <w:color w:val="auto"/>
              </w:rPr>
            </w:pPr>
            <w:r>
              <w:rPr>
                <w:rFonts w:ascii="Arial" w:cs="Arial" w:eastAsia="Arial" w:hAnsi="Arial"/>
                <w:sz w:val="18"/>
                <w:szCs w:val="18"/>
                <w:color w:val="auto"/>
                <w:w w:val="93"/>
              </w:rPr>
              <w:t>10.15</w:t>
            </w:r>
          </w:p>
        </w:tc>
        <w:tc>
          <w:tcPr>
            <w:tcW w:w="5980" w:type="dxa"/>
            <w:vAlign w:val="bottom"/>
            <w:gridSpan w:val="18"/>
          </w:tcPr>
          <w:p>
            <w:pPr>
              <w:spacing w:after="0" w:line="169" w:lineRule="exact"/>
              <w:rPr>
                <w:rFonts w:ascii="Arial" w:cs="Arial" w:eastAsia="Arial" w:hAnsi="Arial"/>
                <w:sz w:val="18"/>
                <w:szCs w:val="18"/>
                <w:color w:val="0000FF"/>
              </w:rPr>
            </w:pPr>
            <w:hyperlink r:id="rId161">
              <w:r>
                <w:rPr>
                  <w:rFonts w:ascii="Arial" w:cs="Arial" w:eastAsia="Arial" w:hAnsi="Arial"/>
                  <w:sz w:val="18"/>
                  <w:szCs w:val="18"/>
                  <w:color w:val="0000FF"/>
                </w:rPr>
                <w:t>AngioDynamics, Inc. Total Shareholder Return Performance Share Award</w:t>
              </w:r>
            </w:hyperlink>
          </w:p>
        </w:tc>
        <w:tc>
          <w:tcPr>
            <w:tcW w:w="1000" w:type="dxa"/>
            <w:vAlign w:val="bottom"/>
          </w:tcPr>
          <w:p>
            <w:pPr>
              <w:jc w:val="center"/>
              <w:ind w:left="110"/>
              <w:spacing w:after="0" w:line="169" w:lineRule="exact"/>
              <w:rPr>
                <w:sz w:val="20"/>
                <w:szCs w:val="20"/>
                <w:color w:val="auto"/>
              </w:rPr>
            </w:pPr>
            <w:r>
              <w:rPr>
                <w:rFonts w:ascii="Arial" w:cs="Arial" w:eastAsia="Arial" w:hAnsi="Arial"/>
                <w:sz w:val="18"/>
                <w:szCs w:val="18"/>
                <w:color w:val="auto"/>
                <w:w w:val="99"/>
              </w:rPr>
              <w:t>8-K</w:t>
            </w:r>
          </w:p>
        </w:tc>
        <w:tc>
          <w:tcPr>
            <w:tcW w:w="1480" w:type="dxa"/>
            <w:vAlign w:val="bottom"/>
          </w:tcPr>
          <w:p>
            <w:pPr>
              <w:jc w:val="center"/>
              <w:ind w:left="310"/>
              <w:spacing w:after="0" w:line="169" w:lineRule="exact"/>
              <w:rPr>
                <w:sz w:val="20"/>
                <w:szCs w:val="20"/>
                <w:color w:val="auto"/>
              </w:rPr>
            </w:pPr>
            <w:r>
              <w:rPr>
                <w:rFonts w:ascii="Arial" w:cs="Arial" w:eastAsia="Arial" w:hAnsi="Arial"/>
                <w:sz w:val="18"/>
                <w:szCs w:val="18"/>
                <w:color w:val="auto"/>
                <w:w w:val="91"/>
              </w:rPr>
              <w:t>10.4</w:t>
            </w:r>
          </w:p>
        </w:tc>
        <w:tc>
          <w:tcPr>
            <w:tcW w:w="1660" w:type="dxa"/>
            <w:vAlign w:val="bottom"/>
          </w:tcPr>
          <w:p>
            <w:pPr>
              <w:jc w:val="center"/>
              <w:ind w:left="90"/>
              <w:spacing w:after="0" w:line="169"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3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Program - Performance Period Ending July 2019.</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6"/>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3"/>
              </w:rPr>
              <w:t>10.16</w:t>
            </w:r>
          </w:p>
        </w:tc>
        <w:tc>
          <w:tcPr>
            <w:tcW w:w="5980" w:type="dxa"/>
            <w:vAlign w:val="bottom"/>
            <w:gridSpan w:val="18"/>
            <w:shd w:val="clear" w:color="auto" w:fill="CCEEFF"/>
          </w:tcPr>
          <w:p>
            <w:pPr>
              <w:spacing w:after="0" w:line="169" w:lineRule="exact"/>
              <w:rPr>
                <w:rFonts w:ascii="Arial" w:cs="Arial" w:eastAsia="Arial" w:hAnsi="Arial"/>
                <w:sz w:val="18"/>
                <w:szCs w:val="18"/>
                <w:color w:val="0000FF"/>
                <w:w w:val="99"/>
              </w:rPr>
            </w:pPr>
            <w:hyperlink r:id="rId162">
              <w:r>
                <w:rPr>
                  <w:rFonts w:ascii="Arial" w:cs="Arial" w:eastAsia="Arial" w:hAnsi="Arial"/>
                  <w:sz w:val="18"/>
                  <w:szCs w:val="18"/>
                  <w:color w:val="0000FF"/>
                  <w:w w:val="99"/>
                </w:rPr>
                <w:t>Stock Option Award Agreement, with a grant date of April 4, 2016, between</w:t>
              </w:r>
            </w:hyperlink>
          </w:p>
        </w:tc>
        <w:tc>
          <w:tcPr>
            <w:tcW w:w="1000" w:type="dxa"/>
            <w:vAlign w:val="bottom"/>
            <w:shd w:val="clear" w:color="auto" w:fill="CCEEFF"/>
          </w:tcPr>
          <w:p>
            <w:pPr>
              <w:jc w:val="center"/>
              <w:ind w:left="110"/>
              <w:spacing w:after="0" w:line="169" w:lineRule="exact"/>
              <w:rPr>
                <w:sz w:val="20"/>
                <w:szCs w:val="20"/>
                <w:color w:val="auto"/>
              </w:rPr>
            </w:pPr>
            <w:r>
              <w:rPr>
                <w:rFonts w:ascii="Arial" w:cs="Arial" w:eastAsia="Arial" w:hAnsi="Arial"/>
                <w:sz w:val="18"/>
                <w:szCs w:val="18"/>
                <w:color w:val="auto"/>
                <w:w w:val="99"/>
              </w:rPr>
              <w:t>8-K</w:t>
            </w:r>
          </w:p>
        </w:tc>
        <w:tc>
          <w:tcPr>
            <w:tcW w:w="1480" w:type="dxa"/>
            <w:vAlign w:val="bottom"/>
            <w:shd w:val="clear" w:color="auto" w:fill="CCEEFF"/>
          </w:tcPr>
          <w:p>
            <w:pPr>
              <w:jc w:val="center"/>
              <w:ind w:left="310"/>
              <w:spacing w:after="0" w:line="169" w:lineRule="exact"/>
              <w:rPr>
                <w:sz w:val="20"/>
                <w:szCs w:val="20"/>
                <w:color w:val="auto"/>
              </w:rPr>
            </w:pPr>
            <w:r>
              <w:rPr>
                <w:rFonts w:ascii="Arial" w:cs="Arial" w:eastAsia="Arial" w:hAnsi="Arial"/>
                <w:sz w:val="18"/>
                <w:szCs w:val="18"/>
                <w:color w:val="auto"/>
                <w:w w:val="91"/>
              </w:rPr>
              <w:t>10.5</w:t>
            </w:r>
          </w:p>
        </w:tc>
        <w:tc>
          <w:tcPr>
            <w:tcW w:w="1660" w:type="dxa"/>
            <w:vAlign w:val="bottom"/>
            <w:shd w:val="clear" w:color="auto" w:fill="CCEEFF"/>
          </w:tcPr>
          <w:p>
            <w:pPr>
              <w:jc w:val="center"/>
              <w:ind w:left="90"/>
              <w:spacing w:after="0" w:line="169"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76"/>
        </w:trPr>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3300" w:type="dxa"/>
            <w:vAlign w:val="bottom"/>
            <w:tcBorders>
              <w:top w:val="single" w:sz="8" w:color="0000FF"/>
              <w:bottom w:val="single" w:sz="8" w:color="0000FF"/>
            </w:tcBorders>
            <w:gridSpan w:val="6"/>
            <w:shd w:val="clear" w:color="auto" w:fill="CCEEFF"/>
          </w:tcPr>
          <w:p>
            <w:pPr>
              <w:spacing w:after="0" w:line="156"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AngioDynamics, Inc. and James C. Clemmer.</w:t>
              </w:r>
            </w:hyperlink>
          </w:p>
        </w:tc>
        <w:tc>
          <w:tcPr>
            <w:tcW w:w="222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46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00" w:type="dxa"/>
            <w:vAlign w:val="bottom"/>
          </w:tcPr>
          <w:p>
            <w:pPr>
              <w:jc w:val="center"/>
              <w:spacing w:after="0" w:line="169" w:lineRule="exact"/>
              <w:rPr>
                <w:sz w:val="20"/>
                <w:szCs w:val="20"/>
                <w:color w:val="auto"/>
              </w:rPr>
            </w:pPr>
            <w:r>
              <w:rPr>
                <w:rFonts w:ascii="Arial" w:cs="Arial" w:eastAsia="Arial" w:hAnsi="Arial"/>
                <w:sz w:val="18"/>
                <w:szCs w:val="18"/>
                <w:color w:val="auto"/>
                <w:w w:val="93"/>
              </w:rPr>
              <w:t>10.17</w:t>
            </w:r>
          </w:p>
        </w:tc>
        <w:tc>
          <w:tcPr>
            <w:tcW w:w="5980" w:type="dxa"/>
            <w:vAlign w:val="bottom"/>
            <w:gridSpan w:val="18"/>
          </w:tcPr>
          <w:p>
            <w:pPr>
              <w:spacing w:after="0" w:line="169" w:lineRule="exact"/>
              <w:rPr>
                <w:rFonts w:ascii="Arial" w:cs="Arial" w:eastAsia="Arial" w:hAnsi="Arial"/>
                <w:sz w:val="18"/>
                <w:szCs w:val="18"/>
                <w:color w:val="0000FF"/>
              </w:rPr>
            </w:pPr>
            <w:hyperlink r:id="rId163">
              <w:r>
                <w:rPr>
                  <w:rFonts w:ascii="Arial" w:cs="Arial" w:eastAsia="Arial" w:hAnsi="Arial"/>
                  <w:sz w:val="18"/>
                  <w:szCs w:val="18"/>
                  <w:color w:val="0000FF"/>
                </w:rPr>
                <w:t>Restricted Stock Unit Award Agreement, with a grant date of April 4, 2016,</w:t>
              </w:r>
            </w:hyperlink>
          </w:p>
        </w:tc>
        <w:tc>
          <w:tcPr>
            <w:tcW w:w="1000" w:type="dxa"/>
            <w:vAlign w:val="bottom"/>
          </w:tcPr>
          <w:p>
            <w:pPr>
              <w:jc w:val="center"/>
              <w:ind w:left="110"/>
              <w:spacing w:after="0" w:line="169" w:lineRule="exact"/>
              <w:rPr>
                <w:sz w:val="20"/>
                <w:szCs w:val="20"/>
                <w:color w:val="auto"/>
              </w:rPr>
            </w:pPr>
            <w:r>
              <w:rPr>
                <w:rFonts w:ascii="Arial" w:cs="Arial" w:eastAsia="Arial" w:hAnsi="Arial"/>
                <w:sz w:val="18"/>
                <w:szCs w:val="18"/>
                <w:color w:val="auto"/>
                <w:w w:val="99"/>
              </w:rPr>
              <w:t>8-K</w:t>
            </w:r>
          </w:p>
        </w:tc>
        <w:tc>
          <w:tcPr>
            <w:tcW w:w="1480" w:type="dxa"/>
            <w:vAlign w:val="bottom"/>
          </w:tcPr>
          <w:p>
            <w:pPr>
              <w:jc w:val="center"/>
              <w:ind w:left="310"/>
              <w:spacing w:after="0" w:line="169" w:lineRule="exact"/>
              <w:rPr>
                <w:sz w:val="20"/>
                <w:szCs w:val="20"/>
                <w:color w:val="auto"/>
              </w:rPr>
            </w:pPr>
            <w:r>
              <w:rPr>
                <w:rFonts w:ascii="Arial" w:cs="Arial" w:eastAsia="Arial" w:hAnsi="Arial"/>
                <w:sz w:val="18"/>
                <w:szCs w:val="18"/>
                <w:color w:val="auto"/>
                <w:w w:val="91"/>
              </w:rPr>
              <w:t>10.6</w:t>
            </w:r>
          </w:p>
        </w:tc>
        <w:tc>
          <w:tcPr>
            <w:tcW w:w="1660" w:type="dxa"/>
            <w:vAlign w:val="bottom"/>
          </w:tcPr>
          <w:p>
            <w:pPr>
              <w:jc w:val="center"/>
              <w:ind w:left="90"/>
              <w:spacing w:after="0" w:line="169" w:lineRule="exact"/>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4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between AngioDynamics, Inc. and James C. Clemmer.</w:t>
              </w:r>
            </w:hyperlink>
          </w:p>
        </w:tc>
        <w:tc>
          <w:tcPr>
            <w:tcW w:w="520" w:type="dxa"/>
            <w:vAlign w:val="bottom"/>
            <w:gridSpan w:val="7"/>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3"/>
              </w:rPr>
              <w:t>10.18</w:t>
            </w:r>
          </w:p>
        </w:tc>
        <w:tc>
          <w:tcPr>
            <w:tcW w:w="5980" w:type="dxa"/>
            <w:vAlign w:val="bottom"/>
            <w:gridSpan w:val="18"/>
            <w:shd w:val="clear" w:color="auto" w:fill="CCEEFF"/>
          </w:tcPr>
          <w:p>
            <w:pPr>
              <w:spacing w:after="0" w:line="169" w:lineRule="exact"/>
              <w:rPr>
                <w:rFonts w:ascii="Arial" w:cs="Arial" w:eastAsia="Arial" w:hAnsi="Arial"/>
                <w:sz w:val="18"/>
                <w:szCs w:val="18"/>
                <w:color w:val="0000FF"/>
                <w:w w:val="98"/>
              </w:rPr>
            </w:pPr>
            <w:hyperlink r:id="rId164">
              <w:r>
                <w:rPr>
                  <w:rFonts w:ascii="Arial" w:cs="Arial" w:eastAsia="Arial" w:hAnsi="Arial"/>
                  <w:sz w:val="18"/>
                  <w:szCs w:val="18"/>
                  <w:color w:val="0000FF"/>
                  <w:w w:val="98"/>
                </w:rPr>
                <w:t>Separation Agreement and General Release, dated April 22, 2016, between</w:t>
              </w:r>
            </w:hyperlink>
          </w:p>
        </w:tc>
        <w:tc>
          <w:tcPr>
            <w:tcW w:w="1000" w:type="dxa"/>
            <w:vAlign w:val="bottom"/>
            <w:shd w:val="clear" w:color="auto" w:fill="CCEEFF"/>
          </w:tcPr>
          <w:p>
            <w:pPr>
              <w:jc w:val="center"/>
              <w:ind w:left="110"/>
              <w:spacing w:after="0" w:line="169" w:lineRule="exact"/>
              <w:rPr>
                <w:sz w:val="20"/>
                <w:szCs w:val="20"/>
                <w:color w:val="auto"/>
              </w:rPr>
            </w:pPr>
            <w:r>
              <w:rPr>
                <w:rFonts w:ascii="Arial" w:cs="Arial" w:eastAsia="Arial" w:hAnsi="Arial"/>
                <w:sz w:val="18"/>
                <w:szCs w:val="18"/>
                <w:color w:val="auto"/>
                <w:w w:val="99"/>
              </w:rPr>
              <w:t>8-K</w:t>
            </w:r>
          </w:p>
        </w:tc>
        <w:tc>
          <w:tcPr>
            <w:tcW w:w="1480" w:type="dxa"/>
            <w:vAlign w:val="bottom"/>
            <w:shd w:val="clear" w:color="auto" w:fill="CCEEFF"/>
          </w:tcPr>
          <w:p>
            <w:pPr>
              <w:jc w:val="center"/>
              <w:ind w:left="310"/>
              <w:spacing w:after="0" w:line="169" w:lineRule="exact"/>
              <w:rPr>
                <w:sz w:val="20"/>
                <w:szCs w:val="20"/>
                <w:color w:val="auto"/>
              </w:rPr>
            </w:pPr>
            <w:r>
              <w:rPr>
                <w:rFonts w:ascii="Arial" w:cs="Arial" w:eastAsia="Arial" w:hAnsi="Arial"/>
                <w:sz w:val="18"/>
                <w:szCs w:val="18"/>
                <w:color w:val="auto"/>
                <w:w w:val="91"/>
              </w:rPr>
              <w:t>10.1</w:t>
            </w:r>
          </w:p>
        </w:tc>
        <w:tc>
          <w:tcPr>
            <w:tcW w:w="1660" w:type="dxa"/>
            <w:vAlign w:val="bottom"/>
            <w:shd w:val="clear" w:color="auto" w:fill="CCEEFF"/>
          </w:tcPr>
          <w:p>
            <w:pPr>
              <w:jc w:val="center"/>
              <w:ind w:left="90"/>
              <w:spacing w:after="0" w:line="169" w:lineRule="exact"/>
              <w:rPr>
                <w:sz w:val="20"/>
                <w:szCs w:val="20"/>
                <w:color w:val="auto"/>
              </w:rPr>
            </w:pPr>
            <w:r>
              <w:rPr>
                <w:rFonts w:ascii="Arial" w:cs="Arial" w:eastAsia="Arial" w:hAnsi="Arial"/>
                <w:sz w:val="18"/>
                <w:szCs w:val="18"/>
                <w:color w:val="auto"/>
                <w:w w:val="93"/>
              </w:rPr>
              <w:t>April 27, 2016</w:t>
            </w:r>
          </w:p>
        </w:tc>
        <w:tc>
          <w:tcPr>
            <w:tcW w:w="0" w:type="dxa"/>
            <w:vAlign w:val="bottom"/>
          </w:tcPr>
          <w:p>
            <w:pPr>
              <w:spacing w:after="0"/>
              <w:rPr>
                <w:sz w:val="1"/>
                <w:szCs w:val="1"/>
                <w:color w:val="auto"/>
              </w:rPr>
            </w:pPr>
          </w:p>
        </w:tc>
      </w:tr>
      <w:tr>
        <w:trPr>
          <w:trHeight w:val="176"/>
        </w:trPr>
        <w:tc>
          <w:tcPr>
            <w:tcW w:w="1100" w:type="dxa"/>
            <w:vAlign w:val="bottom"/>
            <w:tcBorders>
              <w:top w:val="single" w:sz="8" w:color="CCEEFF"/>
            </w:tcBorders>
            <w:shd w:val="clear" w:color="auto" w:fill="CCEEFF"/>
          </w:tcPr>
          <w:p>
            <w:pPr>
              <w:spacing w:after="0"/>
              <w:rPr>
                <w:sz w:val="15"/>
                <w:szCs w:val="15"/>
                <w:color w:val="auto"/>
              </w:rPr>
            </w:pPr>
          </w:p>
        </w:tc>
        <w:tc>
          <w:tcPr>
            <w:tcW w:w="542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AngioDynamics, Inc. and Joseph M. DeVivo.</w:t>
              </w:r>
            </w:hyperlink>
          </w:p>
        </w:tc>
        <w:tc>
          <w:tcPr>
            <w:tcW w:w="560" w:type="dxa"/>
            <w:vAlign w:val="bottom"/>
            <w:tcBorders>
              <w:top w:val="single" w:sz="8" w:color="CCEEFF"/>
            </w:tcBorders>
            <w:gridSpan w:val="8"/>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14</w:t>
            </w:r>
          </w:p>
        </w:tc>
        <w:tc>
          <w:tcPr>
            <w:tcW w:w="328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Code of Ethics.</w:t>
              </w:r>
            </w:hyperlink>
          </w:p>
        </w:tc>
        <w:tc>
          <w:tcPr>
            <w:tcW w:w="2700" w:type="dxa"/>
            <w:vAlign w:val="bottom"/>
            <w:tcBorders>
              <w:top w:val="single" w:sz="8" w:color="CCEEFF"/>
            </w:tcBorders>
            <w:gridSpan w:val="13"/>
          </w:tcPr>
          <w:p>
            <w:pPr>
              <w:spacing w:after="0"/>
              <w:rPr>
                <w:sz w:val="21"/>
                <w:szCs w:val="21"/>
                <w:color w:val="auto"/>
              </w:rPr>
            </w:pPr>
          </w:p>
        </w:tc>
        <w:tc>
          <w:tcPr>
            <w:tcW w:w="1000" w:type="dxa"/>
            <w:vAlign w:val="bottom"/>
            <w:tcBorders>
              <w:top w:val="single" w:sz="8" w:color="CCEEFF"/>
            </w:tcBorders>
          </w:tcPr>
          <w:p>
            <w:pPr>
              <w:jc w:val="center"/>
              <w:ind w:left="110"/>
              <w:spacing w:after="0"/>
              <w:rPr>
                <w:sz w:val="20"/>
                <w:szCs w:val="20"/>
                <w:color w:val="auto"/>
              </w:rPr>
            </w:pPr>
            <w:r>
              <w:rPr>
                <w:rFonts w:ascii="Arial" w:cs="Arial" w:eastAsia="Arial" w:hAnsi="Arial"/>
                <w:sz w:val="18"/>
                <w:szCs w:val="18"/>
                <w:color w:val="auto"/>
                <w:w w:val="99"/>
              </w:rPr>
              <w:t>8-K</w:t>
            </w:r>
          </w:p>
        </w:tc>
        <w:tc>
          <w:tcPr>
            <w:tcW w:w="1480" w:type="dxa"/>
            <w:vAlign w:val="bottom"/>
            <w:tcBorders>
              <w:top w:val="single" w:sz="8" w:color="CCEEFF"/>
            </w:tcBorders>
          </w:tcPr>
          <w:p>
            <w:pPr>
              <w:jc w:val="center"/>
              <w:ind w:left="290"/>
              <w:spacing w:after="0"/>
              <w:rPr>
                <w:sz w:val="20"/>
                <w:szCs w:val="20"/>
                <w:color w:val="auto"/>
              </w:rPr>
            </w:pPr>
            <w:r>
              <w:rPr>
                <w:rFonts w:ascii="Arial" w:cs="Arial" w:eastAsia="Arial" w:hAnsi="Arial"/>
                <w:sz w:val="18"/>
                <w:szCs w:val="18"/>
                <w:color w:val="auto"/>
                <w:w w:val="89"/>
              </w:rPr>
              <w:t>14</w:t>
            </w:r>
          </w:p>
        </w:tc>
        <w:tc>
          <w:tcPr>
            <w:tcW w:w="1660" w:type="dxa"/>
            <w:vAlign w:val="bottom"/>
            <w:tcBorders>
              <w:top w:val="single" w:sz="8" w:color="CCEEFF"/>
            </w:tcBorders>
          </w:tcPr>
          <w:p>
            <w:pPr>
              <w:jc w:val="center"/>
              <w:ind w:left="90"/>
              <w:spacing w:after="0"/>
              <w:rPr>
                <w:sz w:val="20"/>
                <w:szCs w:val="20"/>
                <w:color w:val="auto"/>
              </w:rPr>
            </w:pPr>
            <w:r>
              <w:rPr>
                <w:rFonts w:ascii="Arial" w:cs="Arial" w:eastAsia="Arial" w:hAnsi="Arial"/>
                <w:sz w:val="18"/>
                <w:szCs w:val="18"/>
                <w:color w:val="auto"/>
                <w:w w:val="91"/>
              </w:rPr>
              <w:t>May 21, 2006</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100" w:hanging="642"/>
        <w:spacing w:after="0"/>
        <w:tabs>
          <w:tab w:leader="none" w:pos="1100" w:val="left"/>
        </w:tabs>
        <w:numPr>
          <w:ilvl w:val="0"/>
          <w:numId w:val="68"/>
        </w:numPr>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100" w:hanging="642"/>
        <w:spacing w:after="0"/>
        <w:tabs>
          <w:tab w:leader="none" w:pos="1100" w:val="left"/>
        </w:tabs>
        <w:numPr>
          <w:ilvl w:val="0"/>
          <w:numId w:val="69"/>
        </w:numPr>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Consent of Deloitte &amp; Touche LLP, an independent registered public accounting firm.</w:t>
        </w:r>
      </w:hyperlink>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31.1</w:t>
            </w:r>
          </w:p>
        </w:tc>
        <w:tc>
          <w:tcPr>
            <w:tcW w:w="10120" w:type="dxa"/>
            <w:vAlign w:val="bottom"/>
            <w:gridSpan w:val="5"/>
            <w:shd w:val="clear" w:color="auto" w:fill="CCEEFF"/>
          </w:tcPr>
          <w:p>
            <w:pPr>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Certification by the Chief Executive Officer Pursuant to Section 302 of the Sarbanes-Oxley Act of 2002.</w:t>
              </w:r>
            </w:hyperlink>
          </w:p>
        </w:tc>
      </w:tr>
      <w:tr>
        <w:trPr>
          <w:trHeight w:val="243"/>
        </w:trPr>
        <w:tc>
          <w:tcPr>
            <w:tcW w:w="11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120" w:type="dxa"/>
            <w:vAlign w:val="bottom"/>
            <w:gridSpan w:val="5"/>
          </w:tcPr>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Certification by the Chief Financial Officer Pursuant to Section 302 of the Sarbanes-Oxley Act of 2002.</w:t>
              </w:r>
            </w:hyperlink>
          </w:p>
        </w:tc>
      </w:tr>
      <w:tr>
        <w:trPr>
          <w:trHeight w:val="27"/>
        </w:trPr>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1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32.1</w:t>
            </w:r>
          </w:p>
        </w:tc>
        <w:tc>
          <w:tcPr>
            <w:tcW w:w="9660" w:type="dxa"/>
            <w:vAlign w:val="bottom"/>
            <w:tcBorders>
              <w:bottom w:val="single" w:sz="8" w:color="0000FF"/>
            </w:tcBorders>
            <w:gridSpan w:val="3"/>
            <w:shd w:val="clear" w:color="auto" w:fill="CCEEFF"/>
          </w:tcPr>
          <w:p>
            <w:pPr>
              <w:spacing w:after="0" w:line="169" w:lineRule="exact"/>
              <w:rPr>
                <w:rFonts w:ascii="Arial" w:cs="Arial" w:eastAsia="Arial" w:hAnsi="Arial"/>
                <w:sz w:val="18"/>
                <w:szCs w:val="18"/>
                <w:color w:val="0000FF"/>
                <w:w w:val="90"/>
              </w:rPr>
            </w:pPr>
            <w:hyperlink w:anchor="page129">
              <w:r>
                <w:rPr>
                  <w:rFonts w:ascii="Arial" w:cs="Arial" w:eastAsia="Arial" w:hAnsi="Arial"/>
                  <w:sz w:val="18"/>
                  <w:szCs w:val="18"/>
                  <w:color w:val="0000FF"/>
                  <w:w w:val="90"/>
                </w:rPr>
                <w:t>Certification by the Chief Executive Officer Pursuant to 18 U.S.C. Section 1350, as Adopted Pursuant to Section 906 of the Sarbanes-</w:t>
              </w:r>
            </w:hyperlink>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76"/>
        </w:trPr>
        <w:tc>
          <w:tcPr>
            <w:tcW w:w="1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0000FF"/>
            </w:tcBorders>
            <w:gridSpan w:val="2"/>
            <w:shd w:val="clear" w:color="auto" w:fill="CCEEFF"/>
          </w:tcPr>
          <w:p>
            <w:pPr>
              <w:spacing w:after="0" w:line="156" w:lineRule="exact"/>
              <w:rPr>
                <w:rFonts w:ascii="Arial" w:cs="Arial" w:eastAsia="Arial" w:hAnsi="Arial"/>
                <w:sz w:val="18"/>
                <w:szCs w:val="18"/>
                <w:color w:val="0000FF"/>
                <w:w w:val="93"/>
              </w:rPr>
            </w:pPr>
            <w:hyperlink w:anchor="page129">
              <w:r>
                <w:rPr>
                  <w:rFonts w:ascii="Arial" w:cs="Arial" w:eastAsia="Arial" w:hAnsi="Arial"/>
                  <w:sz w:val="18"/>
                  <w:szCs w:val="18"/>
                  <w:color w:val="0000FF"/>
                  <w:w w:val="93"/>
                </w:rPr>
                <w:t>Oxley Act of 2002.</w:t>
              </w:r>
            </w:hyperlink>
          </w:p>
        </w:tc>
        <w:tc>
          <w:tcPr>
            <w:tcW w:w="82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89"/>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5"/>
              </w:rPr>
              <w:t>32.2</w:t>
            </w:r>
          </w:p>
        </w:tc>
        <w:tc>
          <w:tcPr>
            <w:tcW w:w="10040" w:type="dxa"/>
            <w:vAlign w:val="bottom"/>
            <w:tcBorders>
              <w:bottom w:val="single" w:sz="8" w:color="0000FF"/>
            </w:tcBorders>
            <w:gridSpan w:val="4"/>
          </w:tcPr>
          <w:p>
            <w:pPr>
              <w:spacing w:after="0" w:line="169" w:lineRule="exact"/>
              <w:rPr>
                <w:rFonts w:ascii="Arial" w:cs="Arial" w:eastAsia="Arial" w:hAnsi="Arial"/>
                <w:sz w:val="18"/>
                <w:szCs w:val="18"/>
                <w:color w:val="0000FF"/>
                <w:w w:val="90"/>
              </w:rPr>
            </w:pPr>
            <w:hyperlink w:anchor="page130">
              <w:r>
                <w:rPr>
                  <w:rFonts w:ascii="Arial" w:cs="Arial" w:eastAsia="Arial" w:hAnsi="Arial"/>
                  <w:sz w:val="18"/>
                  <w:szCs w:val="18"/>
                  <w:color w:val="0000FF"/>
                  <w:w w:val="90"/>
                </w:rPr>
                <w:t>Certification by the Chief Financial Officer Pursuant to 18 U.S.C. Section 1350, as Adopted Pursuant to Section 906 of the Sarbanes-Oxley</w:t>
              </w:r>
            </w:hyperlink>
          </w:p>
        </w:tc>
        <w:tc>
          <w:tcPr>
            <w:tcW w:w="80" w:type="dxa"/>
            <w:vAlign w:val="bottom"/>
          </w:tcPr>
          <w:p>
            <w:pPr>
              <w:spacing w:after="0"/>
              <w:rPr>
                <w:sz w:val="16"/>
                <w:szCs w:val="16"/>
                <w:color w:val="auto"/>
              </w:rPr>
            </w:pPr>
          </w:p>
        </w:tc>
      </w:tr>
      <w:tr>
        <w:trPr>
          <w:trHeight w:val="156"/>
        </w:trPr>
        <w:tc>
          <w:tcPr>
            <w:tcW w:w="1100" w:type="dxa"/>
            <w:vAlign w:val="bottom"/>
          </w:tcPr>
          <w:p>
            <w:pPr>
              <w:spacing w:after="0"/>
              <w:rPr>
                <w:sz w:val="13"/>
                <w:szCs w:val="13"/>
                <w:color w:val="auto"/>
              </w:rPr>
            </w:pPr>
          </w:p>
        </w:tc>
        <w:tc>
          <w:tcPr>
            <w:tcW w:w="10040" w:type="dxa"/>
            <w:vAlign w:val="bottom"/>
            <w:gridSpan w:val="4"/>
          </w:tcPr>
          <w:p>
            <w:pPr>
              <w:spacing w:after="0" w:line="156" w:lineRule="exact"/>
              <w:rPr>
                <w:rFonts w:ascii="Arial" w:cs="Arial" w:eastAsia="Arial" w:hAnsi="Arial"/>
                <w:sz w:val="18"/>
                <w:szCs w:val="18"/>
                <w:color w:val="0000FF"/>
              </w:rPr>
            </w:pPr>
            <w:hyperlink w:anchor="page130">
              <w:r>
                <w:rPr>
                  <w:rFonts w:ascii="Arial" w:cs="Arial" w:eastAsia="Arial" w:hAnsi="Arial"/>
                  <w:sz w:val="18"/>
                  <w:szCs w:val="18"/>
                  <w:color w:val="0000FF"/>
                </w:rPr>
                <w:t>Act of 2002.</w:t>
              </w:r>
            </w:hyperlink>
          </w:p>
        </w:tc>
        <w:tc>
          <w:tcPr>
            <w:tcW w:w="80" w:type="dxa"/>
            <w:vAlign w:val="bottom"/>
          </w:tcPr>
          <w:p>
            <w:pPr>
              <w:spacing w:after="0"/>
              <w:rPr>
                <w:sz w:val="13"/>
                <w:szCs w:val="13"/>
                <w:color w:val="auto"/>
              </w:rPr>
            </w:pPr>
          </w:p>
        </w:tc>
      </w:tr>
      <w:tr>
        <w:trPr>
          <w:trHeight w:val="21"/>
        </w:trPr>
        <w:tc>
          <w:tcPr>
            <w:tcW w:w="110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101.INS</w:t>
            </w:r>
          </w:p>
        </w:tc>
        <w:tc>
          <w:tcPr>
            <w:tcW w:w="101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120" w:type="dxa"/>
            <w:vAlign w:val="bottom"/>
            <w:gridSpan w:val="5"/>
          </w:tcPr>
          <w:p>
            <w:pPr>
              <w:spacing w:after="0"/>
              <w:rPr>
                <w:sz w:val="20"/>
                <w:szCs w:val="20"/>
                <w:color w:val="auto"/>
              </w:rPr>
            </w:pPr>
            <w:r>
              <w:rPr>
                <w:rFonts w:ascii="Arial" w:cs="Arial" w:eastAsia="Arial" w:hAnsi="Arial"/>
                <w:sz w:val="18"/>
                <w:szCs w:val="18"/>
                <w:color w:val="auto"/>
              </w:rPr>
              <w:t>XBRL Schema Document</w:t>
            </w:r>
          </w:p>
        </w:tc>
      </w:tr>
      <w:tr>
        <w:trPr>
          <w:trHeight w:val="27"/>
        </w:trPr>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101.CAL</w:t>
            </w:r>
          </w:p>
        </w:tc>
        <w:tc>
          <w:tcPr>
            <w:tcW w:w="101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Calculation Linkbase Documents</w:t>
            </w:r>
          </w:p>
        </w:tc>
      </w:tr>
      <w:tr>
        <w:trPr>
          <w:trHeight w:val="243"/>
        </w:trPr>
        <w:tc>
          <w:tcPr>
            <w:tcW w:w="11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1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101.LAB</w:t>
            </w:r>
          </w:p>
        </w:tc>
        <w:tc>
          <w:tcPr>
            <w:tcW w:w="101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Labels Linkbase Documents</w:t>
            </w:r>
          </w:p>
        </w:tc>
      </w:tr>
      <w:tr>
        <w:trPr>
          <w:trHeight w:val="243"/>
        </w:trPr>
        <w:tc>
          <w:tcPr>
            <w:tcW w:w="110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0120" w:type="dxa"/>
            <w:vAlign w:val="bottom"/>
            <w:gridSpan w:val="5"/>
          </w:tcPr>
          <w:p>
            <w:pPr>
              <w:spacing w:after="0"/>
              <w:rPr>
                <w:sz w:val="20"/>
                <w:szCs w:val="20"/>
                <w:color w:val="auto"/>
              </w:rPr>
            </w:pPr>
            <w:r>
              <w:rPr>
                <w:rFonts w:ascii="Arial" w:cs="Arial" w:eastAsia="Arial" w:hAnsi="Arial"/>
                <w:sz w:val="18"/>
                <w:szCs w:val="18"/>
                <w:color w:val="auto"/>
              </w:rPr>
              <w:t>XBRL Presentation Linkbase Documents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107" w:name="page108"/>
    <w:bookmarkEnd w:id="107"/>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ANGIODYNAMICS, INC.</w:t>
      </w:r>
    </w:p>
    <w:p>
      <w:pPr>
        <w:spacing w:after="0" w:line="67" w:lineRule="exact"/>
        <w:rPr>
          <w:sz w:val="20"/>
          <w:szCs w:val="20"/>
          <w:color w:val="auto"/>
        </w:rPr>
      </w:pPr>
    </w:p>
    <w:p>
      <w:pPr>
        <w:ind w:left="20"/>
        <w:spacing w:after="0"/>
        <w:tabs>
          <w:tab w:leader="none" w:pos="5620" w:val="left"/>
          <w:tab w:leader="none" w:pos="7520" w:val="left"/>
          <w:tab w:leader="none" w:pos="7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w:t>
      </w:r>
      <w:r>
        <w:rPr>
          <w:rFonts w:ascii="Arial" w:cs="Arial" w:eastAsia="Arial" w:hAnsi="Arial"/>
          <w:sz w:val="13"/>
          <w:szCs w:val="13"/>
          <w:color w:val="auto"/>
        </w:rPr>
        <w:t>OWARD</w:t>
      </w:r>
      <w:r>
        <w:rPr>
          <w:rFonts w:ascii="Arial" w:cs="Arial" w:eastAsia="Arial" w:hAnsi="Arial"/>
          <w:sz w:val="17"/>
          <w:szCs w:val="17"/>
          <w:color w:val="auto"/>
        </w:rPr>
        <w:t xml:space="preserve"> W. D</w:t>
      </w:r>
      <w:r>
        <w:rPr>
          <w:rFonts w:ascii="Arial" w:cs="Arial" w:eastAsia="Arial" w:hAnsi="Arial"/>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31750</wp:posOffset>
            </wp:positionV>
            <wp:extent cx="31286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Howard W. Donnelly,</w:t>
      </w:r>
    </w:p>
    <w:p>
      <w:pPr>
        <w:spacing w:after="0" w:line="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Chairman of the Board, Director</w:t>
      </w:r>
    </w:p>
    <w:p>
      <w:pPr>
        <w:spacing w:after="0" w:line="142"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60"/>
          </w:cols>
          <w:pgMar w:left="320" w:top="891" w:right="419" w:bottom="1440" w:gutter="0" w:footer="0" w:header="0"/>
        </w:sectPr>
      </w:pPr>
    </w:p>
    <w:p>
      <w:pPr>
        <w:spacing w:after="0" w:line="170"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7, 2020</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7,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7,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7, 2020</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7, 2020</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7, 2020</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7, 2020</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7, 2020</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7, 2020</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7, 2020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w:t>
      </w:r>
      <w:r>
        <w:rPr>
          <w:rFonts w:ascii="Arial" w:cs="Arial" w:eastAsia="Arial" w:hAnsi="Arial"/>
          <w:sz w:val="13"/>
          <w:szCs w:val="13"/>
          <w:color w:val="auto"/>
        </w:rPr>
        <w:t>OWARD</w:t>
      </w:r>
      <w:r>
        <w:rPr>
          <w:rFonts w:ascii="Arial" w:cs="Arial" w:eastAsia="Arial" w:hAnsi="Arial"/>
          <w:sz w:val="17"/>
          <w:szCs w:val="17"/>
          <w:color w:val="auto"/>
        </w:rPr>
        <w:t xml:space="preserve"> W. D</w:t>
      </w:r>
      <w:r>
        <w:rPr>
          <w:rFonts w:ascii="Arial" w:cs="Arial" w:eastAsia="Arial" w:hAnsi="Arial"/>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14605</wp:posOffset>
            </wp:positionV>
            <wp:extent cx="3531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Howard W. Donnelly,</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Chairman of the Board, Director</w:t>
      </w:r>
    </w:p>
    <w:p>
      <w:pPr>
        <w:spacing w:after="0" w:line="131" w:lineRule="exact"/>
        <w:rPr>
          <w:sz w:val="20"/>
          <w:szCs w:val="20"/>
          <w:color w:val="auto"/>
        </w:rPr>
      </w:pPr>
    </w:p>
    <w:p>
      <w:pPr>
        <w:jc w:val="center"/>
        <w:ind w:right="12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14605</wp:posOffset>
            </wp:positionV>
            <wp:extent cx="3531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James C. Clemmer,</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President, Chief Executive Officer</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(Principal Executive Officer)</w:t>
      </w:r>
    </w:p>
    <w:p>
      <w:pPr>
        <w:spacing w:after="0" w:line="115" w:lineRule="exact"/>
        <w:rPr>
          <w:sz w:val="20"/>
          <w:szCs w:val="20"/>
          <w:color w:val="auto"/>
        </w:rPr>
      </w:pPr>
    </w:p>
    <w:p>
      <w:pPr>
        <w:jc w:val="center"/>
        <w:ind w:right="122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14605</wp:posOffset>
            </wp:positionV>
            <wp:extent cx="3531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Stephen A. Trowbridge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Vice President, Chief Financial Officer,</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(Principal Financial and Accounting Officer)</w:t>
      </w:r>
    </w:p>
    <w:p>
      <w:pPr>
        <w:spacing w:after="0" w:line="126"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w:t>
      </w:r>
      <w:r>
        <w:rPr>
          <w:rFonts w:ascii="Arial" w:cs="Arial" w:eastAsia="Arial" w:hAnsi="Arial"/>
          <w:sz w:val="13"/>
          <w:szCs w:val="13"/>
          <w:color w:val="auto"/>
        </w:rPr>
        <w:t>ESLEY</w:t>
      </w:r>
      <w:r>
        <w:rPr>
          <w:rFonts w:ascii="Arial" w:cs="Arial" w:eastAsia="Arial" w:hAnsi="Arial"/>
          <w:sz w:val="17"/>
          <w:szCs w:val="17"/>
          <w:color w:val="auto"/>
        </w:rPr>
        <w:t xml:space="preserve"> E. J</w:t>
      </w:r>
      <w:r>
        <w:rPr>
          <w:rFonts w:ascii="Arial" w:cs="Arial" w:eastAsia="Arial" w:hAnsi="Arial"/>
          <w:sz w:val="13"/>
          <w:szCs w:val="13"/>
          <w:color w:val="auto"/>
        </w:rPr>
        <w:t>OHNSON</w:t>
      </w:r>
      <w:r>
        <w:rPr>
          <w:rFonts w:ascii="Arial" w:cs="Arial" w:eastAsia="Arial" w:hAnsi="Arial"/>
          <w:sz w:val="17"/>
          <w:szCs w:val="17"/>
          <w:color w:val="auto"/>
        </w:rPr>
        <w:t>, J</w:t>
      </w:r>
      <w:r>
        <w:rPr>
          <w:rFonts w:ascii="Arial" w:cs="Arial" w:eastAsia="Arial" w:hAnsi="Arial"/>
          <w:sz w:val="13"/>
          <w:szCs w:val="13"/>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14605</wp:posOffset>
            </wp:positionV>
            <wp:extent cx="3531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Wesley E. Johnson, Jr.,</w:t>
      </w:r>
    </w:p>
    <w:p>
      <w:pPr>
        <w:spacing w:after="0" w:line="4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Director</w:t>
      </w:r>
    </w:p>
    <w:p>
      <w:pPr>
        <w:spacing w:after="0" w:line="131"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ENNIS</w:t>
      </w:r>
      <w:r>
        <w:rPr>
          <w:rFonts w:ascii="Arial" w:cs="Arial" w:eastAsia="Arial" w:hAnsi="Arial"/>
          <w:sz w:val="17"/>
          <w:szCs w:val="17"/>
          <w:color w:val="auto"/>
        </w:rPr>
        <w:t xml:space="preserve"> S. M</w:t>
      </w:r>
      <w:r>
        <w:rPr>
          <w:rFonts w:ascii="Arial" w:cs="Arial" w:eastAsia="Arial" w:hAnsi="Arial"/>
          <w:sz w:val="13"/>
          <w:szCs w:val="13"/>
          <w:color w:val="auto"/>
        </w:rPr>
        <w:t>ETENY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14605</wp:posOffset>
            </wp:positionV>
            <wp:extent cx="3531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Dennis S. Meteny,</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Director</w:t>
      </w:r>
    </w:p>
    <w:p>
      <w:pPr>
        <w:spacing w:after="0" w:line="131" w:lineRule="exact"/>
        <w:rPr>
          <w:sz w:val="20"/>
          <w:szCs w:val="20"/>
          <w:color w:val="auto"/>
        </w:rPr>
      </w:pPr>
    </w:p>
    <w:p>
      <w:pPr>
        <w:ind w:left="600"/>
        <w:spacing w:after="0"/>
        <w:tabs>
          <w:tab w:leader="none" w:pos="9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K</w:t>
      </w:r>
      <w:r>
        <w:rPr>
          <w:rFonts w:ascii="Arial" w:cs="Arial" w:eastAsia="Arial" w:hAnsi="Arial"/>
          <w:sz w:val="13"/>
          <w:szCs w:val="13"/>
          <w:color w:val="auto"/>
        </w:rPr>
        <w:t>EVIN</w:t>
      </w:r>
      <w:r>
        <w:rPr>
          <w:rFonts w:ascii="Arial" w:cs="Arial" w:eastAsia="Arial" w:hAnsi="Arial"/>
          <w:sz w:val="17"/>
          <w:szCs w:val="17"/>
          <w:color w:val="auto"/>
        </w:rPr>
        <w:t xml:space="preserve"> J. G</w:t>
      </w:r>
      <w:r>
        <w:rPr>
          <w:rFonts w:ascii="Arial" w:cs="Arial" w:eastAsia="Arial" w:hAnsi="Arial"/>
          <w:sz w:val="13"/>
          <w:szCs w:val="13"/>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14605</wp:posOffset>
            </wp:positionV>
            <wp:extent cx="3531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Kevin J. Gould,</w:t>
      </w:r>
    </w:p>
    <w:p>
      <w:pPr>
        <w:spacing w:after="0" w:line="4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Director</w:t>
      </w:r>
    </w:p>
    <w:p>
      <w:pPr>
        <w:spacing w:after="0" w:line="131" w:lineRule="exact"/>
        <w:rPr>
          <w:sz w:val="20"/>
          <w:szCs w:val="20"/>
          <w:color w:val="auto"/>
        </w:rPr>
      </w:pPr>
    </w:p>
    <w:p>
      <w:pPr>
        <w:jc w:val="center"/>
        <w:ind w:right="122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JAN S.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14605</wp:posOffset>
            </wp:positionV>
            <wp:extent cx="35318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Jan S. Reed,</w:t>
      </w:r>
    </w:p>
    <w:p>
      <w:pPr>
        <w:spacing w:after="0" w:line="4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Director</w:t>
      </w:r>
    </w:p>
    <w:p>
      <w:pPr>
        <w:spacing w:after="0" w:line="131" w:lineRule="exact"/>
        <w:rPr>
          <w:sz w:val="20"/>
          <w:szCs w:val="20"/>
          <w:color w:val="auto"/>
        </w:rPr>
      </w:pPr>
    </w:p>
    <w:p>
      <w:pPr>
        <w:jc w:val="center"/>
        <w:ind w:right="122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EILEEN O. AUEN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14605</wp:posOffset>
            </wp:positionV>
            <wp:extent cx="35318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Eileen O. Auen,</w:t>
      </w:r>
    </w:p>
    <w:p>
      <w:pPr>
        <w:spacing w:after="0" w:line="4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Director</w:t>
      </w:r>
    </w:p>
    <w:p>
      <w:pPr>
        <w:spacing w:after="0" w:line="13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KAREN A. LICITRA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14605</wp:posOffset>
            </wp:positionV>
            <wp:extent cx="3531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Karen A. Licitra,</w:t>
      </w:r>
    </w:p>
    <w:p>
      <w:pPr>
        <w:spacing w:after="0" w:line="4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Director</w:t>
      </w:r>
    </w:p>
    <w:p>
      <w:pPr>
        <w:spacing w:after="0" w:line="13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MICHAEL E. TARNOFF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14605</wp:posOffset>
            </wp:positionV>
            <wp:extent cx="3531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Michael E. Tarnoff</w:t>
      </w:r>
    </w:p>
    <w:p>
      <w:pPr>
        <w:spacing w:after="0" w:line="4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Director</w:t>
      </w:r>
    </w:p>
    <w:p>
      <w:pPr>
        <w:spacing w:after="0" w:line="200" w:lineRule="exact"/>
        <w:rPr>
          <w:sz w:val="20"/>
          <w:szCs w:val="20"/>
          <w:color w:val="auto"/>
        </w:rPr>
      </w:pPr>
    </w:p>
    <w:p>
      <w:pPr>
        <w:sectPr>
          <w:pgSz w:w="11900" w:h="16838" w:orient="portrait"/>
          <w:cols w:equalWidth="0" w:num="2">
            <w:col w:w="6180" w:space="720"/>
            <w:col w:w="4260"/>
          </w:cols>
          <w:pgMar w:left="320" w:top="89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60"/>
          </w:cols>
          <w:pgMar w:left="320" w:top="891" w:right="419" w:bottom="1440" w:gutter="0" w:footer="0" w:header="0"/>
          <w:type w:val="continuous"/>
        </w:sectPr>
      </w:pPr>
    </w:p>
    <w:bookmarkStart w:id="108" w:name="page109"/>
    <w:bookmarkEnd w:id="108"/>
    <w:p>
      <w:pPr>
        <w:jc w:val="center"/>
        <w:ind w:right="-79"/>
        <w:spacing w:after="0"/>
        <w:rPr>
          <w:sz w:val="20"/>
          <w:szCs w:val="20"/>
          <w:color w:val="auto"/>
        </w:rPr>
      </w:pPr>
      <w:r>
        <w:rPr>
          <w:rFonts w:ascii="Arial" w:cs="Arial" w:eastAsia="Arial" w:hAnsi="Arial"/>
          <w:sz w:val="22"/>
          <w:szCs w:val="22"/>
          <w:b w:val="1"/>
          <w:bCs w:val="1"/>
          <w:color w:val="auto"/>
        </w:rPr>
        <w:t>SEPARATION AGREEMENT AND GENERAL RELEASE</w:t>
      </w:r>
    </w:p>
    <w:p>
      <w:pPr>
        <w:spacing w:after="0" w:line="253" w:lineRule="exact"/>
        <w:rPr>
          <w:sz w:val="20"/>
          <w:szCs w:val="20"/>
          <w:color w:val="auto"/>
        </w:rPr>
      </w:pPr>
    </w:p>
    <w:p>
      <w:pPr>
        <w:ind w:right="400" w:firstLine="648"/>
        <w:spacing w:after="0" w:line="253" w:lineRule="auto"/>
        <w:rPr>
          <w:sz w:val="20"/>
          <w:szCs w:val="20"/>
          <w:color w:val="auto"/>
        </w:rPr>
      </w:pPr>
      <w:r>
        <w:rPr>
          <w:rFonts w:ascii="Arial" w:cs="Arial" w:eastAsia="Arial" w:hAnsi="Arial"/>
          <w:sz w:val="22"/>
          <w:szCs w:val="22"/>
          <w:color w:val="auto"/>
        </w:rPr>
        <w:t>This is a Separation Agreement and General Release (“Agreement”) between AngioDynamics, Inc. (together with its subsidiaries, “Employer”) and [__________] (“Employee”) in complete settlement of all issues concerning Employee’s employment and termination of employment with Employer.</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TERMS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mutual consideration, including Employee’s right to receive certain payments and benefits under this Agreement, and</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Employer’s right to be free from legal action initiated by, or on behalf of, Employee, the parties agree to the following:</w:t>
      </w:r>
    </w:p>
    <w:p>
      <w:pPr>
        <w:spacing w:after="0" w:line="240" w:lineRule="exact"/>
        <w:rPr>
          <w:sz w:val="20"/>
          <w:szCs w:val="20"/>
          <w:color w:val="auto"/>
        </w:rPr>
      </w:pPr>
    </w:p>
    <w:p>
      <w:pPr>
        <w:ind w:right="260" w:firstLine="656"/>
        <w:spacing w:after="0" w:line="253" w:lineRule="auto"/>
        <w:tabs>
          <w:tab w:leader="none" w:pos="129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xml:space="preserve"> Employee’s last day of active employment with Employer will be [__________] (hereinafter “Separation Date”). As of the Separation Date, the employment relationship shall be permanently and irrevocably severed, and Employer shall have no obligation to re-employ Employee.</w:t>
      </w:r>
    </w:p>
    <w:p>
      <w:pPr>
        <w:spacing w:after="0" w:line="212" w:lineRule="exact"/>
        <w:rPr>
          <w:rFonts w:ascii="Arial" w:cs="Arial" w:eastAsia="Arial" w:hAnsi="Arial"/>
          <w:sz w:val="22"/>
          <w:szCs w:val="22"/>
          <w:color w:val="auto"/>
        </w:rPr>
      </w:pPr>
    </w:p>
    <w:p>
      <w:pPr>
        <w:ind w:firstLine="656"/>
        <w:spacing w:after="0" w:line="292" w:lineRule="auto"/>
        <w:tabs>
          <w:tab w:leader="none" w:pos="129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Conditions to Severance</w:t>
      </w:r>
      <w:r>
        <w:rPr>
          <w:rFonts w:ascii="Arial" w:cs="Arial" w:eastAsia="Arial" w:hAnsi="Arial"/>
          <w:sz w:val="19"/>
          <w:szCs w:val="19"/>
          <w:color w:val="auto"/>
        </w:rPr>
        <w:t>. If Employee timely executes (and does not revoke) this Agreement, including, without limitation, Exhibits A and B hereto, and fully complies with all obligations thereunder, including the requirement to transition all responsibilities as determined and required by Employer (collectively, the “</w:t>
      </w:r>
      <w:r>
        <w:rPr>
          <w:rFonts w:ascii="Arial" w:cs="Arial" w:eastAsia="Arial" w:hAnsi="Arial"/>
          <w:sz w:val="19"/>
          <w:szCs w:val="19"/>
          <w:u w:val="single" w:color="auto"/>
          <w:color w:val="auto"/>
        </w:rPr>
        <w:t>Conditions</w:t>
      </w:r>
      <w:r>
        <w:rPr>
          <w:rFonts w:ascii="Arial" w:cs="Arial" w:eastAsia="Arial" w:hAnsi="Arial"/>
          <w:sz w:val="19"/>
          <w:szCs w:val="19"/>
          <w:color w:val="auto"/>
        </w:rPr>
        <w:t>”), Employer has provided and/or will provide the payments and benefits to Employee set forth in paragraph 3 below. Timely execution of this Agreement and Exhibit B means that Employee has executed and delivered to Employer this Agreement and Exhibit B within the period described in paragraph 14(d) below, and timely execution of Exhibit A means that Employee has executed and delivered Exhibit A to Employer no sooner than the Separation Date and within the period described in paragraph 7(d) of Exhibit A.</w:t>
      </w:r>
    </w:p>
    <w:p>
      <w:pPr>
        <w:spacing w:after="0" w:line="177" w:lineRule="exact"/>
        <w:rPr>
          <w:rFonts w:ascii="Arial" w:cs="Arial" w:eastAsia="Arial" w:hAnsi="Arial"/>
          <w:sz w:val="19"/>
          <w:szCs w:val="19"/>
          <w:color w:val="auto"/>
        </w:rPr>
      </w:pPr>
    </w:p>
    <w:p>
      <w:pPr>
        <w:ind w:left="1300" w:hanging="644"/>
        <w:spacing w:after="0"/>
        <w:tabs>
          <w:tab w:leader="none" w:pos="130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Payments and Benefits.</w:t>
      </w:r>
      <w:r>
        <w:rPr>
          <w:rFonts w:ascii="Arial" w:cs="Arial" w:eastAsia="Arial" w:hAnsi="Arial"/>
          <w:sz w:val="21"/>
          <w:szCs w:val="21"/>
          <w:color w:val="auto"/>
        </w:rPr>
        <w:t xml:space="preserve"> Subject to the Conditions, Employee will be eligible to receive the following from</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Employer:</w:t>
      </w:r>
    </w:p>
    <w:p>
      <w:pPr>
        <w:spacing w:after="0" w:line="228" w:lineRule="exact"/>
        <w:rPr>
          <w:rFonts w:ascii="Arial" w:cs="Arial" w:eastAsia="Arial" w:hAnsi="Arial"/>
          <w:sz w:val="21"/>
          <w:szCs w:val="21"/>
          <w:color w:val="auto"/>
        </w:rPr>
      </w:pPr>
    </w:p>
    <w:p>
      <w:pPr>
        <w:ind w:left="1300" w:right="40" w:hanging="482"/>
        <w:spacing w:after="0" w:line="246" w:lineRule="auto"/>
        <w:tabs>
          <w:tab w:leader="none" w:pos="1288" w:val="left"/>
        </w:tabs>
        <w:numPr>
          <w:ilvl w:val="1"/>
          <w:numId w:val="70"/>
        </w:numPr>
        <w:rPr>
          <w:rFonts w:ascii="Arial" w:cs="Arial" w:eastAsia="Arial" w:hAnsi="Arial"/>
          <w:sz w:val="22"/>
          <w:szCs w:val="22"/>
          <w:color w:val="auto"/>
        </w:rPr>
      </w:pPr>
      <w:r>
        <w:rPr>
          <w:rFonts w:ascii="Arial" w:cs="Arial" w:eastAsia="Arial" w:hAnsi="Arial"/>
          <w:sz w:val="22"/>
          <w:szCs w:val="22"/>
          <w:color w:val="auto"/>
        </w:rPr>
        <w:t>Severance. Employer shall continue to pay Employee’s base salary (at an annual rate of $[______]) from [START OF SEVERANCE PERIOD] through [END OF SEVERANCE PERIOD] (the “Severance Period”) at regular payroll intervals and subject to applicable withholdings and deductions; provided, that if the period set forth in paragraph 14(f) has not expired prior to the start of the Severance Period, any installments of such continued base salary that would have been made if such period had expired prior to the commencement of the Severance Period will instead be paid in a lump sum on Employer’s first regular payroll date after the expiration of the period set forth in paragraph 14(f).</w:t>
      </w:r>
    </w:p>
    <w:p>
      <w:pPr>
        <w:spacing w:after="0" w:line="223" w:lineRule="exact"/>
        <w:rPr>
          <w:rFonts w:ascii="Arial" w:cs="Arial" w:eastAsia="Arial" w:hAnsi="Arial"/>
          <w:sz w:val="22"/>
          <w:szCs w:val="22"/>
          <w:color w:val="auto"/>
        </w:rPr>
      </w:pPr>
    </w:p>
    <w:p>
      <w:pPr>
        <w:ind w:left="1300" w:right="120" w:hanging="320"/>
        <w:spacing w:after="0" w:line="253" w:lineRule="auto"/>
        <w:tabs>
          <w:tab w:leader="none" w:pos="1300" w:val="left"/>
        </w:tabs>
        <w:numPr>
          <w:ilvl w:val="2"/>
          <w:numId w:val="70"/>
        </w:numPr>
        <w:rPr>
          <w:rFonts w:ascii="Arial" w:cs="Arial" w:eastAsia="Arial" w:hAnsi="Arial"/>
          <w:sz w:val="22"/>
          <w:szCs w:val="22"/>
          <w:color w:val="auto"/>
        </w:rPr>
      </w:pPr>
      <w:r>
        <w:rPr>
          <w:rFonts w:ascii="Arial" w:cs="Arial" w:eastAsia="Arial" w:hAnsi="Arial"/>
          <w:sz w:val="22"/>
          <w:szCs w:val="22"/>
          <w:color w:val="auto"/>
        </w:rPr>
        <w:t>Equity Awards. Employee’s outstanding equity awards shall be governed by the terms of the Company’s 2004 Stock and Incentive Award Plan (as amended, the “Plan”) and any applicable award agreements. Employee shall have 90 days</w:t>
      </w:r>
    </w:p>
    <w:p>
      <w:pPr>
        <w:sectPr>
          <w:pgSz w:w="11900" w:h="16838" w:orient="portrait"/>
          <w:cols w:equalWidth="0" w:num="1">
            <w:col w:w="11160"/>
          </w:cols>
          <w:pgMar w:left="320" w:top="1422" w:right="419" w:bottom="1440" w:gutter="0" w:footer="0" w:header="0"/>
        </w:sectPr>
      </w:pPr>
    </w:p>
    <w:bookmarkStart w:id="109" w:name="page110"/>
    <w:bookmarkEnd w:id="109"/>
    <w:p>
      <w:pPr>
        <w:ind w:left="1280" w:right="220"/>
        <w:spacing w:after="0" w:line="343" w:lineRule="auto"/>
        <w:rPr>
          <w:sz w:val="20"/>
          <w:szCs w:val="20"/>
          <w:color w:val="auto"/>
        </w:rPr>
      </w:pPr>
      <w:r>
        <w:rPr>
          <w:rFonts w:ascii="Arial" w:cs="Arial" w:eastAsia="Arial" w:hAnsi="Arial"/>
          <w:sz w:val="19"/>
          <w:szCs w:val="19"/>
          <w:color w:val="auto"/>
        </w:rPr>
        <w:t>following the Separation Date to exercise any vested stock options pursuant to the terms of the Plan, unless such stock options shall earlier terminate under the terms of the Plan or the applicable award agreements.</w:t>
      </w:r>
    </w:p>
    <w:p>
      <w:pPr>
        <w:spacing w:after="0" w:line="104" w:lineRule="exact"/>
        <w:rPr>
          <w:sz w:val="20"/>
          <w:szCs w:val="20"/>
          <w:color w:val="auto"/>
        </w:rPr>
      </w:pPr>
    </w:p>
    <w:p>
      <w:pPr>
        <w:ind w:left="1280" w:right="20" w:hanging="320"/>
        <w:spacing w:after="0" w:line="288" w:lineRule="auto"/>
        <w:tabs>
          <w:tab w:leader="none" w:pos="1268" w:val="left"/>
        </w:tabs>
        <w:numPr>
          <w:ilvl w:val="1"/>
          <w:numId w:val="71"/>
        </w:numPr>
        <w:rPr>
          <w:rFonts w:ascii="Arial" w:cs="Arial" w:eastAsia="Arial" w:hAnsi="Arial"/>
          <w:sz w:val="19"/>
          <w:szCs w:val="19"/>
          <w:color w:val="auto"/>
        </w:rPr>
      </w:pPr>
      <w:r>
        <w:rPr>
          <w:rFonts w:ascii="Arial" w:cs="Arial" w:eastAsia="Arial" w:hAnsi="Arial"/>
          <w:sz w:val="19"/>
          <w:szCs w:val="19"/>
          <w:color w:val="auto"/>
        </w:rPr>
        <w:t>Benefits. Subject to Employee’s timely election of, and continued eligibility for, continuation coverage for certain health benefits pursuant to the Consolidated Omnibus Budget Reconciliation Act of 1985 (as amended, “COBRA”), Employer will, in its discretion, either (i) pay Employee an additional monthly amount for any COBRA premiums incurred during the [Severance Period] with respect to Employee’s and Employee’s eligible dependents’ continued coverage under Employer’s group medical insurance coverage, or (ii) cover such COBRA premiums directly, if permitted by applicable law and the terms of the Company’s group medical plan (the “Health Plan”). Any such continued coverage is subject to the terms of the Health Plan. Employer reserves and retains the right to select the health care provider of such Health Plan and makes no promises, express or implied, with regard to specific coverage provided or premiums charged. Employer will provide Employee with applicable COBRA notices and required information under separate cover.</w:t>
      </w:r>
    </w:p>
    <w:p>
      <w:pPr>
        <w:spacing w:after="0" w:line="199" w:lineRule="exact"/>
        <w:rPr>
          <w:rFonts w:ascii="Arial" w:cs="Arial" w:eastAsia="Arial" w:hAnsi="Arial"/>
          <w:sz w:val="19"/>
          <w:szCs w:val="19"/>
          <w:color w:val="auto"/>
        </w:rPr>
      </w:pPr>
    </w:p>
    <w:p>
      <w:pPr>
        <w:ind w:left="-20" w:right="460" w:firstLine="656"/>
        <w:spacing w:after="0" w:line="263" w:lineRule="auto"/>
        <w:tabs>
          <w:tab w:leader="none" w:pos="1276" w:val="left"/>
        </w:tabs>
        <w:numPr>
          <w:ilvl w:val="0"/>
          <w:numId w:val="72"/>
        </w:numPr>
        <w:rPr>
          <w:rFonts w:ascii="Arial" w:cs="Arial" w:eastAsia="Arial" w:hAnsi="Arial"/>
          <w:sz w:val="22"/>
          <w:szCs w:val="22"/>
          <w:color w:val="auto"/>
        </w:rPr>
      </w:pPr>
      <w:r>
        <w:rPr>
          <w:rFonts w:ascii="Arial" w:cs="Arial" w:eastAsia="Arial" w:hAnsi="Arial"/>
          <w:sz w:val="22"/>
          <w:szCs w:val="22"/>
          <w:color w:val="auto"/>
        </w:rPr>
        <w:t>Except as provided above and pursuant to applicable law, Employee’s participation in all other compensation, bonus, and employee benefits plans and programs will cease on the Separation Date.</w:t>
      </w:r>
    </w:p>
    <w:p>
      <w:pPr>
        <w:spacing w:after="0" w:line="202" w:lineRule="exact"/>
        <w:rPr>
          <w:sz w:val="20"/>
          <w:szCs w:val="20"/>
          <w:color w:val="auto"/>
        </w:rPr>
      </w:pPr>
    </w:p>
    <w:p>
      <w:pPr>
        <w:ind w:left="1280" w:hanging="644"/>
        <w:spacing w:after="0"/>
        <w:tabs>
          <w:tab w:leader="none" w:pos="128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Consultation and Transition.</w:t>
      </w:r>
    </w:p>
    <w:p>
      <w:pPr>
        <w:spacing w:after="0" w:line="246" w:lineRule="exact"/>
        <w:rPr>
          <w:rFonts w:ascii="Arial" w:cs="Arial" w:eastAsia="Arial" w:hAnsi="Arial"/>
          <w:sz w:val="22"/>
          <w:szCs w:val="22"/>
          <w:color w:val="auto"/>
        </w:rPr>
      </w:pPr>
    </w:p>
    <w:p>
      <w:pPr>
        <w:ind w:left="1940" w:hanging="656"/>
        <w:spacing w:after="0" w:line="248" w:lineRule="auto"/>
        <w:tabs>
          <w:tab w:leader="none" w:pos="1496" w:val="left"/>
        </w:tabs>
        <w:numPr>
          <w:ilvl w:val="1"/>
          <w:numId w:val="73"/>
        </w:numPr>
        <w:rPr>
          <w:rFonts w:ascii="Arial" w:cs="Arial" w:eastAsia="Arial" w:hAnsi="Arial"/>
          <w:sz w:val="22"/>
          <w:szCs w:val="22"/>
          <w:color w:val="auto"/>
        </w:rPr>
      </w:pPr>
      <w:r>
        <w:rPr>
          <w:rFonts w:ascii="Arial" w:cs="Arial" w:eastAsia="Arial" w:hAnsi="Arial"/>
          <w:sz w:val="22"/>
          <w:szCs w:val="22"/>
          <w:color w:val="auto"/>
        </w:rPr>
        <w:t>Employee shall consult with Employer on an as-needed basis and shall fully cooperate with Employer in transitioning all pending matters, including, but not limited to, responding to all questions concerning pending business matters and projects, plans, locating files, documents, records, data of any type, and explaining any processes, negotiations, or other business matters. Employee will also satisfactorily perform all expectations established by the Company.</w:t>
      </w:r>
    </w:p>
    <w:p>
      <w:pPr>
        <w:spacing w:after="0" w:line="218" w:lineRule="exact"/>
        <w:rPr>
          <w:rFonts w:ascii="Arial" w:cs="Arial" w:eastAsia="Arial" w:hAnsi="Arial"/>
          <w:sz w:val="22"/>
          <w:szCs w:val="22"/>
          <w:color w:val="auto"/>
        </w:rPr>
      </w:pPr>
    </w:p>
    <w:p>
      <w:pPr>
        <w:ind w:left="1940" w:right="120" w:hanging="656"/>
        <w:spacing w:after="0" w:line="248" w:lineRule="auto"/>
        <w:tabs>
          <w:tab w:leader="none" w:pos="1508" w:val="left"/>
        </w:tabs>
        <w:numPr>
          <w:ilvl w:val="1"/>
          <w:numId w:val="73"/>
        </w:numPr>
        <w:rPr>
          <w:rFonts w:ascii="Arial" w:cs="Arial" w:eastAsia="Arial" w:hAnsi="Arial"/>
          <w:sz w:val="22"/>
          <w:szCs w:val="22"/>
          <w:color w:val="auto"/>
        </w:rPr>
      </w:pPr>
      <w:r>
        <w:rPr>
          <w:rFonts w:ascii="Arial" w:cs="Arial" w:eastAsia="Arial" w:hAnsi="Arial"/>
          <w:sz w:val="22"/>
          <w:szCs w:val="22"/>
          <w:color w:val="auto"/>
        </w:rPr>
        <w:t>Employee also agrees to provide reasonable assistance to Employer and cooperate with Employer in relation to its prosecution or defense of any litigation or other controversies, if Employee has, either directly or indirectly, any documents or information that could lead to the discovery of admissible evidence in such litigation or controversies or other knowledge that Employer deems useful in connection with such prosecution or defense.</w:t>
      </w:r>
    </w:p>
    <w:p>
      <w:pPr>
        <w:spacing w:after="0" w:line="218" w:lineRule="exact"/>
        <w:rPr>
          <w:rFonts w:ascii="Arial" w:cs="Arial" w:eastAsia="Arial" w:hAnsi="Arial"/>
          <w:sz w:val="22"/>
          <w:szCs w:val="22"/>
          <w:color w:val="auto"/>
        </w:rPr>
      </w:pPr>
    </w:p>
    <w:p>
      <w:pPr>
        <w:jc w:val="both"/>
        <w:ind w:left="-20" w:right="260" w:firstLine="656"/>
        <w:spacing w:after="0" w:line="302" w:lineRule="auto"/>
        <w:tabs>
          <w:tab w:leader="none" w:pos="127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Other Payments and Benefits.</w:t>
      </w:r>
      <w:r>
        <w:rPr>
          <w:rFonts w:ascii="Arial" w:cs="Arial" w:eastAsia="Arial" w:hAnsi="Arial"/>
          <w:sz w:val="19"/>
          <w:szCs w:val="19"/>
          <w:color w:val="auto"/>
        </w:rPr>
        <w:t xml:space="preserve"> Employee understands that the payments described in paragraph 3 shall be in lieu of, and not in addition to, any payments to which Employee might otherwise be entitled under any severance or separation pay plan, policy, agreement, or arrangement provided or sponsored by Employer or any other plan, policy, or benefit provided or sponsored by Employer (with the exception of pay for accrued but unused vacation days as of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40" w:top="1428" w:right="339" w:bottom="1440" w:gutter="0" w:footer="0" w:header="0"/>
        </w:sectPr>
      </w:pPr>
    </w:p>
    <w:bookmarkStart w:id="110" w:name="page111"/>
    <w:bookmarkEnd w:id="110"/>
    <w:p>
      <w:pPr>
        <w:ind w:right="20"/>
        <w:spacing w:after="0" w:line="302" w:lineRule="auto"/>
        <w:rPr>
          <w:sz w:val="20"/>
          <w:szCs w:val="20"/>
          <w:color w:val="auto"/>
        </w:rPr>
      </w:pPr>
      <w:r>
        <w:rPr>
          <w:rFonts w:ascii="Arial" w:cs="Arial" w:eastAsia="Arial" w:hAnsi="Arial"/>
          <w:sz w:val="19"/>
          <w:szCs w:val="19"/>
          <w:color w:val="auto"/>
        </w:rPr>
        <w:t>Separation Date, for which Employee will receive payment regardless of whether Employee signs this Agreement). Employee acknowledges that the payments and benefits provided for in this Agreement include the entire amount of consideration to which Employee is entitled. Employee agrees not to seek any further compensation in connection with the matters encompassed in this Agreement or arising from Employee’s employment with Employer (or the termination of such employment).</w:t>
      </w:r>
    </w:p>
    <w:p>
      <w:pPr>
        <w:spacing w:after="0" w:line="169" w:lineRule="exact"/>
        <w:rPr>
          <w:sz w:val="20"/>
          <w:szCs w:val="20"/>
          <w:color w:val="auto"/>
        </w:rPr>
      </w:pPr>
    </w:p>
    <w:p>
      <w:pPr>
        <w:ind w:firstLine="656"/>
        <w:spacing w:after="0" w:line="285" w:lineRule="auto"/>
        <w:tabs>
          <w:tab w:leader="none" w:pos="129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Employee Release.</w:t>
      </w:r>
      <w:r>
        <w:rPr>
          <w:rFonts w:ascii="Arial" w:cs="Arial" w:eastAsia="Arial" w:hAnsi="Arial"/>
          <w:sz w:val="19"/>
          <w:szCs w:val="19"/>
          <w:color w:val="auto"/>
        </w:rPr>
        <w:t xml:space="preserve"> Except as described in paragraph 9 below, Employee, for and on behalf of Employee and Employee’s heirs, executors, administrators, and assigns, knowingly releases and discharges AngioDynamics, Inc. and its subsidiaries, predecessors, divisions, affiliates, successors, assigns, employee benefit plans, fiduciaries, and all of its and their current and former directors, officers, employees, and agents, in their individual and representative capacities (together, the “Released Parties”) from all claims, actions, causes of action, suits, charges, damages, and demands whatsoever, in law or equity, which Employee ever had, has or hereafter may have against any Released Party, directly or indirectly, whether known or unknown, from the beginning of time to the date of this Agreement. Employee acknowledges that this RELEASE includes all claims arising out of Employee’s employment and the termination of that employment, whether before courts, administrative agencies, or other forums wherever situated, including, but not limited to, all claims under Title VII of the Civil Rights Act of 1964, as amended, the Civil Rights Act of 1991, the Age Discrimination in Employment Act of 1967, the Rehabilitation Act of 1973, Sections 1981 through 1988 of Title 42 of the United States Code, the Americans with Disabilities Act, as amended, the Fair Labor Standards Act, the National Labor Relations Act, as amended, the Equal Pay Act, the Family and Medical Leave Act, as amended, the Employee Retirement Income Security Act (ERISA), as amended, the Occupational Safety and Health Act, as amended, the New York Human Rights Law, the New York Labor Law, the nondiscrimination and/or retaliation provisions of the New York Workers’ Compensation Law, and any other federal laws and regulations, and any other state or local employment laws and regulations of the State of New York and the state of Employee’s residence, and all common law claims of the State of New York and the state of Employee’s residence, including, but not limited to, claims of express or implied contract, wrongful discharge, defamation, slander, intentional and negligent infliction of emotional distress, and all claims for attorneys’ fees, costs, and expenses, and any other claims arising out of or related to Employee’s employment with Employer, and the termination of that employment (collectively, “Claims”).</w:t>
      </w:r>
    </w:p>
    <w:p>
      <w:pPr>
        <w:spacing w:after="0" w:line="200" w:lineRule="exact"/>
        <w:rPr>
          <w:sz w:val="20"/>
          <w:szCs w:val="20"/>
          <w:color w:val="auto"/>
        </w:rPr>
      </w:pP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The foregoing RELEASE shall not apply to the extent prohibited by law or to Employee’s right to enforce the terms of paragraph 3 of this Agreement; it being understood and agreed that the payments and benefits set forth in paragraph 3 are expressly contingent upon Employee’s satisfaction of the Conditions, and if the Conditions are at any time not satisfied (including, without limitation, because Employee fails to timely sign this Agreement, including Exhibits A and B hereto, or revokes Employee’s release provided in this Agreement or Exhibit A), Employer shall have no further obligation to pay or provide any of the payments or benefits provided in paragraph 3 of this Agreement, but all other terms of this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28" w:right="399" w:bottom="1440" w:gutter="0" w:footer="0" w:header="0"/>
        </w:sectPr>
      </w:pPr>
    </w:p>
    <w:bookmarkStart w:id="111" w:name="page112"/>
    <w:bookmarkEnd w:id="111"/>
    <w:p>
      <w:pPr>
        <w:ind w:right="40" w:firstLine="656"/>
        <w:spacing w:after="0" w:line="246" w:lineRule="auto"/>
        <w:tabs>
          <w:tab w:leader="none" w:pos="1296"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Covenant Not to Sue.</w:t>
      </w:r>
      <w:r>
        <w:rPr>
          <w:rFonts w:ascii="Arial" w:cs="Arial" w:eastAsia="Arial" w:hAnsi="Arial"/>
          <w:sz w:val="22"/>
          <w:szCs w:val="22"/>
          <w:color w:val="auto"/>
        </w:rPr>
        <w:t xml:space="preserve"> Except as described in paragraph 9 below, Employee represents and warrants that Employee has not filed and will not file any claim, charge, or lawsuit (civil, administrative, or criminal) against any Released Party, either individually in any type of proceeding or as a member of a class, based upon acts, occurrences, or events which are subject to Employee’s release in paragraph 7 above. If Employee breaches this provision and files an action falling within its scope, Employee agrees to indemnify the Released Parties for all costs, including court costs and reasonable attorneys’ fees, incurred by any Released Party in the defense of such action or in establishing or maintaining the application or validity of this Agreement or the provisions thereof.</w:t>
      </w:r>
    </w:p>
    <w:p>
      <w:pPr>
        <w:spacing w:after="0" w:line="223" w:lineRule="exact"/>
        <w:rPr>
          <w:rFonts w:ascii="Arial" w:cs="Arial" w:eastAsia="Arial" w:hAnsi="Arial"/>
          <w:sz w:val="22"/>
          <w:szCs w:val="22"/>
          <w:color w:val="auto"/>
        </w:rPr>
      </w:pPr>
    </w:p>
    <w:p>
      <w:pPr>
        <w:ind w:firstLine="656"/>
        <w:spacing w:after="0" w:line="250" w:lineRule="auto"/>
        <w:tabs>
          <w:tab w:leader="none" w:pos="1296"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EEOC Proceedings.</w:t>
      </w:r>
      <w:r>
        <w:rPr>
          <w:rFonts w:ascii="Arial" w:cs="Arial" w:eastAsia="Arial" w:hAnsi="Arial"/>
          <w:sz w:val="22"/>
          <w:szCs w:val="22"/>
          <w:color w:val="auto"/>
        </w:rPr>
        <w:t xml:space="preserve"> Employee understands that nothing in this Agreement prevents Employee from filing a charge with the Equal Employment Opportunity Commission (“EEOC”) or participating in any investigation or proceeding conducted by the EEOC. However, Employee understands and agrees that Employee is waiving any entitlement or right to recover any monetary or other personal relief as a result of any such EEOC proceeding.</w:t>
      </w:r>
    </w:p>
    <w:p>
      <w:pPr>
        <w:spacing w:after="0" w:line="214" w:lineRule="exact"/>
        <w:rPr>
          <w:rFonts w:ascii="Arial" w:cs="Arial" w:eastAsia="Arial" w:hAnsi="Arial"/>
          <w:sz w:val="22"/>
          <w:szCs w:val="22"/>
          <w:color w:val="auto"/>
        </w:rPr>
      </w:pPr>
    </w:p>
    <w:p>
      <w:pPr>
        <w:ind w:right="340" w:firstLine="656"/>
        <w:spacing w:after="0" w:line="271" w:lineRule="auto"/>
        <w:tabs>
          <w:tab w:leader="none" w:pos="1296"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No Admission of Liability.</w:t>
      </w:r>
      <w:r>
        <w:rPr>
          <w:rFonts w:ascii="Arial" w:cs="Arial" w:eastAsia="Arial" w:hAnsi="Arial"/>
          <w:sz w:val="21"/>
          <w:szCs w:val="21"/>
          <w:color w:val="auto"/>
        </w:rPr>
        <w:t xml:space="preserve"> By entering into this Agreement, neither Employer nor Employee admits any wrongdoing or liability. Employee acknowledges that Employer has not violated any law, statute, ordinance, contract, duty, or obligation whatsoever, committed any tort, or engaged in any wrongful conduct with respect to Employee.</w:t>
      </w:r>
    </w:p>
    <w:p>
      <w:pPr>
        <w:spacing w:after="0" w:line="194" w:lineRule="exact"/>
        <w:rPr>
          <w:rFonts w:ascii="Arial" w:cs="Arial" w:eastAsia="Arial" w:hAnsi="Arial"/>
          <w:sz w:val="21"/>
          <w:szCs w:val="21"/>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p>
    <w:p>
      <w:pPr>
        <w:spacing w:after="0" w:line="246" w:lineRule="exact"/>
        <w:rPr>
          <w:rFonts w:ascii="Arial" w:cs="Arial" w:eastAsia="Arial" w:hAnsi="Arial"/>
          <w:sz w:val="22"/>
          <w:szCs w:val="22"/>
          <w:color w:val="auto"/>
        </w:rPr>
      </w:pPr>
    </w:p>
    <w:p>
      <w:pPr>
        <w:jc w:val="both"/>
        <w:ind w:right="140" w:firstLine="1304"/>
        <w:spacing w:after="0" w:line="288" w:lineRule="auto"/>
        <w:tabs>
          <w:tab w:leader="none" w:pos="1500" w:val="left"/>
        </w:tabs>
        <w:numPr>
          <w:ilvl w:val="1"/>
          <w:numId w:val="75"/>
        </w:numPr>
        <w:rPr>
          <w:rFonts w:ascii="Arial" w:cs="Arial" w:eastAsia="Arial" w:hAnsi="Arial"/>
          <w:sz w:val="19"/>
          <w:szCs w:val="19"/>
          <w:color w:val="auto"/>
        </w:rPr>
      </w:pPr>
      <w:r>
        <w:rPr>
          <w:rFonts w:ascii="Arial" w:cs="Arial" w:eastAsia="Arial" w:hAnsi="Arial"/>
          <w:sz w:val="19"/>
          <w:szCs w:val="19"/>
          <w:color w:val="auto"/>
        </w:rPr>
        <w:t>Employee recognizes and acknowledges that, in the course of employment with Employer, Employee obtained knowledge of confidential and proprietary information of a special and unique nature and economic value regarding the conduct and details of Employer’s business, for which Employer used reasonable means to keep secret (“Employer’s trade secrets”).</w:t>
      </w:r>
    </w:p>
    <w:p>
      <w:pPr>
        <w:ind w:right="160"/>
        <w:spacing w:after="0" w:line="287" w:lineRule="auto"/>
        <w:rPr>
          <w:rFonts w:ascii="Arial" w:cs="Arial" w:eastAsia="Arial" w:hAnsi="Arial"/>
          <w:sz w:val="19"/>
          <w:szCs w:val="19"/>
          <w:color w:val="auto"/>
        </w:rPr>
      </w:pPr>
      <w:r>
        <w:rPr>
          <w:rFonts w:ascii="Arial" w:cs="Arial" w:eastAsia="Arial" w:hAnsi="Arial"/>
          <w:sz w:val="19"/>
          <w:szCs w:val="19"/>
          <w:color w:val="auto"/>
        </w:rPr>
        <w:t>Employer’s trade secrets include, but are not limited to, non-public corporate information, including plans, strategies, tactics, policies, procedures, and practices; non-public marketing information; non-public strategic information; and any and all other non-public information, in whatever form, related to Employer’s business including, but not limited to, financial information, operations information, personnel information, and affiliate, supplier, customer, and business partner information. Employer’s trade secrets do not include information that is publicly available (i) prior to the date of this Agreement, or (ii) by reason of acts not attributable to a breach of this Agreement. Therefore, it is possible that Employee could cause grave and irreparable harm to Employer, which could not be adequately compensated by monetary damages, if Employee violated the restrictive covenants in this Agreement (including, without limitation, in Exhibit B) by disclosing Employer’s trade secrets.</w:t>
      </w:r>
    </w:p>
    <w:p>
      <w:pPr>
        <w:spacing w:after="0" w:line="186" w:lineRule="exact"/>
        <w:rPr>
          <w:rFonts w:ascii="Arial" w:cs="Arial" w:eastAsia="Arial" w:hAnsi="Arial"/>
          <w:sz w:val="19"/>
          <w:szCs w:val="19"/>
          <w:color w:val="auto"/>
        </w:rPr>
      </w:pPr>
    </w:p>
    <w:p>
      <w:pPr>
        <w:ind w:right="60" w:firstLine="1304"/>
        <w:spacing w:after="0" w:line="253" w:lineRule="auto"/>
        <w:tabs>
          <w:tab w:leader="none" w:pos="1512" w:val="left"/>
        </w:tabs>
        <w:numPr>
          <w:ilvl w:val="1"/>
          <w:numId w:val="75"/>
        </w:numPr>
        <w:rPr>
          <w:rFonts w:ascii="Arial" w:cs="Arial" w:eastAsia="Arial" w:hAnsi="Arial"/>
          <w:sz w:val="22"/>
          <w:szCs w:val="22"/>
          <w:color w:val="auto"/>
        </w:rPr>
      </w:pPr>
      <w:r>
        <w:rPr>
          <w:rFonts w:ascii="Arial" w:cs="Arial" w:eastAsia="Arial" w:hAnsi="Arial"/>
          <w:sz w:val="22"/>
          <w:szCs w:val="22"/>
          <w:color w:val="auto"/>
        </w:rPr>
        <w:t>Employee represents and warrants that, unless compelled or expressly permitted by operation of law, Employee shall not disclose, reveal, publish, or in any other manner communicate to any third party, whether written or oral, Employer’s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112" w:name="page113"/>
    <w:bookmarkEnd w:id="112"/>
    <w:p>
      <w:pPr>
        <w:jc w:val="both"/>
        <w:ind w:left="-40" w:firstLine="1304"/>
        <w:spacing w:after="0" w:line="343" w:lineRule="auto"/>
        <w:tabs>
          <w:tab w:leader="none" w:pos="1514" w:val="left"/>
        </w:tabs>
        <w:numPr>
          <w:ilvl w:val="1"/>
          <w:numId w:val="76"/>
        </w:numPr>
        <w:rPr>
          <w:rFonts w:ascii="Arial" w:cs="Arial" w:eastAsia="Arial" w:hAnsi="Arial"/>
          <w:sz w:val="19"/>
          <w:szCs w:val="19"/>
          <w:color w:val="auto"/>
        </w:rPr>
      </w:pPr>
      <w:r>
        <w:rPr>
          <w:rFonts w:ascii="Arial" w:cs="Arial" w:eastAsia="Arial" w:hAnsi="Arial"/>
          <w:sz w:val="19"/>
          <w:szCs w:val="19"/>
          <w:color w:val="auto"/>
        </w:rPr>
        <w:t>If Employee is required by law or valid court order to disclose Employer’s trade secrets, Employee shall utilize best efforts to provide advance written notice to Employer to allow Employer an opportunity to contest the impending disclosure.</w:t>
      </w:r>
    </w:p>
    <w:p>
      <w:pPr>
        <w:spacing w:after="0" w:line="131" w:lineRule="exact"/>
        <w:rPr>
          <w:rFonts w:ascii="Arial" w:cs="Arial" w:eastAsia="Arial" w:hAnsi="Arial"/>
          <w:sz w:val="19"/>
          <w:szCs w:val="19"/>
          <w:color w:val="auto"/>
        </w:rPr>
      </w:pPr>
    </w:p>
    <w:p>
      <w:pPr>
        <w:ind w:left="-40" w:right="40" w:firstLine="1304"/>
        <w:spacing w:after="0" w:line="294" w:lineRule="auto"/>
        <w:tabs>
          <w:tab w:leader="none" w:pos="1472" w:val="left"/>
        </w:tabs>
        <w:numPr>
          <w:ilvl w:val="1"/>
          <w:numId w:val="76"/>
        </w:numPr>
        <w:rPr>
          <w:rFonts w:ascii="Arial" w:cs="Arial" w:eastAsia="Arial" w:hAnsi="Arial"/>
          <w:sz w:val="19"/>
          <w:szCs w:val="19"/>
          <w:color w:val="auto"/>
        </w:rPr>
      </w:pPr>
      <w:r>
        <w:rPr>
          <w:rFonts w:ascii="Arial" w:cs="Arial" w:eastAsia="Arial" w:hAnsi="Arial"/>
          <w:sz w:val="19"/>
          <w:szCs w:val="19"/>
          <w:color w:val="auto"/>
        </w:rPr>
        <w:t>Employee acknowledges and agrees that the restrictive covenants in this Agreement (including, without limitation, Exhibit B) are reasonable and properly required for the adequate protection of Employer’s business. Employee further agrees that Employee will not raise any issue of reasonableness as a defense in any proceeding to its enforcement. Except as otherwise expressly provided in this Agreement, the restrictive covenants in this Agreement and Exhibit B are in addition to, and not in lieu of, and do not amend, abrogate, or modify any other non-compete, non-solicit, non-disparagement, intellectual property, confidentiality, or similar restrictive covenants that run in favor of Employer and by which Employee is bound.</w:t>
      </w:r>
    </w:p>
    <w:p>
      <w:pPr>
        <w:spacing w:after="0" w:line="176" w:lineRule="exact"/>
        <w:rPr>
          <w:rFonts w:ascii="Arial" w:cs="Arial" w:eastAsia="Arial" w:hAnsi="Arial"/>
          <w:sz w:val="19"/>
          <w:szCs w:val="19"/>
          <w:color w:val="auto"/>
        </w:rPr>
      </w:pPr>
    </w:p>
    <w:p>
      <w:pPr>
        <w:ind w:left="-40" w:right="80" w:firstLine="1304"/>
        <w:spacing w:after="0" w:line="288" w:lineRule="auto"/>
        <w:tabs>
          <w:tab w:leader="none" w:pos="14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In the event of an actual or threatened breach of paragraphs 11 or 12 or Exhibit B of this Agreement, Employee acknowledges that Employer will be irreparably damaged and that Employer is entitled to an injunction restraining Employee from violating the restrictive covenants. Nothing in this Agreement or in Exhibit B shall be construed as prohibiting Employer from pursuing any other available remedies for such breach or threatened breach of this Agreement (including, without limitation, Exhibit B). In the event of a breach of this covenant or a breach of any other covenant stated in this Agreement (including, without limitation, Exhibit B), Employer shall be relieved of its obligation to make any remaining payments under this Agreement and shall be entitled to commence a civil action to recover all payments previously made or its actual damages, whichever is greater, unless otherwise prohibited by law. If one or more provisions of this Agreement (including, without limitation, Exhibit B) are determined by a court of competent jurisdiction to be invalid, illegal, or unenforceable in any respect, the validity, legality, and enforcement of the remaining provisions shall not in any way be affected or impaired.</w:t>
      </w:r>
    </w:p>
    <w:p>
      <w:pPr>
        <w:spacing w:after="0" w:line="186" w:lineRule="exact"/>
        <w:rPr>
          <w:rFonts w:ascii="Arial" w:cs="Arial" w:eastAsia="Arial" w:hAnsi="Arial"/>
          <w:sz w:val="19"/>
          <w:szCs w:val="19"/>
          <w:color w:val="auto"/>
        </w:rPr>
      </w:pPr>
    </w:p>
    <w:p>
      <w:pPr>
        <w:ind w:left="-40" w:right="80" w:firstLine="494"/>
        <w:spacing w:after="0" w:line="259" w:lineRule="auto"/>
        <w:tabs>
          <w:tab w:leader="none" w:pos="626" w:val="left"/>
        </w:tabs>
        <w:numPr>
          <w:ilvl w:val="0"/>
          <w:numId w:val="77"/>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(including Exhibits A, B, and C hereto), nothing in this Agreement (including Exhibits A, B, and C hereto) shall prohibit Employee from reporting possible violations of federal law or regulation to or otherwise cooperating with or providing information requested by any governmental agency or entity, including, but not limited to, the Department of Justice, the Securities and Exchange Commission, the Congress, and any agency Inspector General, or making other disclosures or receiving an award for information provided to any governmental agency or entity, in each case that are protected under the whistleblower provisions of federal law or regulation. Employee does not need the prior authorization of Employer to make any such reports or disclosures and is not required to notify Employer that Employee has made such reports or disclosures.</w:t>
      </w:r>
    </w:p>
    <w:p>
      <w:pPr>
        <w:spacing w:after="0" w:line="210" w:lineRule="exact"/>
        <w:rPr>
          <w:rFonts w:ascii="Arial" w:cs="Arial" w:eastAsia="Arial" w:hAnsi="Arial"/>
          <w:sz w:val="21"/>
          <w:szCs w:val="21"/>
          <w:color w:val="auto"/>
        </w:rPr>
      </w:pPr>
    </w:p>
    <w:p>
      <w:pPr>
        <w:ind w:left="-40" w:firstLine="494"/>
        <w:spacing w:after="0" w:line="247" w:lineRule="auto"/>
        <w:tabs>
          <w:tab w:leader="none" w:pos="662"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Employee will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If Employee files a lawsuit for retaliation by Employer for reporting a suspected violation of law, Employee may disclose Employer’s trade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60"/>
          </w:cols>
          <w:pgMar w:left="360" w:top="1428" w:right="379" w:bottom="1440" w:gutter="0" w:footer="0" w:header="0"/>
        </w:sectPr>
      </w:pPr>
    </w:p>
    <w:bookmarkStart w:id="113" w:name="page114"/>
    <w:bookmarkEnd w:id="113"/>
    <w:p>
      <w:pPr>
        <w:ind w:right="280"/>
        <w:spacing w:after="0" w:line="343" w:lineRule="auto"/>
        <w:rPr>
          <w:sz w:val="20"/>
          <w:szCs w:val="20"/>
          <w:color w:val="auto"/>
        </w:rPr>
      </w:pPr>
      <w:r>
        <w:rPr>
          <w:rFonts w:ascii="Arial" w:cs="Arial" w:eastAsia="Arial" w:hAnsi="Arial"/>
          <w:sz w:val="19"/>
          <w:szCs w:val="19"/>
          <w:color w:val="auto"/>
        </w:rPr>
        <w:t>secrets to Employee’s attorney and use the trade secret information in the court proceeding if Employee (1) files any document containing the trade secret under seal, and (2) does not disclose the trade secret, except pursuant to court order.</w:t>
      </w:r>
    </w:p>
    <w:p>
      <w:pPr>
        <w:spacing w:after="0" w:line="131" w:lineRule="exact"/>
        <w:rPr>
          <w:sz w:val="20"/>
          <w:szCs w:val="20"/>
          <w:color w:val="auto"/>
        </w:rPr>
      </w:pPr>
    </w:p>
    <w:p>
      <w:pPr>
        <w:ind w:right="100" w:firstLine="656"/>
        <w:spacing w:after="0" w:line="312" w:lineRule="auto"/>
        <w:tabs>
          <w:tab w:leader="none" w:pos="129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Employee agrees to not engage, at any time, in any action or conduct that either directly or indirectly disparages, mistreats, or hurts Employer or any of Employer’s employees, officers, or representatives, or that results in the disparagement, mistreatment, or injury of Employer or any of Employer’s employees, officers, or representatives.</w:t>
      </w:r>
    </w:p>
    <w:p>
      <w:pPr>
        <w:spacing w:after="0" w:line="160" w:lineRule="exact"/>
        <w:rPr>
          <w:rFonts w:ascii="Arial" w:cs="Arial" w:eastAsia="Arial" w:hAnsi="Arial"/>
          <w:sz w:val="19"/>
          <w:szCs w:val="19"/>
          <w:color w:val="auto"/>
        </w:rPr>
      </w:pPr>
    </w:p>
    <w:p>
      <w:pPr>
        <w:ind w:right="420" w:firstLine="656"/>
        <w:spacing w:after="0" w:line="312" w:lineRule="auto"/>
        <w:tabs>
          <w:tab w:leader="none" w:pos="129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Employment Reference.</w:t>
      </w:r>
      <w:r>
        <w:rPr>
          <w:rFonts w:ascii="Arial" w:cs="Arial" w:eastAsia="Arial" w:hAnsi="Arial"/>
          <w:sz w:val="19"/>
          <w:szCs w:val="19"/>
          <w:color w:val="auto"/>
        </w:rPr>
        <w:t xml:space="preserve"> In response to requests for job references, Employer’s Human Resources Department shall limit its response to confirmation of Employee’s dates of employment with Employer, positions held, and pay rates. If further information is requested, Employer shall state that its policy is not to provide any further information.</w:t>
      </w:r>
    </w:p>
    <w:p>
      <w:pPr>
        <w:spacing w:after="0" w:line="160" w:lineRule="exact"/>
        <w:rPr>
          <w:rFonts w:ascii="Arial" w:cs="Arial" w:eastAsia="Arial" w:hAnsi="Arial"/>
          <w:sz w:val="19"/>
          <w:szCs w:val="19"/>
          <w:color w:val="auto"/>
        </w:rPr>
      </w:pPr>
    </w:p>
    <w:p>
      <w:pPr>
        <w:ind w:right="280" w:firstLine="656"/>
        <w:spacing w:after="0" w:line="343" w:lineRule="auto"/>
        <w:tabs>
          <w:tab w:leader="none" w:pos="129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Older Workers Benefit Protection Act.</w:t>
      </w:r>
      <w:r>
        <w:rPr>
          <w:rFonts w:ascii="Arial" w:cs="Arial" w:eastAsia="Arial" w:hAnsi="Arial"/>
          <w:sz w:val="19"/>
          <w:szCs w:val="19"/>
          <w:color w:val="auto"/>
        </w:rPr>
        <w:t xml:space="preserve"> Employee acknowledges and agrees that in accordance with the terms of the Age Discrimination in Employment Act (“ADEA”), as amended by the Older Workers Benefit Protection Act:</w:t>
      </w:r>
    </w:p>
    <w:p>
      <w:pPr>
        <w:spacing w:after="0" w:line="131" w:lineRule="exact"/>
        <w:rPr>
          <w:rFonts w:ascii="Arial" w:cs="Arial" w:eastAsia="Arial" w:hAnsi="Arial"/>
          <w:sz w:val="19"/>
          <w:szCs w:val="19"/>
          <w:color w:val="auto"/>
        </w:rPr>
      </w:pPr>
    </w:p>
    <w:p>
      <w:pPr>
        <w:ind w:left="660" w:right="660" w:firstLine="644"/>
        <w:spacing w:after="0" w:line="263" w:lineRule="auto"/>
        <w:tabs>
          <w:tab w:leader="none" w:pos="1944" w:val="left"/>
        </w:tabs>
        <w:numPr>
          <w:ilvl w:val="1"/>
          <w:numId w:val="78"/>
        </w:numPr>
        <w:rPr>
          <w:rFonts w:ascii="Arial" w:cs="Arial" w:eastAsia="Arial" w:hAnsi="Arial"/>
          <w:sz w:val="22"/>
          <w:szCs w:val="22"/>
          <w:color w:val="auto"/>
        </w:rPr>
      </w:pPr>
      <w:r>
        <w:rPr>
          <w:rFonts w:ascii="Arial" w:cs="Arial" w:eastAsia="Arial" w:hAnsi="Arial"/>
          <w:sz w:val="22"/>
          <w:szCs w:val="22"/>
          <w:color w:val="auto"/>
        </w:rPr>
        <w:t>Employee has read and understands this Agreement and knowingly and voluntarily entered into this Agreement without fraud, duress, or any undue influence.</w:t>
      </w:r>
    </w:p>
    <w:p>
      <w:pPr>
        <w:spacing w:after="0" w:line="201"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78"/>
        </w:numPr>
        <w:rPr>
          <w:rFonts w:ascii="Arial" w:cs="Arial" w:eastAsia="Arial" w:hAnsi="Arial"/>
          <w:sz w:val="22"/>
          <w:szCs w:val="22"/>
          <w:color w:val="auto"/>
        </w:rPr>
      </w:pPr>
      <w:r>
        <w:rPr>
          <w:rFonts w:ascii="Arial" w:cs="Arial" w:eastAsia="Arial" w:hAnsi="Arial"/>
          <w:sz w:val="22"/>
          <w:szCs w:val="22"/>
          <w:color w:val="auto"/>
        </w:rPr>
        <w:t>Employee acknowledges that by this Agreement, Employer advised Employee in writing to consult with an attorney before signing this Agreement.</w:t>
      </w:r>
    </w:p>
    <w:p>
      <w:pPr>
        <w:spacing w:after="0" w:line="201" w:lineRule="exact"/>
        <w:rPr>
          <w:rFonts w:ascii="Arial" w:cs="Arial" w:eastAsia="Arial" w:hAnsi="Arial"/>
          <w:sz w:val="22"/>
          <w:szCs w:val="22"/>
          <w:color w:val="auto"/>
        </w:rPr>
      </w:pPr>
    </w:p>
    <w:p>
      <w:pPr>
        <w:ind w:left="660" w:right="720" w:firstLine="644"/>
        <w:spacing w:after="0" w:line="263" w:lineRule="auto"/>
        <w:tabs>
          <w:tab w:leader="none" w:pos="1944" w:val="left"/>
        </w:tabs>
        <w:numPr>
          <w:ilvl w:val="1"/>
          <w:numId w:val="78"/>
        </w:numPr>
        <w:rPr>
          <w:rFonts w:ascii="Arial" w:cs="Arial" w:eastAsia="Arial" w:hAnsi="Arial"/>
          <w:sz w:val="22"/>
          <w:szCs w:val="22"/>
          <w:color w:val="auto"/>
        </w:rPr>
      </w:pPr>
      <w:r>
        <w:rPr>
          <w:rFonts w:ascii="Arial" w:cs="Arial" w:eastAsia="Arial" w:hAnsi="Arial"/>
          <w:sz w:val="22"/>
          <w:szCs w:val="22"/>
          <w:color w:val="auto"/>
        </w:rPr>
        <w:t>Employee understands the language of this Agreement and its meaning, particularly with respect to Employee’s waiver and release of any Claims against the Released Parties.</w:t>
      </w:r>
    </w:p>
    <w:p>
      <w:pPr>
        <w:spacing w:after="0" w:line="201" w:lineRule="exact"/>
        <w:rPr>
          <w:rFonts w:ascii="Arial" w:cs="Arial" w:eastAsia="Arial" w:hAnsi="Arial"/>
          <w:sz w:val="22"/>
          <w:szCs w:val="22"/>
          <w:color w:val="auto"/>
        </w:rPr>
      </w:pPr>
    </w:p>
    <w:p>
      <w:pPr>
        <w:ind w:left="660" w:right="160" w:firstLine="644"/>
        <w:spacing w:after="0" w:line="263" w:lineRule="auto"/>
        <w:tabs>
          <w:tab w:leader="none" w:pos="1956" w:val="left"/>
        </w:tabs>
        <w:numPr>
          <w:ilvl w:val="1"/>
          <w:numId w:val="78"/>
        </w:numPr>
        <w:rPr>
          <w:rFonts w:ascii="Arial" w:cs="Arial" w:eastAsia="Arial" w:hAnsi="Arial"/>
          <w:sz w:val="22"/>
          <w:szCs w:val="22"/>
          <w:color w:val="auto"/>
        </w:rPr>
      </w:pPr>
      <w:r>
        <w:rPr>
          <w:rFonts w:ascii="Arial" w:cs="Arial" w:eastAsia="Arial" w:hAnsi="Arial"/>
          <w:sz w:val="22"/>
          <w:szCs w:val="22"/>
          <w:color w:val="auto"/>
        </w:rPr>
        <w:t>Employee has been afforded [ ] days to consider the terms of this Agreement, but may voluntarily elect to sign the Agreement in a shorter period of time.</w:t>
      </w:r>
    </w:p>
    <w:p>
      <w:pPr>
        <w:spacing w:after="0" w:line="201" w:lineRule="exact"/>
        <w:rPr>
          <w:rFonts w:ascii="Arial" w:cs="Arial" w:eastAsia="Arial" w:hAnsi="Arial"/>
          <w:sz w:val="22"/>
          <w:szCs w:val="22"/>
          <w:color w:val="auto"/>
        </w:rPr>
      </w:pPr>
    </w:p>
    <w:p>
      <w:pPr>
        <w:ind w:left="660" w:right="300" w:firstLine="644"/>
        <w:spacing w:after="0" w:line="253" w:lineRule="auto"/>
        <w:tabs>
          <w:tab w:leader="none" w:pos="1944" w:val="left"/>
        </w:tabs>
        <w:numPr>
          <w:ilvl w:val="1"/>
          <w:numId w:val="78"/>
        </w:numPr>
        <w:rPr>
          <w:rFonts w:ascii="Arial" w:cs="Arial" w:eastAsia="Arial" w:hAnsi="Arial"/>
          <w:sz w:val="22"/>
          <w:szCs w:val="22"/>
          <w:color w:val="auto"/>
        </w:rPr>
      </w:pPr>
      <w:r>
        <w:rPr>
          <w:rFonts w:ascii="Arial" w:cs="Arial" w:eastAsia="Arial" w:hAnsi="Arial"/>
          <w:sz w:val="22"/>
          <w:szCs w:val="22"/>
          <w:color w:val="auto"/>
        </w:rPr>
        <w:t>Employee can accept the terms of this Agreement by providing an executed agreement to [ ], AngioDynamics, Inc., 14 Plaza Drive, Latham, NY 12110 or by facsimile at (518) 798-1435, by 5 p.m. within required timeframe.</w:t>
      </w:r>
    </w:p>
    <w:p>
      <w:pPr>
        <w:spacing w:after="0" w:line="212" w:lineRule="exact"/>
        <w:rPr>
          <w:rFonts w:ascii="Arial" w:cs="Arial" w:eastAsia="Arial" w:hAnsi="Arial"/>
          <w:sz w:val="22"/>
          <w:szCs w:val="22"/>
          <w:color w:val="auto"/>
        </w:rPr>
      </w:pPr>
    </w:p>
    <w:p>
      <w:pPr>
        <w:ind w:left="660" w:right="220" w:firstLine="644"/>
        <w:spacing w:after="0" w:line="268" w:lineRule="auto"/>
        <w:tabs>
          <w:tab w:leader="none" w:pos="1947" w:val="left"/>
        </w:tabs>
        <w:numPr>
          <w:ilvl w:val="1"/>
          <w:numId w:val="78"/>
        </w:numPr>
        <w:rPr>
          <w:rFonts w:ascii="Arial" w:cs="Arial" w:eastAsia="Arial" w:hAnsi="Arial"/>
          <w:sz w:val="21"/>
          <w:szCs w:val="21"/>
          <w:color w:val="auto"/>
        </w:rPr>
      </w:pPr>
      <w:r>
        <w:rPr>
          <w:rFonts w:ascii="Arial" w:cs="Arial" w:eastAsia="Arial" w:hAnsi="Arial"/>
          <w:sz w:val="21"/>
          <w:szCs w:val="21"/>
          <w:color w:val="auto"/>
        </w:rPr>
        <w:t>Employee has seven (7) days following the execution of this Agreement to revoke Employee’s release provided in this Agreement, and such release will not become effective or enforceable until the seven (7) day period has expired. Employee may revoke such release by ensuring written notice of revocation is received by Employer by 5 p.m. on the seventh (7</w:t>
      </w:r>
      <w:r>
        <w:rPr>
          <w:rFonts w:ascii="Arial" w:cs="Arial" w:eastAsia="Arial" w:hAnsi="Arial"/>
          <w:sz w:val="27"/>
          <w:szCs w:val="27"/>
          <w:color w:val="auto"/>
          <w:vertAlign w:val="superscript"/>
        </w:rPr>
        <w:t>th</w:t>
      </w:r>
      <w:r>
        <w:rPr>
          <w:rFonts w:ascii="Arial" w:cs="Arial" w:eastAsia="Arial" w:hAnsi="Arial"/>
          <w:sz w:val="21"/>
          <w:szCs w:val="21"/>
          <w:color w:val="auto"/>
        </w:rPr>
        <w:t>) calendar day following the execution of this Agreement.</w:t>
      </w:r>
    </w:p>
    <w:p>
      <w:pPr>
        <w:spacing w:after="0" w:line="113" w:lineRule="exact"/>
        <w:rPr>
          <w:rFonts w:ascii="Arial" w:cs="Arial" w:eastAsia="Arial" w:hAnsi="Arial"/>
          <w:sz w:val="21"/>
          <w:szCs w:val="21"/>
          <w:color w:val="auto"/>
        </w:rPr>
      </w:pPr>
    </w:p>
    <w:p>
      <w:pPr>
        <w:ind w:left="660" w:right="860" w:firstLine="644"/>
        <w:spacing w:after="0" w:line="263" w:lineRule="auto"/>
        <w:tabs>
          <w:tab w:leader="none" w:pos="1956" w:val="left"/>
        </w:tabs>
        <w:numPr>
          <w:ilvl w:val="1"/>
          <w:numId w:val="78"/>
        </w:numPr>
        <w:rPr>
          <w:rFonts w:ascii="Arial" w:cs="Arial" w:eastAsia="Arial" w:hAnsi="Arial"/>
          <w:sz w:val="22"/>
          <w:szCs w:val="22"/>
          <w:color w:val="auto"/>
        </w:rPr>
      </w:pPr>
      <w:r>
        <w:rPr>
          <w:rFonts w:ascii="Arial" w:cs="Arial" w:eastAsia="Arial" w:hAnsi="Arial"/>
          <w:sz w:val="22"/>
          <w:szCs w:val="22"/>
          <w:color w:val="auto"/>
        </w:rPr>
        <w:t>Employee is receiving payment and other consideration from Employer that Employee would not otherwise be entitled to in absence of this Agreement, and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14" w:name="page115"/>
    <w:bookmarkEnd w:id="114"/>
    <w:p>
      <w:pPr>
        <w:ind w:left="620" w:right="60"/>
        <w:spacing w:after="0" w:line="250" w:lineRule="auto"/>
        <w:rPr>
          <w:sz w:val="20"/>
          <w:szCs w:val="20"/>
          <w:color w:val="auto"/>
        </w:rPr>
      </w:pPr>
      <w:r>
        <w:rPr>
          <w:rFonts w:ascii="Arial" w:cs="Arial" w:eastAsia="Arial" w:hAnsi="Arial"/>
          <w:sz w:val="22"/>
          <w:szCs w:val="22"/>
          <w:color w:val="auto"/>
        </w:rPr>
        <w:t>further understands that if Employee does not execute this Agreement (including Exhibits A and B), or timely revokes Employee’s release provided in this Agreement or Exhibit A, Employer shall have no further obligation to pay or provide any of the payments or benefits provided in paragraph 3 of this Agreement, but all other terms of this Agreement shall remain in full force and effect.</w:t>
      </w:r>
    </w:p>
    <w:p>
      <w:pPr>
        <w:spacing w:after="0" w:line="215" w:lineRule="exact"/>
        <w:rPr>
          <w:sz w:val="20"/>
          <w:szCs w:val="20"/>
          <w:color w:val="auto"/>
        </w:rPr>
      </w:pPr>
    </w:p>
    <w:p>
      <w:pPr>
        <w:ind w:left="1920" w:hanging="656"/>
        <w:spacing w:after="0"/>
        <w:tabs>
          <w:tab w:leader="none" w:pos="1920" w:val="left"/>
        </w:tabs>
        <w:numPr>
          <w:ilvl w:val="1"/>
          <w:numId w:val="79"/>
        </w:numPr>
        <w:rPr>
          <w:rFonts w:ascii="Arial" w:cs="Arial" w:eastAsia="Arial" w:hAnsi="Arial"/>
          <w:sz w:val="19"/>
          <w:szCs w:val="19"/>
          <w:color w:val="auto"/>
        </w:rPr>
      </w:pPr>
      <w:r>
        <w:rPr>
          <w:rFonts w:ascii="Arial" w:cs="Arial" w:eastAsia="Arial" w:hAnsi="Arial"/>
          <w:sz w:val="19"/>
          <w:szCs w:val="19"/>
          <w:color w:val="auto"/>
        </w:rPr>
        <w:t>Employee is not waiving any rights or claims that may arise after the date this Agreement is executed.</w:t>
      </w:r>
    </w:p>
    <w:p>
      <w:pPr>
        <w:spacing w:after="0" w:line="281" w:lineRule="exact"/>
        <w:rPr>
          <w:rFonts w:ascii="Arial" w:cs="Arial" w:eastAsia="Arial" w:hAnsi="Arial"/>
          <w:sz w:val="19"/>
          <w:szCs w:val="19"/>
          <w:color w:val="auto"/>
        </w:rPr>
      </w:pPr>
    </w:p>
    <w:p>
      <w:pPr>
        <w:ind w:left="-40" w:right="40" w:firstLine="656"/>
        <w:spacing w:after="0" w:line="259" w:lineRule="auto"/>
        <w:tabs>
          <w:tab w:leader="none" w:pos="1248"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Tax Obligations.</w:t>
      </w:r>
      <w:r>
        <w:rPr>
          <w:rFonts w:ascii="Arial" w:cs="Arial" w:eastAsia="Arial" w:hAnsi="Arial"/>
          <w:sz w:val="21"/>
          <w:szCs w:val="21"/>
          <w:color w:val="auto"/>
        </w:rPr>
        <w:t xml:space="preserve"> Employee acknowledges that Employer has not given any advice as to the characterization of payments received under this Agreement for any personal tax responsibility such payments may generate. Should any taxing authority challenge Employee’s treatment or characterization of the payments, Employee acknowledges that Employer has no obligation whatsoever to indemnify, defend, aid, pay, or reimburse Employee for any underpayment, overpayment, penalty, or interest charge the taxing authority may assess against or claim is due from Employee. Without limiting the foregoing, Employee expressly acknowledges and agrees that all payments and benefits provided in this Agreement are subject to all applicable withholdings and deductions, and that Employer may deduct all such withholdings and deductions from the payments and benefits described in this Agreement.</w:t>
      </w:r>
    </w:p>
    <w:p>
      <w:pPr>
        <w:spacing w:after="0" w:line="210" w:lineRule="exact"/>
        <w:rPr>
          <w:rFonts w:ascii="Arial" w:cs="Arial" w:eastAsia="Arial" w:hAnsi="Arial"/>
          <w:sz w:val="21"/>
          <w:szCs w:val="21"/>
          <w:color w:val="auto"/>
        </w:rPr>
      </w:pPr>
    </w:p>
    <w:p>
      <w:pPr>
        <w:ind w:left="-40" w:firstLine="656"/>
        <w:spacing w:after="0" w:line="288" w:lineRule="auto"/>
        <w:tabs>
          <w:tab w:leader="none" w:pos="125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Confidentiality of Agreement.</w:t>
      </w:r>
      <w:r>
        <w:rPr>
          <w:rFonts w:ascii="Arial" w:cs="Arial" w:eastAsia="Arial" w:hAnsi="Arial"/>
          <w:sz w:val="19"/>
          <w:szCs w:val="19"/>
          <w:color w:val="auto"/>
        </w:rPr>
        <w:t xml:space="preserve"> Employee shall keep the existence and contents of this Agreement confidential and shall not disclose it or its terms to any third party, except for the purposes of enforcement, as a defense to any administrative or legal proceeding or as otherwise required by law. The terms of this paragraph shall not apply to such disclosures to Employee’s attorney, financial advisors, or spouse, or factual disclosures as may be required pursuant to court order or subpoena or as part of any EEOC proceedings. Employee further acknowledges that if a court of competent jurisdiction determines that Employee has breached this confidentiality provision, Employee shall, without prejudice to any other remedies Employer may have, be liable to pay liquidated damages to Employer in an amount equal to the payments described in paragraph 3 less one hundred dollars ($100.00). Employee and Employer acknowledge that in the event of a breach of this provision, the exact amount of damages suffered by Employer would be difficult to ascertain with certainty, and that the amount provided herein is reasonably proportionate to the amount of damages that would be suffered.</w:t>
      </w:r>
    </w:p>
    <w:p>
      <w:pPr>
        <w:spacing w:after="0" w:line="186" w:lineRule="exact"/>
        <w:rPr>
          <w:rFonts w:ascii="Arial" w:cs="Arial" w:eastAsia="Arial" w:hAnsi="Arial"/>
          <w:sz w:val="19"/>
          <w:szCs w:val="19"/>
          <w:color w:val="auto"/>
        </w:rPr>
      </w:pPr>
    </w:p>
    <w:p>
      <w:pPr>
        <w:ind w:left="-40" w:firstLine="656"/>
        <w:spacing w:after="0" w:line="247" w:lineRule="auto"/>
        <w:tabs>
          <w:tab w:leader="none" w:pos="125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Return of Company Property/Confidential Information</w:t>
      </w:r>
      <w:r>
        <w:rPr>
          <w:rFonts w:ascii="Arial" w:cs="Arial" w:eastAsia="Arial" w:hAnsi="Arial"/>
          <w:sz w:val="22"/>
          <w:szCs w:val="22"/>
          <w:color w:val="auto"/>
        </w:rPr>
        <w:t>. On the Separation Date, Employee shall return any and all Employer property, including, without limitation, any documents, records, communications, or similar visual or conceptual presentations of any type, and all duplicates and copies thereof, regardless of the form in which they exist or are stored, that contain any Employer trade secrets or confidential and proprietary information, including but not limited to, financial information, business and strategic plans, and other similar confidential materials or information, and any other equipment or other property that belongs to Employer.</w:t>
      </w:r>
    </w:p>
    <w:p>
      <w:pPr>
        <w:spacing w:after="0" w:line="220" w:lineRule="exact"/>
        <w:rPr>
          <w:sz w:val="20"/>
          <w:szCs w:val="20"/>
          <w:color w:val="auto"/>
        </w:rPr>
      </w:pPr>
    </w:p>
    <w:p>
      <w:pPr>
        <w:ind w:left="-40" w:firstLine="656"/>
        <w:spacing w:after="0" w:line="253" w:lineRule="auto"/>
        <w:tabs>
          <w:tab w:leader="none" w:pos="932"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Choice of Law/Venue.</w:t>
      </w:r>
      <w:r>
        <w:rPr>
          <w:rFonts w:ascii="Arial" w:cs="Arial" w:eastAsia="Arial" w:hAnsi="Arial"/>
          <w:sz w:val="22"/>
          <w:szCs w:val="22"/>
          <w:color w:val="auto"/>
        </w:rPr>
        <w:t xml:space="preserve"> This Agreement shall be governed by and construed in accordance with the laws of the State of New York, without regard to New York’s rules regarding choice of law. Any proceeding between the parties relating to this Agreement shall be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60"/>
          </w:cols>
          <w:pgMar w:left="360" w:top="1428" w:right="379" w:bottom="1440" w:gutter="0" w:footer="0" w:header="0"/>
        </w:sectPr>
      </w:pPr>
    </w:p>
    <w:bookmarkStart w:id="115" w:name="page116"/>
    <w:bookmarkEnd w:id="115"/>
    <w:p>
      <w:pPr>
        <w:ind w:right="240"/>
        <w:spacing w:after="0" w:line="263" w:lineRule="auto"/>
        <w:rPr>
          <w:sz w:val="20"/>
          <w:szCs w:val="20"/>
          <w:color w:val="auto"/>
        </w:rPr>
      </w:pPr>
      <w:r>
        <w:rPr>
          <w:rFonts w:ascii="Arial" w:cs="Arial" w:eastAsia="Arial" w:hAnsi="Arial"/>
          <w:sz w:val="22"/>
          <w:szCs w:val="22"/>
          <w:color w:val="auto"/>
        </w:rPr>
        <w:t>held in a court of competent jurisdiction in the State of New York. All parties agree to be subject to the personal jurisdiction of the courts of New York.</w:t>
      </w:r>
    </w:p>
    <w:p>
      <w:pPr>
        <w:spacing w:after="0" w:line="202" w:lineRule="exact"/>
        <w:rPr>
          <w:sz w:val="20"/>
          <w:szCs w:val="20"/>
          <w:color w:val="auto"/>
        </w:rPr>
      </w:pPr>
    </w:p>
    <w:p>
      <w:pPr>
        <w:ind w:right="60" w:firstLine="656"/>
        <w:spacing w:after="0" w:line="250" w:lineRule="auto"/>
        <w:tabs>
          <w:tab w:leader="none" w:pos="972"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The language of all parts of this Agreement shall be construed as a whole, according to its fair meaning and not strictly for or against either party. If any provision or part of this Agreement is deemed to be invalid or unenforceable for any reason, such provision or part shall be treated as if it were deleted from the Agreement and the remainder of the Agreement shall remain in full force and effect.</w:t>
      </w:r>
    </w:p>
    <w:p>
      <w:pPr>
        <w:spacing w:after="0" w:line="214" w:lineRule="exact"/>
        <w:rPr>
          <w:rFonts w:ascii="Arial" w:cs="Arial" w:eastAsia="Arial" w:hAnsi="Arial"/>
          <w:sz w:val="22"/>
          <w:szCs w:val="22"/>
          <w:color w:val="auto"/>
        </w:rPr>
      </w:pPr>
    </w:p>
    <w:p>
      <w:pPr>
        <w:ind w:right="340" w:firstLine="440"/>
        <w:spacing w:after="0" w:line="263" w:lineRule="auto"/>
        <w:tabs>
          <w:tab w:leader="none" w:pos="75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Any notice required to be given to either party under this Agreement shall be deemed effectively given when personally delivered or sent by certified or registered mail, postage prepaid, as follows:</w:t>
      </w:r>
    </w:p>
    <w:p>
      <w:pPr>
        <w:spacing w:after="0" w:line="202"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color w:val="auto"/>
        </w:rPr>
        <w:t>To Employer:</w:t>
        <w:tab/>
        <w:t>[ ]</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AngioDynamics, Inc.</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14 Plaza Drive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Latham, New York 12110</w:t>
      </w:r>
    </w:p>
    <w:p>
      <w:pPr>
        <w:spacing w:after="0" w:line="229"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color w:val="auto"/>
        </w:rPr>
        <w:t>To Employee:</w:t>
      </w:r>
      <w:r>
        <w:rPr>
          <w:sz w:val="20"/>
          <w:szCs w:val="20"/>
          <w:color w:val="auto"/>
        </w:rPr>
        <w:tab/>
      </w:r>
      <w:r>
        <w:rPr>
          <w:rFonts w:ascii="Arial" w:cs="Arial" w:eastAsia="Arial" w:hAnsi="Arial"/>
          <w:sz w:val="19"/>
          <w:szCs w:val="19"/>
          <w:color w:val="auto"/>
        </w:rPr>
        <w:t>At the last address listed in Employer’s records,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or to such other address as either party may designate by like notice. Any notice, consent, or</w:t>
      </w:r>
    </w:p>
    <w:p>
      <w:pPr>
        <w:spacing w:after="0" w:line="21"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other communication required or permitted to be given hereunder shall be deemed to have been given on the date of mailing or personal delivery.</w:t>
      </w:r>
    </w:p>
    <w:p>
      <w:pPr>
        <w:spacing w:after="0" w:line="219" w:lineRule="exact"/>
        <w:rPr>
          <w:sz w:val="20"/>
          <w:szCs w:val="20"/>
          <w:color w:val="auto"/>
        </w:rPr>
      </w:pPr>
    </w:p>
    <w:p>
      <w:pPr>
        <w:jc w:val="both"/>
        <w:ind w:right="240" w:firstLine="656"/>
        <w:spacing w:after="0" w:line="312" w:lineRule="auto"/>
        <w:tabs>
          <w:tab w:leader="none" w:pos="972"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Complete Defense.</w:t>
      </w:r>
      <w:r>
        <w:rPr>
          <w:rFonts w:ascii="Arial" w:cs="Arial" w:eastAsia="Arial" w:hAnsi="Arial"/>
          <w:sz w:val="19"/>
          <w:szCs w:val="19"/>
          <w:color w:val="auto"/>
        </w:rPr>
        <w:t xml:space="preserve"> Employee understands and agrees that this Agreement may be pled by Employer as a complete defense to any claim or entitlement which may be asserted by Employee, or on his/her behalf, in any suit, claim, or proceeding against Employer concerning any matter arising up to and including the date of execution of this Agreement.</w:t>
      </w:r>
    </w:p>
    <w:p>
      <w:pPr>
        <w:spacing w:after="0" w:line="160" w:lineRule="exact"/>
        <w:rPr>
          <w:rFonts w:ascii="Arial" w:cs="Arial" w:eastAsia="Arial" w:hAnsi="Arial"/>
          <w:sz w:val="19"/>
          <w:szCs w:val="19"/>
          <w:color w:val="auto"/>
        </w:rPr>
      </w:pPr>
    </w:p>
    <w:p>
      <w:pPr>
        <w:ind w:firstLine="440"/>
        <w:spacing w:after="0" w:line="312" w:lineRule="auto"/>
        <w:tabs>
          <w:tab w:leader="none" w:pos="75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Employee represents and warrants that Employee has not taken action contrary to the terms of this Agreement from the date of this Agreement to the date Employee executes this Agreement. Any such action contrary to the terms of this Agreement will void the terms of this Agreement and Employee will not be entitled to the benefits described herein.</w:t>
      </w:r>
    </w:p>
    <w:p>
      <w:pPr>
        <w:spacing w:after="0" w:line="160" w:lineRule="exact"/>
        <w:rPr>
          <w:rFonts w:ascii="Arial" w:cs="Arial" w:eastAsia="Arial" w:hAnsi="Arial"/>
          <w:sz w:val="19"/>
          <w:szCs w:val="19"/>
          <w:color w:val="auto"/>
        </w:rPr>
      </w:pPr>
    </w:p>
    <w:p>
      <w:pPr>
        <w:ind w:right="120" w:firstLine="440"/>
        <w:spacing w:after="0" w:line="292" w:lineRule="auto"/>
        <w:tabs>
          <w:tab w:leader="none" w:pos="75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Continuing Validity of Confidential Information and Invention Assignment Agreement.</w:t>
      </w:r>
      <w:r>
        <w:rPr>
          <w:rFonts w:ascii="Arial" w:cs="Arial" w:eastAsia="Arial" w:hAnsi="Arial"/>
          <w:sz w:val="19"/>
          <w:szCs w:val="19"/>
          <w:color w:val="auto"/>
        </w:rPr>
        <w:t xml:space="preserve"> Employee acknowledges that nothing in this Agreement negates Employee’s past and continuing obligations under the “Confidentiality Agreement” executed by Employee and attached as Exhibit C, and that the Confidentiality Agreement remains in full force and effect, provided, however, that the provisions governing working for a conflicting organization and covenants not to compete contained in this Agreement and in Exhibit B shall govern and control over such provisions set forth in Exhibit C to the extent that the provisions in this Agreement and in Exhibit B are more favorable to Employer. For the avoidance of doubt, the terms and conditions of Section 6 of Exhibit C shall be superseded by this Agreement and Exhibit B.</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428" w:right="379" w:bottom="1440" w:gutter="0" w:footer="0" w:header="0"/>
        </w:sectPr>
      </w:pPr>
    </w:p>
    <w:bookmarkStart w:id="116" w:name="page117"/>
    <w:bookmarkEnd w:id="116"/>
    <w:p>
      <w:pPr>
        <w:spacing w:after="0" w:line="231" w:lineRule="exact"/>
        <w:rPr>
          <w:sz w:val="20"/>
          <w:szCs w:val="20"/>
          <w:color w:val="auto"/>
        </w:rPr>
      </w:pPr>
    </w:p>
    <w:p>
      <w:pPr>
        <w:ind w:firstLine="440"/>
        <w:spacing w:after="0" w:line="312" w:lineRule="auto"/>
        <w:tabs>
          <w:tab w:leader="none" w:pos="756"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Complete Agreement.</w:t>
      </w:r>
      <w:r>
        <w:rPr>
          <w:rFonts w:ascii="Arial" w:cs="Arial" w:eastAsia="Arial" w:hAnsi="Arial"/>
          <w:sz w:val="19"/>
          <w:szCs w:val="19"/>
          <w:color w:val="auto"/>
        </w:rPr>
        <w:t xml:space="preserve"> This signed Agreement, and its attached Exhibits A, B, and C, sets forth the entire Agreement between Employer and Employee and supersedes any and all prior agreements and understandings, whether oral or written, with respect to the subject matter herein and therein. This Agreement may not be modified except by a writing signed by both parties.</w:t>
      </w:r>
    </w:p>
    <w:p>
      <w:pPr>
        <w:spacing w:after="0" w:line="160" w:lineRule="exact"/>
        <w:rPr>
          <w:rFonts w:ascii="Arial" w:cs="Arial" w:eastAsia="Arial" w:hAnsi="Arial"/>
          <w:sz w:val="19"/>
          <w:szCs w:val="19"/>
          <w:color w:val="auto"/>
        </w:rPr>
      </w:pPr>
    </w:p>
    <w:p>
      <w:pPr>
        <w:ind w:left="524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  ______________________________________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Subscribed and sworn to before 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this _____ day of ______, 20__</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ANGIODYNAMICS,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  By: ____________________________________</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20"/>
          </w:cols>
          <w:pgMar w:left="320" w:top="1440" w:right="45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20" w:lineRule="exact"/>
        <w:rPr>
          <w:sz w:val="20"/>
          <w:szCs w:val="20"/>
          <w:color w:val="auto"/>
        </w:rPr>
      </w:pPr>
    </w:p>
    <w:p>
      <w:pPr>
        <w:ind w:left="340" w:right="160" w:hanging="332"/>
        <w:spacing w:after="0" w:line="250" w:lineRule="auto"/>
        <w:tabs>
          <w:tab w:leader="none" w:pos="3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 [NAME], hereby execute this General Release as of the date set forth below. Capitalized terms used but not defined in this General Release shall have the meanings set forth in the Separation Agreement and General Release (the “Separation Agreement”) to which this General Release is attached as Exhibit A.</w:t>
      </w:r>
    </w:p>
    <w:p>
      <w:pPr>
        <w:spacing w:after="0" w:line="212"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 hereby extend my release of Claims set forth in paragraph 7 of the Separation Agreement to cover all Claims I have ever had, have, or hereafter may have against any Released Party, directly or indirectly, whether known or unknown, from the beginning of time to the date of this General Release.</w:t>
      </w:r>
    </w:p>
    <w:p>
      <w:pPr>
        <w:spacing w:after="0" w:line="212" w:lineRule="exact"/>
        <w:rPr>
          <w:rFonts w:ascii="Arial" w:cs="Arial" w:eastAsia="Arial" w:hAnsi="Arial"/>
          <w:sz w:val="20"/>
          <w:szCs w:val="20"/>
          <w:color w:val="auto"/>
        </w:rPr>
      </w:pPr>
    </w:p>
    <w:p>
      <w:pPr>
        <w:ind w:left="340" w:hanging="332"/>
        <w:spacing w:after="0" w:line="243" w:lineRule="auto"/>
        <w:tabs>
          <w:tab w:leader="none" w:pos="3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My foregoing release shall not apply to the extent prohibited by law or to my right to enforce the terms of paragraph 3 of the Separation Agreement; it being understood and agreed that the payments and benefits set forth in such paragraph 3 are expressly contingent upon my satisfaction of the Conditions, and if the Conditions are at any time not satisfied (including, without limitation, because I fail to timely sign this General Release, or revoke my release provided herein), Employer shall have no further obligation to pay or provide any of the payments or benefits provided in paragraph 3 of the Separation Agreement, but all other terms of the Separation Agreement shall remain in full force and effect.</w:t>
      </w:r>
    </w:p>
    <w:p>
      <w:pPr>
        <w:spacing w:after="0" w:line="222" w:lineRule="exact"/>
        <w:rPr>
          <w:rFonts w:ascii="Arial" w:cs="Arial" w:eastAsia="Arial" w:hAnsi="Arial"/>
          <w:sz w:val="20"/>
          <w:szCs w:val="20"/>
          <w:color w:val="auto"/>
        </w:rPr>
      </w:pPr>
    </w:p>
    <w:p>
      <w:pPr>
        <w:ind w:left="340" w:right="60" w:hanging="332"/>
        <w:spacing w:after="0" w:line="243" w:lineRule="auto"/>
        <w:tabs>
          <w:tab w:leader="none" w:pos="3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Except as provided in paragraph 5 below, I represent and warrant that I have not filed and will not file any claim, charge, or lawsuit (civil, administrative, or criminal) against any Released Party, either individually in any type of proceeding or as a member of a class, based upon acts, occurrences, or events which are subject to my release in paragraph 2 above. If I breach this provision and file an action falling within its scope, I agree to indemnify the Released Parties for all costs, including court costs and reasonable attorneys’ fees, incurred by any Released Party in the defense of such action or in establishing or maintaining the application or validity of this General Release or the provisions thereof.</w:t>
      </w:r>
    </w:p>
    <w:p>
      <w:pPr>
        <w:spacing w:after="0" w:line="222"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 understand that nothing in this General Release prevents me from filing a charge with the EEOC or participating in any investigation or proceeding conducted by the EEOC. However, I understand and agree that I am waiving any entitlement or right to recover any monetary or other personal relief as a result of any such EEOC proceeding.</w:t>
      </w:r>
    </w:p>
    <w:p>
      <w:pPr>
        <w:spacing w:after="0" w:line="212" w:lineRule="exact"/>
        <w:rPr>
          <w:rFonts w:ascii="Arial" w:cs="Arial" w:eastAsia="Arial" w:hAnsi="Arial"/>
          <w:sz w:val="20"/>
          <w:szCs w:val="20"/>
          <w:color w:val="auto"/>
        </w:rPr>
      </w:pPr>
    </w:p>
    <w:p>
      <w:pPr>
        <w:ind w:left="340" w:hanging="332"/>
        <w:spacing w:after="0"/>
        <w:tabs>
          <w:tab w:leader="none" w:pos="3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 hereby confirm that I am in full compliance with all terms and conditions of the Separation Agreement (including Exhibit B).</w:t>
      </w:r>
    </w:p>
    <w:p>
      <w:pPr>
        <w:spacing w:after="0" w:line="254" w:lineRule="exact"/>
        <w:rPr>
          <w:rFonts w:ascii="Arial" w:cs="Arial" w:eastAsia="Arial" w:hAnsi="Arial"/>
          <w:sz w:val="19"/>
          <w:szCs w:val="19"/>
          <w:color w:val="auto"/>
        </w:rPr>
      </w:pPr>
    </w:p>
    <w:p>
      <w:pPr>
        <w:ind w:left="340" w:hanging="332"/>
        <w:spacing w:after="0"/>
        <w:tabs>
          <w:tab w:leader="none" w:pos="3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 acknowledge and agree that in accordance with the terms of ADEA, as amended by the Older Workers Benefit Protection Act:</w:t>
      </w:r>
    </w:p>
    <w:p>
      <w:pPr>
        <w:spacing w:after="0" w:line="254" w:lineRule="exact"/>
        <w:rPr>
          <w:rFonts w:ascii="Arial" w:cs="Arial" w:eastAsia="Arial" w:hAnsi="Arial"/>
          <w:sz w:val="19"/>
          <w:szCs w:val="19"/>
          <w:color w:val="auto"/>
        </w:rPr>
      </w:pPr>
    </w:p>
    <w:p>
      <w:pPr>
        <w:ind w:left="660" w:right="460" w:hanging="432"/>
        <w:spacing w:after="0" w:line="247" w:lineRule="auto"/>
        <w:tabs>
          <w:tab w:leader="none" w:pos="660" w:val="left"/>
        </w:tabs>
        <w:numPr>
          <w:ilvl w:val="1"/>
          <w:numId w:val="87"/>
        </w:numPr>
        <w:rPr>
          <w:rFonts w:ascii="Arial" w:cs="Arial" w:eastAsia="Arial" w:hAnsi="Arial"/>
          <w:sz w:val="20"/>
          <w:szCs w:val="20"/>
          <w:color w:val="auto"/>
        </w:rPr>
      </w:pPr>
      <w:r>
        <w:rPr>
          <w:rFonts w:ascii="Arial" w:cs="Arial" w:eastAsia="Arial" w:hAnsi="Arial"/>
          <w:sz w:val="20"/>
          <w:szCs w:val="20"/>
          <w:color w:val="auto"/>
        </w:rPr>
        <w:t>I have read and understand this General Release and knowingly and voluntarily entered into this General Release without fraud, duress, or any undue influence.</w:t>
      </w:r>
    </w:p>
    <w:p>
      <w:pPr>
        <w:spacing w:after="0" w:line="1" w:lineRule="exact"/>
        <w:rPr>
          <w:rFonts w:ascii="Arial" w:cs="Arial" w:eastAsia="Arial" w:hAnsi="Arial"/>
          <w:sz w:val="20"/>
          <w:szCs w:val="20"/>
          <w:color w:val="auto"/>
        </w:rPr>
      </w:pPr>
    </w:p>
    <w:p>
      <w:pPr>
        <w:ind w:left="660" w:right="140" w:hanging="487"/>
        <w:spacing w:after="0" w:line="239" w:lineRule="auto"/>
        <w:tabs>
          <w:tab w:leader="none" w:pos="660" w:val="left"/>
        </w:tabs>
        <w:numPr>
          <w:ilvl w:val="1"/>
          <w:numId w:val="87"/>
        </w:numPr>
        <w:rPr>
          <w:rFonts w:ascii="Arial" w:cs="Arial" w:eastAsia="Arial" w:hAnsi="Arial"/>
          <w:sz w:val="20"/>
          <w:szCs w:val="20"/>
          <w:color w:val="auto"/>
        </w:rPr>
      </w:pPr>
      <w:r>
        <w:rPr>
          <w:rFonts w:ascii="Arial" w:cs="Arial" w:eastAsia="Arial" w:hAnsi="Arial"/>
          <w:sz w:val="20"/>
          <w:szCs w:val="20"/>
          <w:color w:val="auto"/>
        </w:rPr>
        <w:t>I acknowledge that by this General Release, Employer advised me in writing to consult with an attorney before signing this General Release.</w:t>
      </w:r>
    </w:p>
    <w:p>
      <w:pPr>
        <w:ind w:left="660" w:right="140" w:hanging="542"/>
        <w:spacing w:after="0" w:line="244" w:lineRule="auto"/>
        <w:tabs>
          <w:tab w:leader="none" w:pos="660" w:val="left"/>
        </w:tabs>
        <w:numPr>
          <w:ilvl w:val="1"/>
          <w:numId w:val="87"/>
        </w:numPr>
        <w:rPr>
          <w:rFonts w:ascii="Arial" w:cs="Arial" w:eastAsia="Arial" w:hAnsi="Arial"/>
          <w:sz w:val="20"/>
          <w:szCs w:val="20"/>
          <w:color w:val="auto"/>
        </w:rPr>
      </w:pPr>
      <w:r>
        <w:rPr>
          <w:rFonts w:ascii="Arial" w:cs="Arial" w:eastAsia="Arial" w:hAnsi="Arial"/>
          <w:sz w:val="20"/>
          <w:szCs w:val="20"/>
          <w:color w:val="auto"/>
        </w:rPr>
        <w:t>I understand the language of this General Release and its meaning, particularly with respect to my waiver and release of any Claims against the Released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22" w:right="339" w:bottom="1440" w:gutter="0" w:footer="0" w:header="0"/>
        </w:sectPr>
      </w:pPr>
    </w:p>
    <w:bookmarkStart w:id="118" w:name="page119"/>
    <w:bookmarkEnd w:id="118"/>
    <w:p>
      <w:pPr>
        <w:ind w:left="660" w:right="40" w:hanging="531"/>
        <w:spacing w:after="0" w:line="220" w:lineRule="auto"/>
        <w:tabs>
          <w:tab w:leader="none" w:pos="647" w:val="left"/>
        </w:tabs>
        <w:numPr>
          <w:ilvl w:val="1"/>
          <w:numId w:val="88"/>
        </w:numPr>
        <w:rPr>
          <w:rFonts w:ascii="Arial" w:cs="Arial" w:eastAsia="Arial" w:hAnsi="Arial"/>
          <w:sz w:val="20"/>
          <w:szCs w:val="20"/>
          <w:color w:val="auto"/>
        </w:rPr>
      </w:pPr>
      <w:r>
        <w:rPr>
          <w:rFonts w:ascii="Arial" w:cs="Arial" w:eastAsia="Arial" w:hAnsi="Arial"/>
          <w:sz w:val="20"/>
          <w:szCs w:val="20"/>
          <w:color w:val="auto"/>
        </w:rPr>
        <w:t>I have been afforded [twenty-one (21)][forty-five (45)]</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days to consider the terms of this General Release, but may voluntarily elect to sign this General Release in a shorter period of time.</w:t>
      </w:r>
    </w:p>
    <w:p>
      <w:pPr>
        <w:ind w:left="660" w:right="240" w:hanging="477"/>
        <w:spacing w:after="0" w:line="248" w:lineRule="auto"/>
        <w:tabs>
          <w:tab w:leader="none" w:pos="647" w:val="left"/>
        </w:tabs>
        <w:numPr>
          <w:ilvl w:val="1"/>
          <w:numId w:val="88"/>
        </w:numPr>
        <w:rPr>
          <w:rFonts w:ascii="Arial" w:cs="Arial" w:eastAsia="Arial" w:hAnsi="Arial"/>
          <w:sz w:val="18"/>
          <w:szCs w:val="18"/>
          <w:color w:val="auto"/>
        </w:rPr>
      </w:pPr>
      <w:r>
        <w:rPr>
          <w:rFonts w:ascii="Arial" w:cs="Arial" w:eastAsia="Arial" w:hAnsi="Arial"/>
          <w:sz w:val="18"/>
          <w:szCs w:val="18"/>
          <w:color w:val="auto"/>
        </w:rPr>
        <w:t>I have seven (7) days following the execution of this General Release to revoke my release of Claims provided in this General Release, and such release will not become effective or enforceable until the seven (7) day period has expired. I may revoke such release by ensuring written notice of revocation is received by Employer by 5 p.m. on the seventh (7</w:t>
      </w:r>
      <w:r>
        <w:rPr>
          <w:rFonts w:ascii="Arial" w:cs="Arial" w:eastAsia="Arial" w:hAnsi="Arial"/>
          <w:sz w:val="23"/>
          <w:szCs w:val="23"/>
          <w:color w:val="auto"/>
          <w:vertAlign w:val="superscript"/>
        </w:rPr>
        <w:t>th</w:t>
      </w:r>
      <w:r>
        <w:rPr>
          <w:rFonts w:ascii="Arial" w:cs="Arial" w:eastAsia="Arial" w:hAnsi="Arial"/>
          <w:sz w:val="18"/>
          <w:szCs w:val="18"/>
          <w:color w:val="auto"/>
        </w:rPr>
        <w:t>) calendar day following the execution of this General Release in accordance with paragraph 20 of the Separation Agreement.</w:t>
      </w:r>
    </w:p>
    <w:p>
      <w:pPr>
        <w:spacing w:after="0" w:line="3" w:lineRule="exact"/>
        <w:rPr>
          <w:rFonts w:ascii="Arial" w:cs="Arial" w:eastAsia="Arial" w:hAnsi="Arial"/>
          <w:sz w:val="18"/>
          <w:szCs w:val="18"/>
          <w:color w:val="auto"/>
        </w:rPr>
      </w:pPr>
    </w:p>
    <w:p>
      <w:pPr>
        <w:jc w:val="both"/>
        <w:ind w:left="660" w:right="80" w:hanging="531"/>
        <w:spacing w:after="0" w:line="266" w:lineRule="auto"/>
        <w:tabs>
          <w:tab w:leader="none" w:pos="660" w:val="left"/>
        </w:tabs>
        <w:numPr>
          <w:ilvl w:val="2"/>
          <w:numId w:val="88"/>
        </w:numPr>
        <w:rPr>
          <w:rFonts w:ascii="Arial" w:cs="Arial" w:eastAsia="Arial" w:hAnsi="Arial"/>
          <w:sz w:val="18"/>
          <w:szCs w:val="18"/>
          <w:color w:val="auto"/>
        </w:rPr>
      </w:pPr>
      <w:r>
        <w:rPr>
          <w:rFonts w:ascii="Arial" w:cs="Arial" w:eastAsia="Arial" w:hAnsi="Arial"/>
          <w:sz w:val="18"/>
          <w:szCs w:val="18"/>
          <w:color w:val="auto"/>
        </w:rPr>
        <w:t>I am receiving payment and other consideration from Employer that I would not otherwise be entitled to in absence of this General Release and further understand that if I do not execute this General Release, or timely revoke my release of Claims provided in this General Release, Employer shall have no further obligation to pay or provide any of the payments or benefits provided in paragraph 3 of the Separation Agreement, but all other terms of the Separation Agreement shall remain in full force and effect.</w:t>
      </w:r>
    </w:p>
    <w:p>
      <w:pPr>
        <w:ind w:left="660" w:hanging="586"/>
        <w:spacing w:after="0"/>
        <w:tabs>
          <w:tab w:leader="none" w:pos="660" w:val="left"/>
        </w:tabs>
        <w:numPr>
          <w:ilvl w:val="2"/>
          <w:numId w:val="88"/>
        </w:numPr>
        <w:rPr>
          <w:rFonts w:ascii="Arial" w:cs="Arial" w:eastAsia="Arial" w:hAnsi="Arial"/>
          <w:sz w:val="20"/>
          <w:szCs w:val="20"/>
          <w:color w:val="auto"/>
        </w:rPr>
      </w:pPr>
      <w:r>
        <w:rPr>
          <w:rFonts w:ascii="Arial" w:cs="Arial" w:eastAsia="Arial" w:hAnsi="Arial"/>
          <w:sz w:val="20"/>
          <w:szCs w:val="20"/>
          <w:color w:val="auto"/>
        </w:rPr>
        <w:t>I am not waiving any rights or claims that may arise after the date this General Release is executed.</w:t>
      </w:r>
    </w:p>
    <w:p>
      <w:pPr>
        <w:spacing w:after="0" w:line="226" w:lineRule="exact"/>
        <w:rPr>
          <w:rFonts w:ascii="Arial" w:cs="Arial" w:eastAsia="Arial" w:hAnsi="Arial"/>
          <w:sz w:val="20"/>
          <w:szCs w:val="20"/>
          <w:color w:val="auto"/>
        </w:rPr>
      </w:pPr>
    </w:p>
    <w:p>
      <w:pPr>
        <w:ind w:left="340" w:hanging="332"/>
        <w:spacing w:after="0" w:line="291"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General Release shall be governed by and construed in accordance with the laws of the State of New York, without regard to New York’s rules regarding choice of law. Any proceeding relating to this General Release shall be held in a court of competent jurisdiction in the State of New York. I hereby agree to be subject to the personal jurisdiction of the courts of New York.</w:t>
      </w:r>
    </w:p>
    <w:p>
      <w:pPr>
        <w:spacing w:after="0" w:line="178" w:lineRule="exact"/>
        <w:rPr>
          <w:rFonts w:ascii="Arial" w:cs="Arial" w:eastAsia="Arial" w:hAnsi="Arial"/>
          <w:sz w:val="18"/>
          <w:szCs w:val="18"/>
          <w:color w:val="auto"/>
        </w:rPr>
      </w:pPr>
    </w:p>
    <w:p>
      <w:pPr>
        <w:ind w:left="5280"/>
        <w:spacing w:after="0"/>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[NAME] has signed this General Release on this ____ day of ___________, 20__.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(not to be signed until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9" w:lineRule="exact"/>
        <w:rPr>
          <w:sz w:val="20"/>
          <w:szCs w:val="20"/>
          <w:color w:val="auto"/>
        </w:rPr>
      </w:pPr>
    </w:p>
    <w:p>
      <w:pPr>
        <w:ind w:right="260" w:firstLine="8"/>
        <w:spacing w:after="0" w:line="227" w:lineRule="auto"/>
        <w:tabs>
          <w:tab w:leader="none" w:pos="103" w:val="left"/>
        </w:tabs>
        <w:numPr>
          <w:ilvl w:val="0"/>
          <w:numId w:val="90"/>
        </w:numPr>
        <w:rPr>
          <w:rFonts w:ascii="Arial" w:cs="Arial" w:eastAsia="Arial" w:hAnsi="Arial"/>
          <w:sz w:val="23"/>
          <w:szCs w:val="23"/>
          <w:color w:val="auto"/>
          <w:vertAlign w:val="superscript"/>
        </w:rPr>
      </w:pPr>
      <w:r>
        <w:rPr>
          <w:rFonts w:ascii="Arial" w:cs="Arial" w:eastAsia="Arial" w:hAnsi="Arial"/>
          <w:sz w:val="18"/>
          <w:szCs w:val="18"/>
          <w:color w:val="auto"/>
        </w:rPr>
        <w:t>To be selected based on whether applicable termination was “in connection with an exit incentive or other employment termination program” (as such phrase is defined in the Age Discrimination in Employment Act of 1967).</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180"/>
          </w:cols>
          <w:pgMar w:left="320" w:top="1419" w:right="39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ANGIODYNAMICS,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NON-COMPETITION AND NON-SOLICITATION AGREEMENT</w:t>
      </w:r>
    </w:p>
    <w:p>
      <w:pPr>
        <w:spacing w:after="0" w:line="200" w:lineRule="exact"/>
        <w:rPr>
          <w:sz w:val="20"/>
          <w:szCs w:val="20"/>
          <w:color w:val="auto"/>
        </w:rPr>
      </w:pPr>
    </w:p>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Non-Competition and Non-Solicitation Agreement (“Agreement”) is made by and between AngioDynamics, Inc. (the “Company”), and [NAME] (“Employee”).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Employee has agreed to enter into a release of claims in favor of the Company as further described in the Separation Agreement and General Release, by and between the Company and Employee (the “Separation Agreement”), to which this Agreement is attached as Exhibit B .</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in consideration of the mutual promises made herein, the parties hereby agree as follows:</w:t>
      </w:r>
    </w:p>
    <w:p>
      <w:pPr>
        <w:spacing w:after="0" w:line="241" w:lineRule="exact"/>
        <w:rPr>
          <w:sz w:val="20"/>
          <w:szCs w:val="20"/>
          <w:color w:val="auto"/>
        </w:rPr>
      </w:pPr>
    </w:p>
    <w:p>
      <w:pPr>
        <w:ind w:left="380" w:hanging="372"/>
        <w:spacing w:after="0"/>
        <w:tabs>
          <w:tab w:leader="none" w:pos="380" w:val="left"/>
        </w:tabs>
        <w:numPr>
          <w:ilvl w:val="0"/>
          <w:numId w:val="91"/>
        </w:numPr>
        <w:rPr>
          <w:rFonts w:ascii="Arial" w:cs="Arial" w:eastAsia="Arial" w:hAnsi="Arial"/>
          <w:sz w:val="22"/>
          <w:szCs w:val="22"/>
          <w:color w:val="auto"/>
        </w:rPr>
      </w:pPr>
      <w:r>
        <w:rPr>
          <w:rFonts w:ascii="Arial" w:cs="Arial" w:eastAsia="Arial" w:hAnsi="Arial"/>
          <w:sz w:val="22"/>
          <w:szCs w:val="22"/>
          <w:b w:val="1"/>
          <w:bCs w:val="1"/>
          <w:color w:val="auto"/>
        </w:rPr>
        <w:t>Terms used in this Agreement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420" w:right="680" w:hanging="331"/>
        <w:spacing w:after="0" w:line="263" w:lineRule="auto"/>
        <w:tabs>
          <w:tab w:leader="none" w:pos="408"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AngioDynamics</w:t>
      </w:r>
      <w:r>
        <w:rPr>
          <w:rFonts w:ascii="Arial" w:cs="Arial" w:eastAsia="Arial" w:hAnsi="Arial"/>
          <w:sz w:val="22"/>
          <w:szCs w:val="22"/>
          <w:color w:val="auto"/>
        </w:rPr>
        <w:t xml:space="preserve"> means AngioDynamics, Inc., its successors or assigns, and any of their existing and future divisions, subsidiaries, and affiliates.</w:t>
      </w:r>
    </w:p>
    <w:p>
      <w:pPr>
        <w:spacing w:after="0" w:line="174" w:lineRule="exact"/>
        <w:rPr>
          <w:rFonts w:ascii="Arial" w:cs="Arial" w:eastAsia="Arial" w:hAnsi="Arial"/>
          <w:sz w:val="22"/>
          <w:szCs w:val="22"/>
          <w:color w:val="auto"/>
        </w:rPr>
      </w:pPr>
    </w:p>
    <w:p>
      <w:pPr>
        <w:ind w:left="420" w:right="60" w:hanging="331"/>
        <w:spacing w:after="0" w:line="259" w:lineRule="auto"/>
        <w:tabs>
          <w:tab w:leader="none" w:pos="420"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xml:space="preserve"> means all trade secrets, proprietary information, know-how, and confidential information disclosed to Employee or known by Employee as a result of Employee’s employment by AngioDynamics, not generally known in the trade or industry in which AngioDynamics is engaged, about AngioDynamics’ business operations, customers, suppliers, products, processes, machines, systems, and services, including research, development, manufacturing, purchasing, finance, data processing, engineering, marketing, designs, concepts, know-how, merchandising, and selling, and corresponding information about the products, processes, machines, and services of AngioDynamics, acquired by Employee during Employee’s employment by AngioDynamics. The fact that information is not patentable or copyrightable shall not affect its status as Confidential Information.</w:t>
      </w:r>
    </w:p>
    <w:p>
      <w:pPr>
        <w:spacing w:after="0" w:line="183" w:lineRule="exact"/>
        <w:rPr>
          <w:rFonts w:ascii="Arial" w:cs="Arial" w:eastAsia="Arial" w:hAnsi="Arial"/>
          <w:sz w:val="21"/>
          <w:szCs w:val="21"/>
          <w:color w:val="auto"/>
        </w:rPr>
      </w:pPr>
    </w:p>
    <w:p>
      <w:pPr>
        <w:ind w:left="420" w:right="60" w:hanging="331"/>
        <w:spacing w:after="0" w:line="259" w:lineRule="auto"/>
        <w:tabs>
          <w:tab w:leader="none" w:pos="408"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Conflicting Product</w:t>
      </w:r>
      <w:r>
        <w:rPr>
          <w:rFonts w:ascii="Arial" w:cs="Arial" w:eastAsia="Arial" w:hAnsi="Arial"/>
          <w:sz w:val="21"/>
          <w:szCs w:val="21"/>
          <w:color w:val="auto"/>
        </w:rPr>
        <w:t xml:space="preserve"> means any product, process, machine, or service of any person or organization other than AngioDynamics, whether now existing or hereafter developed: (i) which is identical to, substantially the same as, an adequate substitute for, resembles, or competes with a product, process, machine, system, or service upon or with which Employee worked during Employee’s term of employment with AngioDynamics or about which Employee acquired Confidential Information; or (ii) whose use or marketability could be enhanced by application to it of Confidential Information to which Employee had access during Employee’s employment with AngioDynamics; or (iii) which is (or could reasonably be anticipated to be) marketed or distributed in such a manner and in such a geographic area as to actually compete with such a product, process, machine, or service of AngioDynamics.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40"/>
          </w:cols>
          <w:pgMar w:left="320" w:top="1422" w:right="339" w:bottom="1440" w:gutter="0" w:footer="0" w:header="0"/>
        </w:sectPr>
      </w:pPr>
    </w:p>
    <w:bookmarkStart w:id="120" w:name="page121"/>
    <w:bookmarkEnd w:id="120"/>
    <w:p>
      <w:pPr>
        <w:ind w:left="520" w:right="560" w:hanging="331"/>
        <w:spacing w:after="0" w:line="253" w:lineRule="auto"/>
        <w:tabs>
          <w:tab w:leader="none" w:pos="520" w:val="left"/>
        </w:tabs>
        <w:numPr>
          <w:ilvl w:val="2"/>
          <w:numId w:val="92"/>
        </w:numPr>
        <w:rPr>
          <w:rFonts w:ascii="Arial" w:cs="Arial" w:eastAsia="Arial" w:hAnsi="Arial"/>
          <w:sz w:val="22"/>
          <w:szCs w:val="22"/>
          <w:color w:val="auto"/>
        </w:rPr>
      </w:pPr>
      <w:r>
        <w:rPr>
          <w:rFonts w:ascii="Arial" w:cs="Arial" w:eastAsia="Arial" w:hAnsi="Arial"/>
          <w:sz w:val="22"/>
          <w:szCs w:val="22"/>
          <w:u w:val="single" w:color="auto"/>
          <w:color w:val="auto"/>
        </w:rPr>
        <w:t>Conflicting Organization</w:t>
      </w:r>
      <w:r>
        <w:rPr>
          <w:rFonts w:ascii="Arial" w:cs="Arial" w:eastAsia="Arial" w:hAnsi="Arial"/>
          <w:sz w:val="22"/>
          <w:szCs w:val="22"/>
          <w:color w:val="auto"/>
        </w:rPr>
        <w:t xml:space="preserve"> means any person or organization, which is now or hereafter engaged directly or indirectly in research on or the acquisition, development, production, distribution, marketing, providing, or selling of a Conflicting Product.</w:t>
      </w:r>
    </w:p>
    <w:p>
      <w:pPr>
        <w:spacing w:after="0" w:line="185" w:lineRule="exact"/>
        <w:rPr>
          <w:rFonts w:ascii="Arial" w:cs="Arial" w:eastAsia="Arial" w:hAnsi="Arial"/>
          <w:sz w:val="22"/>
          <w:szCs w:val="22"/>
          <w:color w:val="auto"/>
        </w:rPr>
      </w:pPr>
    </w:p>
    <w:p>
      <w:pPr>
        <w:ind w:left="500" w:hanging="311"/>
        <w:spacing w:after="0"/>
        <w:tabs>
          <w:tab w:leader="none" w:pos="500" w:val="left"/>
        </w:tabs>
        <w:numPr>
          <w:ilvl w:val="2"/>
          <w:numId w:val="92"/>
        </w:numPr>
        <w:rPr>
          <w:rFonts w:ascii="Arial" w:cs="Arial" w:eastAsia="Arial" w:hAnsi="Arial"/>
          <w:sz w:val="22"/>
          <w:szCs w:val="22"/>
          <w:color w:val="auto"/>
        </w:rPr>
      </w:pPr>
      <w:r>
        <w:rPr>
          <w:rFonts w:ascii="Arial" w:cs="Arial" w:eastAsia="Arial" w:hAnsi="Arial"/>
          <w:sz w:val="22"/>
          <w:szCs w:val="22"/>
          <w:color w:val="auto"/>
        </w:rPr>
        <w:t>Terms not defined herein shall have the meaning ascribed to such terms in the Separation Agreement.</w:t>
      </w:r>
    </w:p>
    <w:p>
      <w:pPr>
        <w:spacing w:after="0" w:line="213" w:lineRule="exact"/>
        <w:rPr>
          <w:rFonts w:ascii="Arial" w:cs="Arial" w:eastAsia="Arial" w:hAnsi="Arial"/>
          <w:sz w:val="22"/>
          <w:szCs w:val="22"/>
          <w:color w:val="auto"/>
        </w:rPr>
      </w:pPr>
    </w:p>
    <w:p>
      <w:pPr>
        <w:ind w:left="440" w:hanging="332"/>
        <w:spacing w:after="0"/>
        <w:tabs>
          <w:tab w:leader="none" w:pos="440" w:val="left"/>
        </w:tabs>
        <w:numPr>
          <w:ilvl w:val="1"/>
          <w:numId w:val="93"/>
        </w:numPr>
        <w:rPr>
          <w:rFonts w:ascii="Arial" w:cs="Arial" w:eastAsia="Arial" w:hAnsi="Arial"/>
          <w:sz w:val="22"/>
          <w:szCs w:val="22"/>
          <w:color w:val="auto"/>
        </w:rPr>
      </w:pPr>
      <w:r>
        <w:rPr>
          <w:rFonts w:ascii="Arial" w:cs="Arial" w:eastAsia="Arial" w:hAnsi="Arial"/>
          <w:sz w:val="22"/>
          <w:szCs w:val="22"/>
          <w:b w:val="1"/>
          <w:bCs w:val="1"/>
          <w:color w:val="auto"/>
        </w:rPr>
        <w:t>Non-Competition</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440" w:right="500" w:hanging="440"/>
        <w:spacing w:after="0" w:line="343" w:lineRule="auto"/>
        <w:tabs>
          <w:tab w:leader="none" w:pos="4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For a period of: [twelve (12)] months after termination of Employee’s employment with AngioDynamics pursuant to the Separation Agreement, Employee will not render services, directly or indirectly, to any Conflicting Organization.</w:t>
      </w:r>
    </w:p>
    <w:p>
      <w:pPr>
        <w:spacing w:after="0" w:line="104" w:lineRule="exact"/>
        <w:rPr>
          <w:rFonts w:ascii="Arial" w:cs="Arial" w:eastAsia="Arial" w:hAnsi="Arial"/>
          <w:sz w:val="19"/>
          <w:szCs w:val="19"/>
          <w:color w:val="auto"/>
        </w:rPr>
      </w:pPr>
    </w:p>
    <w:p>
      <w:pPr>
        <w:ind w:left="440"/>
        <w:spacing w:after="0" w:line="258" w:lineRule="auto"/>
        <w:rPr>
          <w:rFonts w:ascii="Arial" w:cs="Arial" w:eastAsia="Arial" w:hAnsi="Arial"/>
          <w:sz w:val="19"/>
          <w:szCs w:val="19"/>
          <w:color w:val="auto"/>
        </w:rPr>
      </w:pPr>
      <w:r>
        <w:rPr>
          <w:rFonts w:ascii="Arial" w:cs="Arial" w:eastAsia="Arial" w:hAnsi="Arial"/>
          <w:sz w:val="21"/>
          <w:szCs w:val="21"/>
          <w:color w:val="auto"/>
        </w:rPr>
        <w:t>However, notwithstanding the foregoing, Employee understands that Employee may work for a Conflicting Organization whose business is diversified, provided Employee’s work for the Conflicting Organization does not involve selling, managing, overseeing, developing, creating, promoting, servicing, involvement in the financing and/or accounting of, or other responsibility for any Conflicting Product on which Employee worked or gained Confidential Information during Employee’s employment with AngioDynamics. Prior to accepting such employment, the Conflicting Organization and Employee must provide written assurances satisfactory to AngioDynamics, that Employee will not render services, directly or indirectly, in connection with any Conflicting Product on which Employee worked or gained Confidential Information during Employee’s employment with AngioDynamics and that necessary safeguards have been put in place to ensure that this does not happen. This section shall be construed in a manner to give effect to the restrictions contained herein to the maximum extent permitted by applicable law.</w:t>
      </w:r>
    </w:p>
    <w:p>
      <w:pPr>
        <w:spacing w:after="0" w:line="185" w:lineRule="exact"/>
        <w:rPr>
          <w:sz w:val="20"/>
          <w:szCs w:val="20"/>
          <w:color w:val="auto"/>
        </w:rPr>
      </w:pPr>
    </w:p>
    <w:p>
      <w:pPr>
        <w:ind w:left="440" w:right="580" w:hanging="440"/>
        <w:spacing w:after="0" w:line="263" w:lineRule="auto"/>
        <w:tabs>
          <w:tab w:leader="none" w:pos="4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restrictions set forth in Section 2(a) apply in the United States and in any foreign country or foreign territory where AngioDynamics produces, sells, or markets its goods and services.</w:t>
      </w:r>
    </w:p>
    <w:p>
      <w:pPr>
        <w:spacing w:after="0" w:line="168" w:lineRule="exact"/>
        <w:rPr>
          <w:rFonts w:ascii="Arial" w:cs="Arial" w:eastAsia="Arial" w:hAnsi="Arial"/>
          <w:sz w:val="22"/>
          <w:szCs w:val="22"/>
          <w:color w:val="auto"/>
        </w:rPr>
      </w:pPr>
    </w:p>
    <w:p>
      <w:pPr>
        <w:ind w:left="440" w:hanging="332"/>
        <w:spacing w:after="0"/>
        <w:tabs>
          <w:tab w:leader="none" w:pos="440" w:val="left"/>
        </w:tabs>
        <w:numPr>
          <w:ilvl w:val="1"/>
          <w:numId w:val="95"/>
        </w:numPr>
        <w:rPr>
          <w:rFonts w:ascii="Arial" w:cs="Arial" w:eastAsia="Arial" w:hAnsi="Arial"/>
          <w:sz w:val="22"/>
          <w:szCs w:val="22"/>
          <w:color w:val="auto"/>
        </w:rPr>
      </w:pPr>
      <w:r>
        <w:rPr>
          <w:rFonts w:ascii="Arial" w:cs="Arial" w:eastAsia="Arial" w:hAnsi="Arial"/>
          <w:sz w:val="22"/>
          <w:szCs w:val="22"/>
          <w:b w:val="1"/>
          <w:bCs w:val="1"/>
          <w:color w:val="auto"/>
        </w:rPr>
        <w:t>Non-Solicitation</w:t>
      </w:r>
      <w:r>
        <w:rPr>
          <w:rFonts w:ascii="Arial" w:cs="Arial" w:eastAsia="Arial" w:hAnsi="Arial"/>
          <w:sz w:val="22"/>
          <w:szCs w:val="22"/>
          <w:color w:val="auto"/>
        </w:rPr>
        <w:t>.</w:t>
      </w:r>
    </w:p>
    <w:p>
      <w:pPr>
        <w:spacing w:after="0" w:line="220" w:lineRule="exact"/>
        <w:rPr>
          <w:sz w:val="20"/>
          <w:szCs w:val="20"/>
          <w:color w:val="auto"/>
        </w:rPr>
      </w:pPr>
    </w:p>
    <w:p>
      <w:pPr>
        <w:ind w:left="440" w:right="40" w:hanging="332"/>
        <w:spacing w:after="0" w:line="260" w:lineRule="auto"/>
        <w:tabs>
          <w:tab w:leader="none" w:pos="428" w:val="left"/>
        </w:tabs>
        <w:numPr>
          <w:ilvl w:val="0"/>
          <w:numId w:val="96"/>
        </w:numPr>
        <w:rPr>
          <w:rFonts w:ascii="Arial" w:cs="Arial" w:eastAsia="Arial" w:hAnsi="Arial"/>
          <w:sz w:val="21"/>
          <w:szCs w:val="21"/>
          <w:color w:val="auto"/>
        </w:rPr>
      </w:pPr>
      <w:r>
        <w:rPr>
          <w:rFonts w:ascii="Arial" w:cs="Arial" w:eastAsia="Arial" w:hAnsi="Arial"/>
          <w:sz w:val="21"/>
          <w:szCs w:val="21"/>
          <w:b w:val="1"/>
          <w:bCs w:val="1"/>
          <w:color w:val="auto"/>
        </w:rPr>
        <w:t>Business Relations</w:t>
      </w:r>
      <w:r>
        <w:rPr>
          <w:rFonts w:ascii="Arial" w:cs="Arial" w:eastAsia="Arial" w:hAnsi="Arial"/>
          <w:sz w:val="21"/>
          <w:szCs w:val="21"/>
          <w:color w:val="auto"/>
        </w:rPr>
        <w:t>. Employee agrees that for a period of [twenty four (24)] months after the termination of Employee’s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AngioDynamics pursuant to the Separation Agreement, Employee will not solicit, induce, attempt to induce, appropriate, direct, or assist another to appropriate or direct, or provide any services to any current customer, supplier, licensee, or other business relation (defined as any customer, supplier, licensee, or other business relation of AngioDynamics with whom Employee had dealings and/or for whom Employee performed services at any time during the last two (2) years of Employee’s employment with AngioDynamics) to cease doing business with AngioDynamics (including, without limitation, making any negative statements or communications concerning AngioDynamics or any of its directors, officers, or employees).</w:t>
      </w:r>
    </w:p>
    <w:p>
      <w:pPr>
        <w:spacing w:after="0" w:line="175" w:lineRule="exact"/>
        <w:rPr>
          <w:rFonts w:ascii="Arial" w:cs="Arial" w:eastAsia="Arial" w:hAnsi="Arial"/>
          <w:sz w:val="21"/>
          <w:szCs w:val="21"/>
          <w:color w:val="auto"/>
        </w:rPr>
      </w:pPr>
    </w:p>
    <w:p>
      <w:pPr>
        <w:ind w:left="440" w:right="80" w:hanging="332"/>
        <w:spacing w:after="0" w:line="256" w:lineRule="auto"/>
        <w:tabs>
          <w:tab w:leader="none" w:pos="440" w:val="left"/>
        </w:tabs>
        <w:numPr>
          <w:ilvl w:val="0"/>
          <w:numId w:val="96"/>
        </w:numPr>
        <w:rPr>
          <w:rFonts w:ascii="Arial" w:cs="Arial" w:eastAsia="Arial" w:hAnsi="Arial"/>
          <w:sz w:val="22"/>
          <w:szCs w:val="22"/>
          <w:color w:val="auto"/>
        </w:rPr>
      </w:pPr>
      <w:r>
        <w:rPr>
          <w:rFonts w:ascii="Arial" w:cs="Arial" w:eastAsia="Arial" w:hAnsi="Arial"/>
          <w:sz w:val="22"/>
          <w:szCs w:val="22"/>
          <w:b w:val="1"/>
          <w:bCs w:val="1"/>
          <w:color w:val="auto"/>
        </w:rPr>
        <w:t>Employees</w:t>
      </w:r>
      <w:r>
        <w:rPr>
          <w:rFonts w:ascii="Arial" w:cs="Arial" w:eastAsia="Arial" w:hAnsi="Arial"/>
          <w:sz w:val="22"/>
          <w:szCs w:val="22"/>
          <w:color w:val="auto"/>
        </w:rPr>
        <w:t>. Employee agrees that for a period of [twenty four (24)] months after the termination of Employee’s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AngioDynamics pursuant to the Separation Agreement, Employee will not solicit, interfere with, encourage, endeavor, or engage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340"/>
          </w:cols>
          <w:pgMar w:left="220" w:top="1428" w:right="339" w:bottom="1440" w:gutter="0" w:footer="0" w:header="0"/>
        </w:sectPr>
      </w:pPr>
    </w:p>
    <w:bookmarkStart w:id="121" w:name="page122"/>
    <w:bookmarkEnd w:id="121"/>
    <w:p>
      <w:pPr>
        <w:ind w:left="332" w:right="500"/>
        <w:spacing w:after="0" w:line="312" w:lineRule="auto"/>
        <w:rPr>
          <w:sz w:val="20"/>
          <w:szCs w:val="20"/>
          <w:color w:val="auto"/>
        </w:rPr>
      </w:pPr>
      <w:r>
        <w:rPr>
          <w:rFonts w:ascii="Arial" w:cs="Arial" w:eastAsia="Arial" w:hAnsi="Arial"/>
          <w:sz w:val="19"/>
          <w:szCs w:val="19"/>
          <w:color w:val="auto"/>
        </w:rPr>
        <w:t>discussions with any employee or independent contractor of AngioDynamics for the purpose of (or with a view toward) having such employee or independent contractor leave the employment (or independent contractor assignment) of AngioDynamics for any reason, including leaving to render services to any Conflicting Organization.</w:t>
      </w:r>
    </w:p>
    <w:p>
      <w:pPr>
        <w:spacing w:after="0" w:line="127" w:lineRule="exact"/>
        <w:rPr>
          <w:sz w:val="20"/>
          <w:szCs w:val="20"/>
          <w:color w:val="auto"/>
        </w:rPr>
      </w:pPr>
    </w:p>
    <w:p>
      <w:pPr>
        <w:ind w:left="332" w:hanging="332"/>
        <w:spacing w:after="0"/>
        <w:tabs>
          <w:tab w:leader="none" w:pos="332" w:val="left"/>
        </w:tabs>
        <w:numPr>
          <w:ilvl w:val="0"/>
          <w:numId w:val="97"/>
        </w:numPr>
        <w:rPr>
          <w:rFonts w:ascii="Arial" w:cs="Arial" w:eastAsia="Arial" w:hAnsi="Arial"/>
          <w:sz w:val="22"/>
          <w:szCs w:val="22"/>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ind w:left="332" w:right="60" w:hanging="332"/>
        <w:spacing w:after="0" w:line="263" w:lineRule="auto"/>
        <w:tabs>
          <w:tab w:leader="none" w:pos="3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This Agreement is personal to Employee and may not be assigned by Employee. This Agreement shall inure to the benefit of AngioDynamics, its successors, and assigns.</w:t>
      </w:r>
    </w:p>
    <w:p>
      <w:pPr>
        <w:spacing w:after="0" w:line="174" w:lineRule="exact"/>
        <w:rPr>
          <w:rFonts w:ascii="Arial" w:cs="Arial" w:eastAsia="Arial" w:hAnsi="Arial"/>
          <w:sz w:val="22"/>
          <w:szCs w:val="22"/>
          <w:color w:val="auto"/>
        </w:rPr>
      </w:pPr>
    </w:p>
    <w:p>
      <w:pPr>
        <w:ind w:left="332" w:hanging="332"/>
        <w:spacing w:after="0" w:line="250" w:lineRule="auto"/>
        <w:tabs>
          <w:tab w:leader="none" w:pos="332" w:val="left"/>
        </w:tabs>
        <w:numPr>
          <w:ilvl w:val="0"/>
          <w:numId w:val="98"/>
        </w:numPr>
        <w:rPr>
          <w:rFonts w:ascii="Arial" w:cs="Arial" w:eastAsia="Arial" w:hAnsi="Arial"/>
          <w:sz w:val="22"/>
          <w:szCs w:val="22"/>
          <w:color w:val="auto"/>
        </w:rPr>
      </w:pPr>
      <w:r>
        <w:rPr>
          <w:rFonts w:ascii="Arial" w:cs="Arial" w:eastAsia="Arial" w:hAnsi="Arial"/>
          <w:sz w:val="22"/>
          <w:szCs w:val="22"/>
          <w:color w:val="auto"/>
        </w:rPr>
        <w:t>Any dispute arising under or in connection with this Agreement or related to any matter which is the subject of this Agreement shall be subject to the exclusive jurisdiction of the state and federal courts located in New York, and this Agreement shall be construed under and according to the laws of the State of New York, without regard to its conflict of laws rules.</w:t>
      </w:r>
    </w:p>
    <w:p>
      <w:pPr>
        <w:spacing w:after="0" w:line="187" w:lineRule="exact"/>
        <w:rPr>
          <w:rFonts w:ascii="Arial" w:cs="Arial" w:eastAsia="Arial" w:hAnsi="Arial"/>
          <w:sz w:val="22"/>
          <w:szCs w:val="22"/>
          <w:color w:val="auto"/>
        </w:rPr>
      </w:pPr>
    </w:p>
    <w:p>
      <w:pPr>
        <w:ind w:left="332" w:hanging="332"/>
        <w:spacing w:after="0" w:line="290" w:lineRule="auto"/>
        <w:tabs>
          <w:tab w:leader="none" w:pos="3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parties acknowledge that any breach or threatened breach of this Agreement by Employee will cause AngioDynamics material and irreparable injury and monetary damages may not be an adequate remedy for such injury. In the event of a breach or threatened breach of this Agreement, AngioDynamics may pursue any remedies at law or equity available to it, including injunctive relief. Notwithstanding anything contained in this Agreement to the contrary, in addition to any remedies available to AngioDynamics (and not in exclusion of any such remedies) in the event of a breach of this Agreement, AngioDynamics shall be relieved of its obligation to make any remaining payments or provide any benefits under the Separation Agreement and shall be entitled to commence a civil action to recover all payments previously made under the Separation Agreement or its actual damages, whichever is greater, unless otherwise prohibited by law.</w:t>
      </w:r>
    </w:p>
    <w:p>
      <w:pPr>
        <w:spacing w:after="0" w:line="155" w:lineRule="exact"/>
        <w:rPr>
          <w:rFonts w:ascii="Arial" w:cs="Arial" w:eastAsia="Arial" w:hAnsi="Arial"/>
          <w:sz w:val="19"/>
          <w:szCs w:val="19"/>
          <w:color w:val="auto"/>
        </w:rPr>
      </w:pPr>
    </w:p>
    <w:p>
      <w:pPr>
        <w:ind w:left="332" w:right="260" w:hanging="332"/>
        <w:spacing w:after="0" w:line="294" w:lineRule="auto"/>
        <w:tabs>
          <w:tab w:leader="none" w:pos="332"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any provision of this Agreement is held by any court of competent jurisdiction to be illegal, overly broad, invalid, or otherwise unenforceable in duration, geographical coverage, substantive scope, or otherwise, then this Agreement will be deemed amended to the extent necessary to render the otherwise unenforceable provision, and the rest of the Agreement, valid and enforceable. If a court declines to amend this Agreement as provided herein, the invalidity or unenforceability of any provision of this Agreement shall not affect the validity or enforceability of the remaining provisions, which shall be enforced as if the offending provision had not been included in this Agreement.</w:t>
      </w:r>
    </w:p>
    <w:p>
      <w:pPr>
        <w:spacing w:after="0" w:line="149" w:lineRule="exact"/>
        <w:rPr>
          <w:rFonts w:ascii="Arial" w:cs="Arial" w:eastAsia="Arial" w:hAnsi="Arial"/>
          <w:sz w:val="19"/>
          <w:szCs w:val="19"/>
          <w:color w:val="auto"/>
        </w:rPr>
      </w:pPr>
    </w:p>
    <w:p>
      <w:pPr>
        <w:ind w:left="332" w:right="20" w:hanging="332"/>
        <w:spacing w:after="0" w:line="265" w:lineRule="auto"/>
        <w:tabs>
          <w:tab w:leader="none" w:pos="320" w:val="left"/>
        </w:tabs>
        <w:numPr>
          <w:ilvl w:val="0"/>
          <w:numId w:val="98"/>
        </w:numPr>
        <w:rPr>
          <w:rFonts w:ascii="Arial" w:cs="Arial" w:eastAsia="Arial" w:hAnsi="Arial"/>
          <w:sz w:val="21"/>
          <w:szCs w:val="21"/>
          <w:color w:val="auto"/>
        </w:rPr>
      </w:pPr>
      <w:r>
        <w:rPr>
          <w:rFonts w:ascii="Arial" w:cs="Arial" w:eastAsia="Arial" w:hAnsi="Arial"/>
          <w:sz w:val="21"/>
          <w:szCs w:val="21"/>
          <w:color w:val="auto"/>
        </w:rPr>
        <w:t>In the event of a violation of this Agreement, the time limitations set forth in this Agreement shall be extended for a period of time equal to the period of time during which such breach occurs, and, in the event AngioDynamics is required to seek relief from such breach before any court, board, or other tribunal, then the time limitation shall be extended for a period of time equal to the pendency of such proceedings, including all appeals.</w:t>
      </w:r>
    </w:p>
    <w:p>
      <w:pPr>
        <w:spacing w:after="0" w:line="175" w:lineRule="exact"/>
        <w:rPr>
          <w:rFonts w:ascii="Arial" w:cs="Arial" w:eastAsia="Arial" w:hAnsi="Arial"/>
          <w:sz w:val="21"/>
          <w:szCs w:val="21"/>
          <w:color w:val="auto"/>
        </w:rPr>
      </w:pPr>
    </w:p>
    <w:p>
      <w:pPr>
        <w:ind w:left="332" w:right="220" w:hanging="332"/>
        <w:spacing w:after="0" w:line="253" w:lineRule="auto"/>
        <w:tabs>
          <w:tab w:leader="none" w:pos="323" w:val="left"/>
        </w:tabs>
        <w:numPr>
          <w:ilvl w:val="0"/>
          <w:numId w:val="98"/>
        </w:numPr>
        <w:rPr>
          <w:rFonts w:ascii="Arial" w:cs="Arial" w:eastAsia="Arial" w:hAnsi="Arial"/>
          <w:sz w:val="22"/>
          <w:szCs w:val="22"/>
          <w:color w:val="auto"/>
        </w:rPr>
      </w:pPr>
      <w:r>
        <w:rPr>
          <w:rFonts w:ascii="Arial" w:cs="Arial" w:eastAsia="Arial" w:hAnsi="Arial"/>
          <w:sz w:val="22"/>
          <w:szCs w:val="22"/>
          <w:color w:val="auto"/>
        </w:rPr>
        <w:t>For [twenty four (24)] months following the termination of Employee’s employment with AngioDynamics pursuant to the Separation Agreement, Employee agrees to show this Agreement to any prospective employer before Employee directly or indirectly 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172"/>
          </w:cols>
          <w:pgMar w:left="328" w:top="1428" w:right="399" w:bottom="1440" w:gutter="0" w:footer="0" w:header="0"/>
        </w:sectPr>
      </w:pPr>
    </w:p>
    <w:bookmarkStart w:id="122" w:name="page123"/>
    <w:bookmarkEnd w:id="122"/>
    <w:p>
      <w:pPr>
        <w:ind w:left="340" w:right="120"/>
        <w:spacing w:after="0" w:line="302" w:lineRule="auto"/>
        <w:rPr>
          <w:sz w:val="20"/>
          <w:szCs w:val="20"/>
          <w:color w:val="auto"/>
        </w:rPr>
      </w:pPr>
      <w:r>
        <w:rPr>
          <w:rFonts w:ascii="Arial" w:cs="Arial" w:eastAsia="Arial" w:hAnsi="Arial"/>
          <w:sz w:val="19"/>
          <w:szCs w:val="19"/>
          <w:color w:val="auto"/>
        </w:rPr>
        <w:t>manages, operates, controls, becomes employed by, becomes a shareholder of, becomes a director of, becomes an officer of, participates in, contracts with or becomes connected in any capacity or in any manner with such person or entity during any restrictive period provided in this Agreement. Employee also agrees to inform AngioDynamics of the identity of any new employer of Employee during such period and Employee’s new job title and responsibilities.</w:t>
      </w:r>
    </w:p>
    <w:p>
      <w:pPr>
        <w:spacing w:after="0" w:line="142" w:lineRule="exact"/>
        <w:rPr>
          <w:sz w:val="20"/>
          <w:szCs w:val="20"/>
          <w:color w:val="auto"/>
        </w:rPr>
      </w:pPr>
    </w:p>
    <w:p>
      <w:pPr>
        <w:ind w:left="340" w:right="240" w:hanging="332"/>
        <w:spacing w:after="0" w:line="253" w:lineRule="auto"/>
        <w:tabs>
          <w:tab w:leader="none" w:pos="3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EMPLOYEE ACKNOWLEDGES HAVING READ, EXECUTED, AND RECEIVED A COPY OF THIS AGREEMENT, UNDERSTANDS EMPLOYEE’S OBLIGATIONS UNDER THIS AGREEMENT, SIGNS IT VOLUNTARILY, AND INTENDS TO BE LEGALLY BOUND BY THIS AGREEMENT.</w:t>
      </w:r>
    </w:p>
    <w:p>
      <w:pPr>
        <w:spacing w:after="0" w:line="185" w:lineRule="exact"/>
        <w:rPr>
          <w:rFonts w:ascii="Arial" w:cs="Arial" w:eastAsia="Arial" w:hAnsi="Arial"/>
          <w:sz w:val="22"/>
          <w:szCs w:val="22"/>
          <w:color w:val="auto"/>
        </w:rPr>
      </w:pPr>
    </w:p>
    <w:p>
      <w:pPr>
        <w:ind w:left="340" w:hanging="332"/>
        <w:spacing w:after="0" w:line="250" w:lineRule="auto"/>
        <w:tabs>
          <w:tab w:leader="none" w:pos="3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Employee further acknowledges that the restrictions imposed by this Agreement are necessary and reasonable to protect AngioDynamics’ business interests and will not preclude Employee from becoming gainfully employed in a suitable capacity following the termination of Employee’s employment with AngioDynamics given Employee’s general knowledge and experience.</w:t>
      </w:r>
    </w:p>
    <w:p>
      <w:pPr>
        <w:spacing w:after="0" w:line="187" w:lineRule="exact"/>
        <w:rPr>
          <w:rFonts w:ascii="Arial" w:cs="Arial" w:eastAsia="Arial" w:hAnsi="Arial"/>
          <w:sz w:val="22"/>
          <w:szCs w:val="22"/>
          <w:color w:val="auto"/>
        </w:rPr>
      </w:pPr>
    </w:p>
    <w:p>
      <w:pPr>
        <w:ind w:left="524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IN WITNESS WHEREOF, Employee has hereunto affixed Employee’s signature, and thereafter AngioDynamics has witnessed this document this _____________ day of ______________________ 20__.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Witness as to Employee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AngioDynamics,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180"/>
          </w:cols>
          <w:pgMar w:left="320" w:top="1428" w:right="39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22"/>
          <w:szCs w:val="22"/>
          <w:b w:val="1"/>
          <w:bCs w:val="1"/>
          <w:u w:val="single" w:color="auto"/>
          <w:color w:val="auto"/>
        </w:rPr>
        <w:t>Exhibit C</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Confidentiality Agreement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1422" w:right="1440" w:bottom="1440" w:gutter="0" w:footer="0" w:header="0"/>
        </w:sectPr>
      </w:pPr>
    </w:p>
    <w:bookmarkStart w:id="124" w:name="page125"/>
    <w:bookmarkEnd w:id="124"/>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7260" w:type="dxa"/>
            <w:vAlign w:val="bottom"/>
            <w:gridSpan w:val="5"/>
          </w:tcPr>
          <w:p>
            <w:pPr>
              <w:ind w:left="260"/>
              <w:spacing w:after="0"/>
              <w:rPr>
                <w:sz w:val="20"/>
                <w:szCs w:val="20"/>
                <w:color w:val="auto"/>
              </w:rPr>
            </w:pPr>
            <w:r>
              <w:rPr>
                <w:rFonts w:ascii="Arial" w:cs="Arial" w:eastAsia="Arial" w:hAnsi="Arial"/>
                <w:sz w:val="18"/>
                <w:szCs w:val="18"/>
                <w:b w:val="1"/>
                <w:bCs w:val="1"/>
                <w:color w:val="auto"/>
              </w:rPr>
              <w:t>Subsidiaries of AngioDynamics, Inc.</w:t>
            </w: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884"/>
        </w:trPr>
        <w:tc>
          <w:tcPr>
            <w:tcW w:w="3980" w:type="dxa"/>
            <w:vAlign w:val="bottom"/>
          </w:tcPr>
          <w:p>
            <w:pPr>
              <w:ind w:left="20"/>
              <w:spacing w:after="0"/>
              <w:rPr>
                <w:sz w:val="20"/>
                <w:szCs w:val="20"/>
                <w:color w:val="auto"/>
              </w:rPr>
            </w:pPr>
            <w:r>
              <w:rPr>
                <w:rFonts w:ascii="Arial" w:cs="Arial" w:eastAsia="Arial" w:hAnsi="Arial"/>
                <w:sz w:val="13"/>
                <w:szCs w:val="13"/>
                <w:b w:val="1"/>
                <w:bCs w:val="1"/>
                <w:color w:val="auto"/>
              </w:rPr>
              <w:t>Subsidiary</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3"/>
                <w:szCs w:val="13"/>
                <w:b w:val="1"/>
                <w:bCs w:val="1"/>
                <w:color w:val="auto"/>
              </w:rPr>
              <w:t>State of Incorporation or Organization</w:t>
            </w:r>
          </w:p>
        </w:tc>
      </w:tr>
      <w:tr>
        <w:trPr>
          <w:trHeight w:val="109"/>
        </w:trPr>
        <w:tc>
          <w:tcPr>
            <w:tcW w:w="39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260" w:type="dxa"/>
            <w:vAlign w:val="bottom"/>
            <w:tcBorders>
              <w:bottom w:val="single" w:sz="8" w:color="auto"/>
            </w:tcBorders>
            <w:gridSpan w:val="2"/>
          </w:tcPr>
          <w:p>
            <w:pPr>
              <w:spacing w:after="0"/>
              <w:rPr>
                <w:sz w:val="9"/>
                <w:szCs w:val="9"/>
                <w:color w:val="auto"/>
              </w:rPr>
            </w:pPr>
          </w:p>
        </w:tc>
      </w:tr>
      <w:tr>
        <w:trPr>
          <w:trHeight w:val="237"/>
        </w:trPr>
        <w:tc>
          <w:tcPr>
            <w:tcW w:w="3980" w:type="dxa"/>
            <w:vAlign w:val="bottom"/>
          </w:tcPr>
          <w:p>
            <w:pPr>
              <w:ind w:left="20"/>
              <w:spacing w:after="0"/>
              <w:rPr>
                <w:sz w:val="20"/>
                <w:szCs w:val="20"/>
                <w:color w:val="auto"/>
              </w:rPr>
            </w:pPr>
            <w:r>
              <w:rPr>
                <w:rFonts w:ascii="Arial" w:cs="Arial" w:eastAsia="Arial" w:hAnsi="Arial"/>
                <w:sz w:val="18"/>
                <w:szCs w:val="18"/>
                <w:color w:val="auto"/>
              </w:rPr>
              <w:t>Vortex Medical</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NM Holding Company, Inc.</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Navilyst Medical Holdings, Inc.</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Navilyst Medical, Inc.</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AngioDynamics UK Limited</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AngioDynamics Netherlands B. V.</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RITA Medical Systems, LLC</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AngioDynamics France, SARL</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AngioDynamics Canada Inc.</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British Columbia</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w w:val="98"/>
              </w:rPr>
              <w:t>AngioDynamics Medical Brasil Participacoes Ltda.</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Sao Paulo</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RadiaDyne LLC</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Eximo Medical, Ltd.</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Israel</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AngioDynamics VA LLC</w:t>
            </w: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40" w:right="339" w:bottom="1440" w:gutter="0" w:footer="0" w:header="0"/>
        </w:sectPr>
      </w:pPr>
    </w:p>
    <w:bookmarkStart w:id="125" w:name="page126"/>
    <w:bookmarkEnd w:id="125"/>
    <w:p>
      <w:pPr>
        <w:ind w:left="13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3"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We consent to the incorporation by reference in Registration Statement Nos. 333-120057, 333-138456, 333-140627, 333-161355, 333-162844, 333-170619, 333-190640, 333-203441 and 333-229814 on Form S-8 of our reports dated August 7, 2020, relating to the financial statements and financial statement schedule of AngioDynamics, Inc., and the effectiveness of AngioDynamics Inc.'s internal control over financial reporting appearing in this Annual Report on Form 10-K for the year ended May 31,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7, 2020</w:t>
      </w:r>
    </w:p>
    <w:p>
      <w:pPr>
        <w:sectPr>
          <w:pgSz w:w="11900" w:h="16838" w:orient="portrait"/>
          <w:cols w:equalWidth="0" w:num="1">
            <w:col w:w="10800"/>
          </w:cols>
          <w:pgMar w:left="320" w:top="1431" w:right="7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63" w:lineRule="exact"/>
        <w:rPr>
          <w:sz w:val="20"/>
          <w:szCs w:val="20"/>
          <w:color w:val="auto"/>
        </w:rPr>
      </w:pPr>
    </w:p>
    <w:p>
      <w:pPr>
        <w:ind w:left="680" w:hanging="591"/>
        <w:spacing w:after="0"/>
        <w:tabs>
          <w:tab w:leader="none" w:pos="6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AngioDynamics, Inc.;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680" w:right="340" w:hanging="591"/>
        <w:spacing w:after="0" w:line="224" w:lineRule="auto"/>
        <w:tabs>
          <w:tab w:leader="none" w:pos="6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8" w:lineRule="exact"/>
        <w:rPr>
          <w:rFonts w:ascii="Arial" w:cs="Arial" w:eastAsia="Arial" w:hAnsi="Arial"/>
          <w:sz w:val="18"/>
          <w:szCs w:val="18"/>
          <w:color w:val="auto"/>
        </w:rPr>
      </w:pPr>
    </w:p>
    <w:p>
      <w:pPr>
        <w:ind w:left="680" w:right="320" w:hanging="591"/>
        <w:spacing w:after="0" w:line="258" w:lineRule="auto"/>
        <w:tabs>
          <w:tab w:leader="none" w:pos="68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680" w:right="280" w:hanging="591"/>
        <w:spacing w:after="0" w:line="239" w:lineRule="auto"/>
        <w:tabs>
          <w:tab w:leader="none" w:pos="6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28" w:lineRule="exact"/>
        <w:rPr>
          <w:rFonts w:ascii="Arial" w:cs="Arial" w:eastAsia="Arial" w:hAnsi="Arial"/>
          <w:sz w:val="16"/>
          <w:szCs w:val="16"/>
          <w:color w:val="auto"/>
        </w:rPr>
      </w:pPr>
    </w:p>
    <w:p>
      <w:pPr>
        <w:ind w:left="820" w:right="220" w:hanging="812"/>
        <w:spacing w:after="0" w:line="297" w:lineRule="auto"/>
        <w:tabs>
          <w:tab w:leader="none" w:pos="81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820" w:right="520" w:hanging="812"/>
        <w:spacing w:after="0" w:line="297" w:lineRule="auto"/>
        <w:tabs>
          <w:tab w:leader="none" w:pos="81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820" w:right="700" w:hanging="812"/>
        <w:spacing w:after="0" w:line="334" w:lineRule="auto"/>
        <w:tabs>
          <w:tab w:leader="none" w:pos="81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20" w:right="220" w:hanging="812"/>
        <w:spacing w:after="0" w:line="310" w:lineRule="auto"/>
        <w:tabs>
          <w:tab w:leader="none" w:pos="81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8"/>
          <w:szCs w:val="18"/>
          <w:color w:val="auto"/>
        </w:rPr>
      </w:pPr>
    </w:p>
    <w:p>
      <w:pPr>
        <w:ind w:left="680" w:right="240" w:hanging="591"/>
        <w:spacing w:after="0" w:line="289" w:lineRule="auto"/>
        <w:tabs>
          <w:tab w:leader="none" w:pos="68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sz w:val="20"/>
          <w:szCs w:val="20"/>
          <w:color w:val="auto"/>
        </w:rPr>
      </w:pPr>
    </w:p>
    <w:p>
      <w:pPr>
        <w:ind w:left="820" w:right="120" w:hanging="812"/>
        <w:spacing w:after="0" w:line="297" w:lineRule="auto"/>
        <w:tabs>
          <w:tab w:leader="none" w:pos="81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right="80" w:hanging="812"/>
        <w:spacing w:after="0" w:line="324" w:lineRule="auto"/>
        <w:tabs>
          <w:tab w:leader="none" w:pos="81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268" w:lineRule="exact"/>
        <w:rPr>
          <w:sz w:val="20"/>
          <w:szCs w:val="20"/>
          <w:color w:val="auto"/>
        </w:rPr>
      </w:pPr>
    </w:p>
    <w:p>
      <w:pPr>
        <w:ind w:left="100" w:right="8980" w:firstLine="7"/>
        <w:spacing w:after="0" w:line="378" w:lineRule="auto"/>
        <w:tabs>
          <w:tab w:leader="none" w:pos="195" w:val="left"/>
        </w:tabs>
        <w:numPr>
          <w:ilvl w:val="0"/>
          <w:numId w:val="103"/>
        </w:numPr>
        <w:rPr>
          <w:rFonts w:ascii="Arial" w:cs="Arial" w:eastAsia="Arial" w:hAnsi="Arial"/>
          <w:sz w:val="15"/>
          <w:szCs w:val="15"/>
          <w:color w:val="auto"/>
        </w:rPr>
      </w:pPr>
      <w:r>
        <w:rPr>
          <w:rFonts w:ascii="Arial" w:cs="Arial" w:eastAsia="Arial" w:hAnsi="Arial"/>
          <w:sz w:val="15"/>
          <w:szCs w:val="15"/>
          <w:color w:val="auto"/>
        </w:rPr>
        <w:t>S / JAMES C. CLEMMER James C. Clemmer, 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-361950</wp:posOffset>
            </wp:positionV>
            <wp:extent cx="70891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Stephen A. Trowbridge, certify that:</w:t>
      </w:r>
    </w:p>
    <w:p>
      <w:pPr>
        <w:spacing w:after="0" w:line="63" w:lineRule="exact"/>
        <w:rPr>
          <w:sz w:val="20"/>
          <w:szCs w:val="20"/>
          <w:color w:val="auto"/>
        </w:rPr>
      </w:pPr>
    </w:p>
    <w:p>
      <w:pPr>
        <w:ind w:left="680" w:hanging="591"/>
        <w:spacing w:after="0"/>
        <w:tabs>
          <w:tab w:leader="none" w:pos="6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AngioDynamics, Inc.;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680" w:right="340" w:hanging="591"/>
        <w:spacing w:after="0" w:line="224" w:lineRule="auto"/>
        <w:tabs>
          <w:tab w:leader="none" w:pos="6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8" w:lineRule="exact"/>
        <w:rPr>
          <w:rFonts w:ascii="Arial" w:cs="Arial" w:eastAsia="Arial" w:hAnsi="Arial"/>
          <w:sz w:val="18"/>
          <w:szCs w:val="18"/>
          <w:color w:val="auto"/>
        </w:rPr>
      </w:pPr>
    </w:p>
    <w:p>
      <w:pPr>
        <w:ind w:left="680" w:right="320" w:hanging="591"/>
        <w:spacing w:after="0" w:line="258" w:lineRule="auto"/>
        <w:tabs>
          <w:tab w:leader="none" w:pos="6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680" w:right="280" w:hanging="591"/>
        <w:spacing w:after="0" w:line="239" w:lineRule="auto"/>
        <w:tabs>
          <w:tab w:leader="none" w:pos="6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28" w:lineRule="exact"/>
        <w:rPr>
          <w:rFonts w:ascii="Arial" w:cs="Arial" w:eastAsia="Arial" w:hAnsi="Arial"/>
          <w:sz w:val="16"/>
          <w:szCs w:val="16"/>
          <w:color w:val="auto"/>
        </w:rPr>
      </w:pPr>
    </w:p>
    <w:p>
      <w:pPr>
        <w:ind w:left="820" w:right="220" w:hanging="812"/>
        <w:spacing w:after="0" w:line="297" w:lineRule="auto"/>
        <w:tabs>
          <w:tab w:leader="none" w:pos="81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820" w:right="520" w:hanging="812"/>
        <w:spacing w:after="0" w:line="297" w:lineRule="auto"/>
        <w:tabs>
          <w:tab w:leader="none" w:pos="81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820" w:right="700" w:hanging="812"/>
        <w:spacing w:after="0" w:line="334" w:lineRule="auto"/>
        <w:tabs>
          <w:tab w:leader="none" w:pos="81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20" w:right="220" w:hanging="812"/>
        <w:spacing w:after="0" w:line="310" w:lineRule="auto"/>
        <w:tabs>
          <w:tab w:leader="none" w:pos="81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8"/>
          <w:szCs w:val="18"/>
          <w:color w:val="auto"/>
        </w:rPr>
      </w:pPr>
    </w:p>
    <w:p>
      <w:pPr>
        <w:ind w:left="680" w:right="240" w:hanging="591"/>
        <w:spacing w:after="0" w:line="289" w:lineRule="auto"/>
        <w:tabs>
          <w:tab w:leader="none" w:pos="6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sz w:val="20"/>
          <w:szCs w:val="20"/>
          <w:color w:val="auto"/>
        </w:rPr>
      </w:pPr>
    </w:p>
    <w:p>
      <w:pPr>
        <w:ind w:left="820" w:right="120" w:hanging="812"/>
        <w:spacing w:after="0" w:line="297" w:lineRule="auto"/>
        <w:tabs>
          <w:tab w:leader="none" w:pos="81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right="80" w:hanging="812"/>
        <w:spacing w:after="0" w:line="324" w:lineRule="auto"/>
        <w:tabs>
          <w:tab w:leader="none" w:pos="81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465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Stephen A. Trowbridge, Executive Vice President,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1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16" w:lineRule="exact"/>
        <w:rPr>
          <w:sz w:val="20"/>
          <w:szCs w:val="20"/>
          <w:color w:val="auto"/>
        </w:rPr>
      </w:pPr>
    </w:p>
    <w:p>
      <w:pPr>
        <w:jc w:val="center"/>
        <w:ind w:left="340" w:right="2560"/>
        <w:spacing w:after="0" w:line="310"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29" w:lineRule="exact"/>
        <w:rPr>
          <w:sz w:val="20"/>
          <w:szCs w:val="20"/>
          <w:color w:val="auto"/>
        </w:rPr>
      </w:pPr>
    </w:p>
    <w:p>
      <w:pPr>
        <w:ind w:right="240"/>
        <w:spacing w:after="0" w:line="324" w:lineRule="auto"/>
        <w:rPr>
          <w:sz w:val="20"/>
          <w:szCs w:val="20"/>
          <w:color w:val="auto"/>
        </w:rPr>
      </w:pPr>
      <w:r>
        <w:rPr>
          <w:rFonts w:ascii="Arial" w:cs="Arial" w:eastAsia="Arial" w:hAnsi="Arial"/>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130" w:lineRule="exact"/>
        <w:rPr>
          <w:sz w:val="20"/>
          <w:szCs w:val="20"/>
          <w:color w:val="auto"/>
        </w:rPr>
      </w:pPr>
    </w:p>
    <w:p>
      <w:pPr>
        <w:ind w:left="680" w:right="260" w:hanging="591"/>
        <w:spacing w:after="0" w:line="235" w:lineRule="auto"/>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May 31, 2020 (the “Report”) fully complies with the requirements of Section 13(a) or 15(d) of the Securities Exchange Act of 1934 (15 U.S.C. 78m or 78o(d)); and</w:t>
      </w:r>
    </w:p>
    <w:p>
      <w:pPr>
        <w:spacing w:after="0" w:line="134" w:lineRule="exact"/>
        <w:rPr>
          <w:rFonts w:ascii="Arial" w:cs="Arial" w:eastAsia="Arial" w:hAnsi="Arial"/>
          <w:sz w:val="18"/>
          <w:szCs w:val="18"/>
          <w:color w:val="auto"/>
        </w:rPr>
      </w:pPr>
    </w:p>
    <w:p>
      <w:pPr>
        <w:ind w:left="680" w:hanging="591"/>
        <w:spacing w:after="0"/>
        <w:tabs>
          <w:tab w:leader="none" w:pos="6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91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1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216" w:lineRule="exact"/>
        <w:rPr>
          <w:sz w:val="20"/>
          <w:szCs w:val="20"/>
          <w:color w:val="auto"/>
        </w:rPr>
      </w:pPr>
    </w:p>
    <w:p>
      <w:pPr>
        <w:jc w:val="center"/>
        <w:ind w:left="340" w:right="2580"/>
        <w:spacing w:after="0" w:line="310"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29" w:lineRule="exact"/>
        <w:rPr>
          <w:sz w:val="20"/>
          <w:szCs w:val="20"/>
          <w:color w:val="auto"/>
        </w:rPr>
      </w:pPr>
    </w:p>
    <w:p>
      <w:pPr>
        <w:ind w:right="200"/>
        <w:spacing w:after="0" w:line="324" w:lineRule="auto"/>
        <w:rPr>
          <w:sz w:val="20"/>
          <w:szCs w:val="20"/>
          <w:color w:val="auto"/>
        </w:rPr>
      </w:pPr>
      <w:r>
        <w:rPr>
          <w:rFonts w:ascii="Arial" w:cs="Arial" w:eastAsia="Arial" w:hAnsi="Arial"/>
          <w:sz w:val="18"/>
          <w:szCs w:val="18"/>
          <w:color w:val="auto"/>
        </w:rPr>
        <w:t>I, Stephen A. Trowbridge, Chief Financial Officer of ANGIODYNAMICS, Inc. (the “Company”), certify, pursuant to Section 906 of the Sarbanes-Oxley Act of 2002, 18 U.S.C. Section 1350, that, to the best of my knowledge:</w:t>
      </w:r>
    </w:p>
    <w:p>
      <w:pPr>
        <w:spacing w:after="0" w:line="373" w:lineRule="exact"/>
        <w:rPr>
          <w:sz w:val="20"/>
          <w:szCs w:val="20"/>
          <w:color w:val="auto"/>
        </w:rPr>
      </w:pPr>
    </w:p>
    <w:p>
      <w:pPr>
        <w:ind w:left="680" w:right="260" w:hanging="591"/>
        <w:spacing w:after="0" w:line="235"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May 31, 2020 (the “Report”) fully complies with the requirements of Section 13(a) or 15(d) of the Securities Exchange Act of 1934 (15 U.S.C. 78m or 78o(d)); and</w:t>
      </w:r>
    </w:p>
    <w:p>
      <w:pPr>
        <w:spacing w:after="0" w:line="377" w:lineRule="exact"/>
        <w:rPr>
          <w:rFonts w:ascii="Arial" w:cs="Arial" w:eastAsia="Arial" w:hAnsi="Arial"/>
          <w:sz w:val="18"/>
          <w:szCs w:val="18"/>
          <w:color w:val="auto"/>
        </w:rPr>
      </w:pPr>
    </w:p>
    <w:p>
      <w:pPr>
        <w:ind w:right="180" w:firstLine="89"/>
        <w:spacing w:after="0" w:line="496" w:lineRule="auto"/>
        <w:tabs>
          <w:tab w:leader="none" w:pos="67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7, 2020</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91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Stephen A. Trowbridge, Executive Vice President,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¹"/>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1)"/>
      <w:numFmt w:val="decimal"/>
      <w:start w:val="1"/>
    </w:lvl>
  </w:abstractNum>
  <w:abstractNum w:abstractNumId="20">
    <w:nsid w:val="5FF87E05"/>
    <w:multiLevelType w:val="hybridMultilevel"/>
    <w:lvl w:ilvl="0">
      <w:lvlJc w:val="left"/>
      <w:lvlText w:val="%1."/>
      <w:numFmt w:val="decimal"/>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1)"/>
      <w:numFmt w:val="decimal"/>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1)"/>
      <w:numFmt w:val="decimal"/>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1)"/>
      <w:numFmt w:val="decimal"/>
      <w:start w:val="1"/>
    </w:lvl>
  </w:abstractNum>
  <w:abstractNum w:abstractNumId="60">
    <w:nsid w:val="7FB7E0AA"/>
    <w:multiLevelType w:val="hybridMultilevel"/>
    <w:lvl w:ilvl="0">
      <w:lvlJc w:val="left"/>
      <w:lvlText w:val="(%1)"/>
      <w:numFmt w:val="decimal"/>
      <w:start w:val="1"/>
    </w:lvl>
  </w:abstractNum>
  <w:abstractNum w:abstractNumId="61">
    <w:nsid w:val="6EB5BD4"/>
    <w:multiLevelType w:val="hybridMultilevel"/>
    <w:lvl w:ilvl="0">
      <w:lvlJc w:val="left"/>
      <w:lvlText w:val="%1."/>
      <w:numFmt w:val="decimal"/>
      <w:start w:val="8"/>
    </w:lvl>
  </w:abstractNum>
  <w:abstractNum w:abstractNumId="62">
    <w:nsid w:val="6F6DD9AC"/>
    <w:multiLevelType w:val="hybridMultilevel"/>
    <w:lvl w:ilvl="0">
      <w:lvlJc w:val="left"/>
      <w:lvlText w:val="*"/>
      <w:numFmt w:val="bullet"/>
      <w:start w:val="1"/>
    </w:lvl>
    <w:lvl w:ilvl="1">
      <w:lvlJc w:val="left"/>
      <w:lvlText w:val="•"/>
      <w:numFmt w:val="bullet"/>
      <w:start w:val="1"/>
    </w:lvl>
  </w:abstractNum>
  <w:abstractNum w:abstractNumId="63">
    <w:nsid w:val="94211F2"/>
    <w:multiLevelType w:val="hybridMultilevel"/>
    <w:lvl w:ilvl="0">
      <w:lvlJc w:val="left"/>
      <w:lvlText w:val="(%1)"/>
      <w:numFmt w:val="decimal"/>
      <w:start w:val="1"/>
    </w:lvl>
  </w:abstractNum>
  <w:abstractNum w:abstractNumId="64">
    <w:nsid w:val="885E1B"/>
    <w:multiLevelType w:val="hybridMultilevel"/>
    <w:lvl w:ilvl="0">
      <w:lvlJc w:val="left"/>
      <w:lvlText w:val="%1."/>
      <w:numFmt w:val="decimal"/>
      <w:start w:val="19"/>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1)"/>
      <w:numFmt w:val="decimal"/>
      <w:start w:val="1"/>
    </w:lvl>
  </w:abstractNum>
  <w:abstractNum w:abstractNumId="67">
    <w:nsid w:val="1716703B"/>
    <w:multiLevelType w:val="hybridMultilevel"/>
    <w:lvl w:ilvl="0">
      <w:lvlJc w:val="left"/>
      <w:lvlText w:val="%1"/>
      <w:numFmt w:val="decimal"/>
      <w:start w:val="21"/>
    </w:lvl>
  </w:abstractNum>
  <w:abstractNum w:abstractNumId="68">
    <w:nsid w:val="14E17E33"/>
    <w:multiLevelType w:val="hybridMultilevel"/>
    <w:lvl w:ilvl="0">
      <w:lvlJc w:val="left"/>
      <w:lvlText w:val="%1"/>
      <w:numFmt w:val="decimal"/>
      <w:start w:val="23"/>
    </w:lvl>
  </w:abstractNum>
  <w:abstractNum w:abstractNumId="69">
    <w:nsid w:val="3222E7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0">
    <w:nsid w:val="74DE0EE3"/>
    <w:multiLevelType w:val="hybridMultilevel"/>
    <w:lvl w:ilvl="0">
      <w:lvlJc w:val="left"/>
      <w:lvlText w:val="%1"/>
      <w:numFmt w:val="decimal"/>
      <w:start w:val="1"/>
    </w:lvl>
    <w:lvl w:ilvl="1">
      <w:lvlJc w:val="left"/>
      <w:lvlText w:val="%2."/>
      <w:numFmt w:val="lowerLetter"/>
      <w:start w:val="3"/>
    </w:lvl>
  </w:abstractNum>
  <w:abstractNum w:abstractNumId="71">
    <w:nsid w:val="68EBC550"/>
    <w:multiLevelType w:val="hybridMultilevel"/>
    <w:lvl w:ilvl="0">
      <w:lvlJc w:val="left"/>
      <w:lvlText w:val="%1."/>
      <w:numFmt w:val="decimal"/>
      <w:start w:val="4"/>
    </w:lvl>
    <w:lvl w:ilvl="1">
      <w:lvlJc w:val="left"/>
      <w:lvlText w:val="%2"/>
      <w:numFmt w:val="lowerLetter"/>
      <w:start w:val="1"/>
    </w:lvl>
  </w:abstractNum>
  <w:abstractNum w:abstractNumId="72">
    <w:nsid w:val="2DF6D648"/>
    <w:multiLevelType w:val="hybridMultilevel"/>
    <w:lvl w:ilvl="0">
      <w:lvlJc w:val="left"/>
      <w:lvlText w:val="%1."/>
      <w:numFmt w:val="decimal"/>
      <w:start w:val="1"/>
    </w:lvl>
    <w:lvl w:ilvl="1">
      <w:lvlJc w:val="left"/>
      <w:lvlText w:val="%2."/>
      <w:numFmt w:val="lowerLetter"/>
      <w:start w:val="1"/>
    </w:lvl>
  </w:abstractNum>
  <w:abstractNum w:abstractNumId="73">
    <w:nsid w:val="46B7D447"/>
    <w:multiLevelType w:val="hybridMultilevel"/>
    <w:lvl w:ilvl="0">
      <w:lvlJc w:val="left"/>
      <w:lvlText w:val="%1."/>
      <w:numFmt w:val="decimal"/>
      <w:start w:val="3"/>
    </w:lvl>
  </w:abstractNum>
  <w:abstractNum w:abstractNumId="74">
    <w:nsid w:val="4A2AC315"/>
    <w:multiLevelType w:val="hybridMultilevel"/>
    <w:lvl w:ilvl="0">
      <w:lvlJc w:val="left"/>
      <w:lvlText w:val="%1."/>
      <w:numFmt w:val="decimal"/>
      <w:start w:val="4"/>
    </w:lvl>
    <w:lvl w:ilvl="1">
      <w:lvlJc w:val="left"/>
      <w:lvlText w:val="%2."/>
      <w:numFmt w:val="lowerLetter"/>
      <w:start w:val="1"/>
    </w:lvl>
  </w:abstractNum>
  <w:abstractNum w:abstractNumId="75">
    <w:nsid w:val="39EE015C"/>
    <w:multiLevelType w:val="hybridMultilevel"/>
    <w:lvl w:ilvl="0">
      <w:lvlJc w:val="left"/>
      <w:lvlText w:val="%1"/>
      <w:numFmt w:val="lowerLetter"/>
      <w:start w:val="1"/>
    </w:lvl>
    <w:lvl w:ilvl="1">
      <w:lvlJc w:val="left"/>
      <w:lvlText w:val="%2."/>
      <w:numFmt w:val="lowerLetter"/>
      <w:start w:val="3"/>
    </w:lvl>
  </w:abstractNum>
  <w:abstractNum w:abstractNumId="76">
    <w:nsid w:val="57FC4FBB"/>
    <w:multiLevelType w:val="hybridMultilevel"/>
    <w:lvl w:ilvl="0">
      <w:lvlJc w:val="left"/>
      <w:lvlText w:val="%1."/>
      <w:numFmt w:val="lowerLetter"/>
      <w:start w:val="6"/>
    </w:lvl>
    <w:lvl w:ilvl="1">
      <w:lvlJc w:val="left"/>
      <w:lvlText w:val="%2"/>
      <w:numFmt w:val="lowerLetter"/>
      <w:start w:val="1"/>
    </w:lvl>
  </w:abstractNum>
  <w:abstractNum w:abstractNumId="77">
    <w:nsid w:val="CC1016F"/>
    <w:multiLevelType w:val="hybridMultilevel"/>
    <w:lvl w:ilvl="0">
      <w:lvlJc w:val="left"/>
      <w:lvlText w:val="%1."/>
      <w:numFmt w:val="decimal"/>
      <w:start w:val="8"/>
    </w:lvl>
    <w:lvl w:ilvl="1">
      <w:lvlJc w:val="left"/>
      <w:lvlText w:val="%2."/>
      <w:numFmt w:val="lowerLetter"/>
      <w:start w:val="1"/>
    </w:lvl>
  </w:abstractNum>
  <w:abstractNum w:abstractNumId="78">
    <w:nsid w:val="43F18422"/>
    <w:multiLevelType w:val="hybridMultilevel"/>
    <w:lvl w:ilvl="0">
      <w:lvlJc w:val="left"/>
      <w:lvlText w:val="%1"/>
      <w:numFmt w:val="decimal"/>
      <w:start w:val="1"/>
    </w:lvl>
    <w:lvl w:ilvl="1">
      <w:lvlJc w:val="left"/>
      <w:lvlText w:val="%2."/>
      <w:numFmt w:val="lowerLetter"/>
      <w:start w:val="8"/>
    </w:lvl>
  </w:abstractNum>
  <w:abstractNum w:abstractNumId="79">
    <w:nsid w:val="60EF0119"/>
    <w:multiLevelType w:val="hybridMultilevel"/>
    <w:lvl w:ilvl="0">
      <w:lvlJc w:val="left"/>
      <w:lvlText w:val="%1."/>
      <w:numFmt w:val="decimal"/>
      <w:start w:val="11"/>
    </w:lvl>
    <w:lvl w:ilvl="1">
      <w:lvlJc w:val="left"/>
      <w:lvlText w:val="%2"/>
      <w:numFmt w:val="lowerLetter"/>
      <w:start w:val="1"/>
    </w:lvl>
  </w:abstractNum>
  <w:abstractNum w:abstractNumId="80">
    <w:nsid w:val="26F324BA"/>
    <w:multiLevelType w:val="hybridMultilevel"/>
    <w:lvl w:ilvl="0">
      <w:lvlJc w:val="left"/>
      <w:lvlText w:val="%1."/>
      <w:numFmt w:val="decimal"/>
      <w:start w:val="18"/>
    </w:lvl>
  </w:abstractNum>
  <w:abstractNum w:abstractNumId="81">
    <w:nsid w:val="7F01579B"/>
    <w:multiLevelType w:val="hybridMultilevel"/>
    <w:lvl w:ilvl="0">
      <w:lvlJc w:val="left"/>
      <w:lvlText w:val="%1"/>
      <w:numFmt w:val="decimal"/>
      <w:start w:val="1"/>
    </w:lvl>
    <w:lvl w:ilvl="1">
      <w:lvlJc w:val="left"/>
      <w:lvlText w:val="%2."/>
      <w:numFmt w:val="decimal"/>
      <w:start w:val="19"/>
    </w:lvl>
  </w:abstractNum>
  <w:abstractNum w:abstractNumId="82">
    <w:nsid w:val="49DA307D"/>
    <w:multiLevelType w:val="hybridMultilevel"/>
    <w:lvl w:ilvl="0">
      <w:lvlJc w:val="left"/>
      <w:lvlText w:val="%1."/>
      <w:numFmt w:val="decimal"/>
      <w:start w:val="20"/>
    </w:lvl>
    <w:lvl w:ilvl="1">
      <w:lvlJc w:val="left"/>
      <w:lvlText w:val="%2"/>
      <w:numFmt w:val="decimal"/>
      <w:start w:val="1"/>
    </w:lvl>
  </w:abstractNum>
  <w:abstractNum w:abstractNumId="83">
    <w:nsid w:val="7055A5F5"/>
    <w:multiLevelType w:val="hybridMultilevel"/>
    <w:lvl w:ilvl="0">
      <w:lvlJc w:val="left"/>
      <w:lvlText w:val="%1"/>
      <w:numFmt w:val="decimal"/>
      <w:start w:val="1"/>
    </w:lvl>
    <w:lvl w:ilvl="1">
      <w:lvlJc w:val="left"/>
      <w:lvlText w:val="%2."/>
      <w:numFmt w:val="decimal"/>
      <w:start w:val="21"/>
    </w:lvl>
  </w:abstractNum>
  <w:abstractNum w:abstractNumId="84">
    <w:nsid w:val="5FB8370B"/>
    <w:multiLevelType w:val="hybridMultilevel"/>
    <w:lvl w:ilvl="0">
      <w:lvlJc w:val="left"/>
      <w:lvlText w:val="%1."/>
      <w:numFmt w:val="decimal"/>
      <w:start w:val="22"/>
    </w:lvl>
    <w:lvl w:ilvl="1">
      <w:lvlJc w:val="left"/>
      <w:lvlText w:val="%2"/>
      <w:numFmt w:val="decimal"/>
      <w:start w:val="1"/>
    </w:lvl>
  </w:abstractNum>
  <w:abstractNum w:abstractNumId="85">
    <w:nsid w:val="50801EE1"/>
    <w:multiLevelType w:val="hybridMultilevel"/>
    <w:lvl w:ilvl="0">
      <w:lvlJc w:val="left"/>
      <w:lvlText w:val="%1."/>
      <w:numFmt w:val="decimal"/>
      <w:start w:val="24"/>
    </w:lvl>
    <w:lvl w:ilvl="1">
      <w:lvlJc w:val="left"/>
      <w:lvlText w:val="*"/>
      <w:numFmt w:val="bullet"/>
      <w:start w:val="1"/>
    </w:lvl>
  </w:abstractNum>
  <w:abstractNum w:abstractNumId="86">
    <w:nsid w:val="488AC1A"/>
    <w:multiLevelType w:val="hybridMultilevel"/>
    <w:lvl w:ilvl="0">
      <w:lvlJc w:val="left"/>
      <w:lvlText w:val="%1."/>
      <w:numFmt w:val="decimal"/>
      <w:start w:val="1"/>
    </w:lvl>
    <w:lvl w:ilvl="1">
      <w:lvlJc w:val="left"/>
      <w:lvlText w:val="%2."/>
      <w:numFmt w:val="lowerRoman"/>
      <w:start w:val="1"/>
    </w:lvl>
  </w:abstractNum>
  <w:abstractNum w:abstractNumId="87">
    <w:nsid w:val="5FB8011C"/>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6"/>
    </w:lvl>
    <w:lvl w:ilvl="3">
      <w:lvlJc w:val="left"/>
      <w:lvlText w:val="*"/>
      <w:numFmt w:val="bullet"/>
      <w:start w:val="1"/>
    </w:lvl>
  </w:abstractNum>
  <w:abstractNum w:abstractNumId="88">
    <w:nsid w:val="6AA78F7F"/>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89">
    <w:nsid w:val="7672BD23"/>
    <w:multiLevelType w:val="hybridMultilevel"/>
    <w:lvl w:ilvl="0">
      <w:lvlJc w:val="left"/>
      <w:lvlText w:val="1"/>
      <w:numFmt w:val="bullet"/>
      <w:start w:val="1"/>
    </w:lvl>
  </w:abstractNum>
  <w:abstractNum w:abstractNumId="90">
    <w:nsid w:val="6FC75AF8"/>
    <w:multiLevelType w:val="hybridMultilevel"/>
    <w:lvl w:ilvl="0">
      <w:lvlJc w:val="left"/>
      <w:lvlText w:val="%1."/>
      <w:numFmt w:val="decimal"/>
      <w:start w:val="1"/>
    </w:lvl>
    <w:lvl w:ilvl="1">
      <w:lvlJc w:val="left"/>
      <w:lvlText w:val="%2."/>
      <w:numFmt w:val="lowerLetter"/>
      <w:start w:val="1"/>
    </w:lvl>
  </w:abstractNum>
  <w:abstractNum w:abstractNumId="91">
    <w:nsid w:val="6A5F702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92">
    <w:nsid w:val="7D5E18F8"/>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93">
    <w:nsid w:val="5F3534A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94">
    <w:nsid w:val="73A1821B"/>
    <w:multiLevelType w:val="hybridMultilevel"/>
    <w:lvl w:ilvl="0">
      <w:lvlJc w:val="left"/>
      <w:lvlText w:val="%1."/>
      <w:numFmt w:val="lowerRoman"/>
      <w:start w:val="1"/>
    </w:lvl>
    <w:lvl w:ilvl="1">
      <w:lvlJc w:val="left"/>
      <w:lvlText w:val="%2."/>
      <w:numFmt w:val="decimal"/>
      <w:start w:val="3"/>
    </w:lvl>
  </w:abstractNum>
  <w:abstractNum w:abstractNumId="95">
    <w:nsid w:val="7DE67713"/>
    <w:multiLevelType w:val="hybridMultilevel"/>
    <w:lvl w:ilvl="0">
      <w:lvlJc w:val="left"/>
      <w:lvlText w:val="%1."/>
      <w:numFmt w:val="lowerLetter"/>
      <w:start w:val="1"/>
    </w:lvl>
  </w:abstractNum>
  <w:abstractNum w:abstractNumId="96">
    <w:nsid w:val="555C55B5"/>
    <w:multiLevelType w:val="hybridMultilevel"/>
    <w:lvl w:ilvl="0">
      <w:lvlJc w:val="left"/>
      <w:lvlText w:val="%1."/>
      <w:numFmt w:val="decimal"/>
      <w:start w:val="4"/>
    </w:lvl>
  </w:abstractNum>
  <w:abstractNum w:abstractNumId="97">
    <w:nsid w:val="3FA62ACA"/>
    <w:multiLevelType w:val="hybridMultilevel"/>
    <w:lvl w:ilvl="0">
      <w:lvlJc w:val="left"/>
      <w:lvlText w:val="%1."/>
      <w:numFmt w:val="lowerLetter"/>
      <w:start w:val="1"/>
    </w:lvl>
  </w:abstractNum>
  <w:abstractNum w:abstractNumId="98">
    <w:nsid w:val="14FCE74E"/>
    <w:multiLevelType w:val="hybridMultilevel"/>
    <w:lvl w:ilvl="0">
      <w:lvlJc w:val="left"/>
      <w:lvlText w:val="%1."/>
      <w:numFmt w:val="lowerLetter"/>
      <w:start w:val="7"/>
    </w:lvl>
    <w:lvl w:ilvl="1">
      <w:lvlJc w:val="left"/>
      <w:lvlText w:val="*"/>
      <w:numFmt w:val="bullet"/>
      <w:start w:val="1"/>
    </w:lvl>
  </w:abstractNum>
  <w:abstractNum w:abstractNumId="99">
    <w:nsid w:val="6A3DD3E8"/>
    <w:multiLevelType w:val="hybridMultilevel"/>
    <w:lvl w:ilvl="0">
      <w:lvlJc w:val="left"/>
      <w:lvlText w:val="%1"/>
      <w:numFmt w:val="lowerLetter"/>
      <w:start w:val="1"/>
    </w:lvl>
    <w:lvl w:ilvl="1">
      <w:lvlJc w:val="left"/>
      <w:lvlText w:val="%2."/>
      <w:numFmt w:val="decimal"/>
      <w:start w:val="1"/>
    </w:lvl>
  </w:abstractNum>
  <w:abstractNum w:abstractNumId="100">
    <w:nsid w:val="71C91298"/>
    <w:multiLevelType w:val="hybridMultilevel"/>
    <w:lvl w:ilvl="0">
      <w:lvlJc w:val="left"/>
      <w:lvlText w:val="(%1)"/>
      <w:numFmt w:val="lowerLetter"/>
      <w:start w:val="1"/>
    </w:lvl>
    <w:lvl w:ilvl="1">
      <w:lvlJc w:val="left"/>
      <w:lvlText w:val="%2."/>
      <w:numFmt w:val="decimal"/>
      <w:start w:val="5"/>
    </w:lvl>
  </w:abstractNum>
  <w:abstractNum w:abstractNumId="101">
    <w:nsid w:val="9DAF632"/>
    <w:multiLevelType w:val="hybridMultilevel"/>
    <w:lvl w:ilvl="0">
      <w:lvlJc w:val="left"/>
      <w:lvlText w:val="(%1)"/>
      <w:numFmt w:val="lowerLetter"/>
      <w:start w:val="1"/>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1"/>
      <w:numFmt w:val="lowerLetter"/>
      <w:start w:val="1"/>
    </w:lvl>
    <w:lvl w:ilvl="1">
      <w:lvlJc w:val="left"/>
      <w:lvlText w:val="%2."/>
      <w:numFmt w:val="decimal"/>
      <w:start w:val="1"/>
    </w:lvl>
  </w:abstractNum>
  <w:abstractNum w:abstractNumId="104">
    <w:nsid w:val="5092CA79"/>
    <w:multiLevelType w:val="hybridMultilevel"/>
    <w:lvl w:ilvl="0">
      <w:lvlJc w:val="left"/>
      <w:lvlText w:val="(%1)"/>
      <w:numFmt w:val="lowerLetter"/>
      <w:start w:val="1"/>
    </w:lvl>
    <w:lvl w:ilvl="1">
      <w:lvlJc w:val="left"/>
      <w:lvlText w:val="%2."/>
      <w:numFmt w:val="decimal"/>
      <w:start w:val="5"/>
    </w:lvl>
  </w:abstractNum>
  <w:abstractNum w:abstractNumId="105">
    <w:nsid w:val="1D545C4D"/>
    <w:multiLevelType w:val="hybridMultilevel"/>
    <w:lvl w:ilvl="0">
      <w:lvlJc w:val="left"/>
      <w:lvlText w:val="(%1)"/>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1" Type="http://schemas.openxmlformats.org/officeDocument/2006/relationships/image" Target="media/image119.png"/><Relationship Id="rId133" Type="http://schemas.openxmlformats.org/officeDocument/2006/relationships/image" Target="media/image120.png"/><Relationship Id="rId137" Type="http://schemas.openxmlformats.org/officeDocument/2006/relationships/image" Target="media/image121.png"/><Relationship Id="rId140" Type="http://schemas.openxmlformats.org/officeDocument/2006/relationships/image" Target="media/image122.png"/><Relationship Id="rId143" Type="http://schemas.openxmlformats.org/officeDocument/2006/relationships/image" Target="media/image123.png"/><Relationship Id="rId147" Type="http://schemas.openxmlformats.org/officeDocument/2006/relationships/image" Target="media/image124.png"/><Relationship Id="rId150"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26" Type="http://schemas.openxmlformats.org/officeDocument/2006/relationships/hyperlink" Target="http://www.sec.gov/Archives/edgar/data/1275187/000091412112000534/an26859490-ex2_1.htm" TargetMode="External"/><Relationship Id="rId127" Type="http://schemas.openxmlformats.org/officeDocument/2006/relationships/hyperlink" Target="http://www.sec.gov/Archives/edgar/data/1275187/000091412119000934/an53548547-2_1.htm" TargetMode="External"/><Relationship Id="rId128" Type="http://schemas.openxmlformats.org/officeDocument/2006/relationships/hyperlink" Target="http://www.sec.gov/Archives/edgar/data/1275187/000119312505198180/dex31.htm" TargetMode="External"/><Relationship Id="rId129" Type="http://schemas.openxmlformats.org/officeDocument/2006/relationships/hyperlink" Target="http://www.sec.gov/Archives/edgar/data/1275187/000127518715000018/ex31253115.htm" TargetMode="External"/><Relationship Id="rId130" Type="http://schemas.openxmlformats.org/officeDocument/2006/relationships/hyperlink" Target="http://www.sec.gov/Archives/edgar/data/1275187/000091412115000548/an33460072-ex3_1.htm" TargetMode="External"/><Relationship Id="rId132" Type="http://schemas.openxmlformats.org/officeDocument/2006/relationships/hyperlink" Target="http://www.sec.gov/Archives/edgar/data/1275187/000091412119001482/an53830394-10_1.htm" TargetMode="External"/><Relationship Id="rId134" Type="http://schemas.openxmlformats.org/officeDocument/2006/relationships/hyperlink" Target="http://www.sec.gov/Archives/edgar/data/1275187/000127518718000016/angoproxy-53118.htm" TargetMode="External"/><Relationship Id="rId135" Type="http://schemas.openxmlformats.org/officeDocument/2006/relationships/hyperlink" Target="http://www.sec.gov/Archives/edgar/data/1275187/000127518716000037/ex101-2016tsrpsuprogram.htm" TargetMode="External"/><Relationship Id="rId136" Type="http://schemas.openxmlformats.org/officeDocument/2006/relationships/hyperlink" Target="http://www.sec.gov/Archives/edgar/data/1275187/000127518717000034/a83117-exx101.htm" TargetMode="External"/><Relationship Id="rId138" Type="http://schemas.openxmlformats.org/officeDocument/2006/relationships/hyperlink" Target="http://www.sec.gov/Archives/edgar/data/1275187/000127518718000011/ex1017totalshareholderretu.htm" TargetMode="External"/><Relationship Id="rId139" Type="http://schemas.openxmlformats.org/officeDocument/2006/relationships/hyperlink" Target="https://www.sec.gov/Archives/edgar/data/1275187/000127518720000005/psuawardagreement.htm" TargetMode="External"/><Relationship Id="rId141" Type="http://schemas.openxmlformats.org/officeDocument/2006/relationships/hyperlink" Target="http://www.sec.gov/Archives/edgar/data/1275187/000119312504169832/dex101.htm" TargetMode="External"/><Relationship Id="rId142" Type="http://schemas.openxmlformats.org/officeDocument/2006/relationships/hyperlink" Target="http://www.sec.gov/Archives/edgar/data/1275187/000127518718000011/ex1031stockoptionagreement.htm" TargetMode="External"/><Relationship Id="rId144" Type="http://schemas.openxmlformats.org/officeDocument/2006/relationships/hyperlink" Target="http://www.sec.gov/Archives/edgar/data/1275187/000127518716000037/ex102-2016psuagreement.htm" TargetMode="External"/><Relationship Id="rId145" Type="http://schemas.openxmlformats.org/officeDocument/2006/relationships/hyperlink" Target="http://www.sec.gov/Archives/edgar/data/1275187/000127518717000034/a83117-exx102.htm" TargetMode="External"/><Relationship Id="rId146" Type="http://schemas.openxmlformats.org/officeDocument/2006/relationships/hyperlink" Target="http://www.sec.gov/Archives/edgar/data/1275187/000127518718000011/ex1045performanceunitaward.htm" TargetMode="External"/><Relationship Id="rId148" Type="http://schemas.openxmlformats.org/officeDocument/2006/relationships/hyperlink" Target="http://www.sec.gov/Archives/edgar/data/1275187/000116923205002637/d63831_ex10-3.htm" TargetMode="External"/><Relationship Id="rId149" Type="http://schemas.openxmlformats.org/officeDocument/2006/relationships/hyperlink" Target="http://www.sec.gov/Archives/edgar/data/1056421/0001012870-00-002503-index.html" TargetMode="External"/><Relationship Id="rId151" Type="http://schemas.openxmlformats.org/officeDocument/2006/relationships/hyperlink" Target="http://www.sec.gov/Archives/edgar/data/1052958/0000950144-98-001576-index.html" TargetMode="External"/><Relationship Id="rId152" Type="http://schemas.openxmlformats.org/officeDocument/2006/relationships/hyperlink" Target="http://www.sec.gov/Archives/edgar/data/1056421/000101287000003359/0001012870-00-003359-index.htm" TargetMode="External"/><Relationship Id="rId153" Type="http://schemas.openxmlformats.org/officeDocument/2006/relationships/hyperlink" Target="http://www.sec.gov/Archives/edgar/data/1056421/000114420405021015/v021182_ex99-2.htm" TargetMode="External"/><Relationship Id="rId154" Type="http://schemas.openxmlformats.org/officeDocument/2006/relationships/hyperlink" Target="http://www.sec.gov/Archives/edgar/data/1056421/000114420405021015/v021182_ex99-1.htm" TargetMode="External"/><Relationship Id="rId155" Type="http://schemas.openxmlformats.org/officeDocument/2006/relationships/hyperlink" Target="http://www.sec.gov/Archives/edgar/data/1275187/000116923206002370/d68040_ex10-1.htm" TargetMode="External"/><Relationship Id="rId156" Type="http://schemas.openxmlformats.org/officeDocument/2006/relationships/hyperlink" Target="http://www.sec.gov/Archives/edgar/data/1275187/000091412116001069/an35192888-ex10_1.htm" TargetMode="External"/><Relationship Id="rId157" Type="http://schemas.openxmlformats.org/officeDocument/2006/relationships/hyperlink" Target="http://www.sec.gov/Archives/edgar/data/1275187/000091412116001373/an35680916-ex10_1.htm" TargetMode="External"/><Relationship Id="rId158" Type="http://schemas.openxmlformats.org/officeDocument/2006/relationships/hyperlink" Target="http://www.sec.gov/Archives/edgar/data/1275187/000091412116001069/an35192888-ex10_2.htm" TargetMode="External"/><Relationship Id="rId159" Type="http://schemas.openxmlformats.org/officeDocument/2006/relationships/hyperlink" Target="http://www.sec.gov/Archives/edgar/data/1275187/000127518715000011/ex101353114a.htm" TargetMode="External"/><Relationship Id="rId160" Type="http://schemas.openxmlformats.org/officeDocument/2006/relationships/hyperlink" Target="http://www.sec.gov/Archives/edgar/data/1275187/000091412116001069/an35192888-ex10_3.htm" TargetMode="External"/><Relationship Id="rId161" Type="http://schemas.openxmlformats.org/officeDocument/2006/relationships/hyperlink" Target="http://www.sec.gov/Archives/edgar/data/1275187/000091412116001069/an35192888-ex10_4.htm" TargetMode="External"/><Relationship Id="rId162" Type="http://schemas.openxmlformats.org/officeDocument/2006/relationships/hyperlink" Target="http://www.sec.gov/Archives/edgar/data/1275187/000091412116001069/an35192888-ex10_5.htm" TargetMode="External"/><Relationship Id="rId163" Type="http://schemas.openxmlformats.org/officeDocument/2006/relationships/hyperlink" Target="http://www.sec.gov/Archives/edgar/data/1275187/000091412116001069/an35192888-ex10_6.htm" TargetMode="External"/><Relationship Id="rId164" Type="http://schemas.openxmlformats.org/officeDocument/2006/relationships/hyperlink" Target="http://www.sec.gov/Archives/edgar/data/1275187/000091412116001150/an35296029-ex10_1.htm" TargetMode="External"/><Relationship Id="rId165" Type="http://schemas.openxmlformats.org/officeDocument/2006/relationships/hyperlink" Target="http://www.sec.gov/Archives/edgar/data/1275187/000116923206002370/d68040_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2020-08-10T06:28:30Z</dcterms:created>
  <dcterms:modified xsi:type="dcterms:W3CDTF">2020-08-10T06:28:30Z</dcterms:modified>
</cp:coreProperties>
</file>