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Piccinini Laura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 PLAZA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ANGIODYNAMICS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International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14.14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62,218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13.51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59,144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13.71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58,528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exempt disposition of 4,538 shares of common stock of AngioDynamics, Inc. ("AngioDynamics") was made to satisfy tax withholding obligations in connection with the pre-determined vesting of shares underlying restricted stock units granted to the reporting person on July 16,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exempt disposition of 3,074 shares of common stock of AngioDynamics was made to satisfy tax withholding obligations in connection with the pre-determined vesting of shares underlying restricted stock units granted to the reporting person on July 17,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exempt disposition of 616 shares of common stock of AngioDynamics was made to satisfy tax withholding obligations in connection with the pre-determined vesting of shares underlying restricted stock units granted to the reporting person on July 20, 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Lawrence T. Weiss,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5140" TargetMode="External"/><Relationship Id="rId5" Type="http://schemas.openxmlformats.org/officeDocument/2006/relationships/hyperlink" Target="http://www.sec.gov/cgi-bin/browse-edgar?action=getcompany&amp;CIK=00012751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702</Words>
  <Characters>3834</Characters>
  <CharactersWithSpaces>4451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