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629920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595630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53975</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364"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78740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5"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August 31, 2021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7"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655955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82"/>
              <w:spacing w:after="0"/>
              <w:rPr>
                <w:sz w:val="20"/>
                <w:szCs w:val="20"/>
                <w:color w:val="auto"/>
              </w:rPr>
            </w:pPr>
            <w:r>
              <w:rPr>
                <w:rFonts w:ascii="Arial" w:cs="Arial" w:eastAsia="Arial" w:hAnsi="Arial"/>
                <w:sz w:val="18"/>
                <w:szCs w:val="18"/>
                <w:b w:val="1"/>
                <w:bCs w:val="1"/>
                <w:color w:val="auto"/>
                <w:w w:val="89"/>
              </w:rPr>
              <w:t>11-3146460</w:t>
            </w:r>
          </w:p>
        </w:tc>
      </w:tr>
      <w:tr>
        <w:trPr>
          <w:trHeight w:val="144"/>
        </w:trPr>
        <w:tc>
          <w:tcPr>
            <w:tcW w:w="4000" w:type="dxa"/>
            <w:vAlign w:val="bottom"/>
          </w:tcPr>
          <w:p>
            <w:pPr>
              <w:jc w:val="center"/>
              <w:ind w:right="206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322"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3300" w:type="dxa"/>
            <w:vAlign w:val="bottom"/>
          </w:tcPr>
          <w:p>
            <w:pPr>
              <w:jc w:val="center"/>
              <w:ind w:right="696"/>
              <w:spacing w:after="0"/>
              <w:rPr>
                <w:sz w:val="20"/>
                <w:szCs w:val="20"/>
                <w:color w:val="auto"/>
              </w:rPr>
            </w:pPr>
            <w:r>
              <w:rPr>
                <w:rFonts w:ascii="Arial" w:cs="Arial" w:eastAsia="Arial" w:hAnsi="Arial"/>
                <w:sz w:val="14"/>
                <w:szCs w:val="14"/>
                <w:b w:val="1"/>
                <w:bCs w:val="1"/>
                <w:color w:val="auto"/>
                <w:w w:val="89"/>
              </w:rPr>
              <w:t>Title of each class</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tcPr>
          <w:p>
            <w:pPr>
              <w:jc w:val="center"/>
              <w:ind w:left="6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7"/>
        </w:trPr>
        <w:tc>
          <w:tcPr>
            <w:tcW w:w="3300" w:type="dxa"/>
            <w:vAlign w:val="bottom"/>
          </w:tcPr>
          <w:p>
            <w:pPr>
              <w:jc w:val="center"/>
              <w:ind w:right="696"/>
              <w:spacing w:after="0"/>
              <w:rPr>
                <w:sz w:val="20"/>
                <w:szCs w:val="20"/>
                <w:color w:val="auto"/>
              </w:rPr>
            </w:pPr>
            <w:r>
              <w:rPr>
                <w:rFonts w:ascii="Arial" w:cs="Arial" w:eastAsia="Arial" w:hAnsi="Arial"/>
                <w:sz w:val="18"/>
                <w:szCs w:val="18"/>
                <w:b w:val="1"/>
                <w:bCs w:val="1"/>
                <w:color w:val="auto"/>
                <w:w w:val="89"/>
              </w:rPr>
              <w:t>Common stock, par value $.01</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3300" w:type="dxa"/>
            <w:vAlign w:val="bottom"/>
          </w:tcPr>
          <w:p>
            <w:pPr>
              <w:jc w:val="center"/>
              <w:ind w:right="696"/>
              <w:spacing w:after="0"/>
              <w:rPr>
                <w:sz w:val="20"/>
                <w:szCs w:val="20"/>
                <w:color w:val="auto"/>
              </w:rPr>
            </w:pPr>
            <w:r>
              <w:rPr>
                <w:rFonts w:ascii="Arial" w:cs="Arial" w:eastAsia="Arial" w:hAnsi="Arial"/>
                <w:sz w:val="18"/>
                <w:szCs w:val="18"/>
                <w:b w:val="1"/>
                <w:bCs w:val="1"/>
                <w:color w:val="auto"/>
                <w:w w:val="8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900" w:space="180"/>
            <w:col w:w="260" w:space="80"/>
            <w:col w:w="160" w:space="180"/>
            <w:col w:w="1480"/>
          </w:cols>
          <w:pgMar w:left="320" w:top="121" w:right="3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480" w:space="180"/>
            <w:col w:w="260" w:space="80"/>
            <w:col w:w="160" w:space="180"/>
            <w:col w:w="220" w:space="100"/>
            <w:col w:w="1580"/>
          </w:cols>
          <w:pgMar w:left="320" w:top="121" w:right="3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 w:lineRule="exact"/>
        <w:rPr>
          <w:sz w:val="20"/>
          <w:szCs w:val="20"/>
          <w:color w:val="auto"/>
        </w:rPr>
      </w:pPr>
    </w:p>
    <w:tbl>
      <w:tblPr>
        <w:tblLayout w:type="fixed"/>
        <w:tblInd w:w="480" w:type="dxa"/>
        <w:tblCellMar>
          <w:top w:w="0" w:type="dxa"/>
          <w:left w:w="0" w:type="dxa"/>
          <w:bottom w:w="0" w:type="dxa"/>
          <w:right w:w="0" w:type="dxa"/>
        </w:tblCellMar>
      </w:tblPr>
      <w:tr>
        <w:trPr>
          <w:trHeight w:val="30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66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66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6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30"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8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1"/>
              </w:rPr>
              <w:t>Outstanding as of September 28, 2021</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Common Stock, par value $.01</w:t>
            </w:r>
          </w:p>
        </w:tc>
        <w:tc>
          <w:tcPr>
            <w:tcW w:w="408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38,650,434</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76"/>
        </w:trPr>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360" w:type="dxa"/>
            <w:vAlign w:val="bottom"/>
            <w:gridSpan w:val="11"/>
          </w:tcPr>
          <w:p>
            <w:pPr>
              <w:jc w:val="center"/>
              <w:ind w:right="2980"/>
              <w:spacing w:after="0" w:line="176"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5"/>
          </w:tcPr>
          <w:p>
            <w:pPr>
              <w:spacing w:after="0"/>
              <w:rPr>
                <w:rFonts w:ascii="Arial" w:cs="Arial" w:eastAsia="Arial" w:hAnsi="Arial"/>
                <w:sz w:val="18"/>
                <w:szCs w:val="18"/>
                <w:b w:val="1"/>
                <w:bCs w:val="1"/>
                <w:color w:val="0000FF"/>
                <w:w w:val="88"/>
              </w:rPr>
            </w:pPr>
            <w:hyperlink w:anchor="page4">
              <w:r>
                <w:rPr>
                  <w:rFonts w:ascii="Arial" w:cs="Arial" w:eastAsia="Arial" w:hAnsi="Arial"/>
                  <w:sz w:val="18"/>
                  <w:szCs w:val="18"/>
                  <w:b w:val="1"/>
                  <w:bCs w:val="1"/>
                  <w:color w:val="0000FF"/>
                  <w:w w:val="88"/>
                </w:rPr>
                <w:t>Financial Statements</w:t>
              </w:r>
            </w:hyperlink>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Consolidated Statements of Operations (unaudited)</w:t>
              </w:r>
            </w:hyperlink>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Loss (unaudited)</w:t>
              </w:r>
            </w:hyperlink>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2"/>
                <w:szCs w:val="22"/>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Balance Sheets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Stockholders’ Equity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63"/>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Notes to Consolidated Financial Statements (unaudited)</w:t>
              </w:r>
            </w:hyperlink>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9"/>
          </w:tcPr>
          <w:p>
            <w:pPr>
              <w:spacing w:after="0"/>
              <w:rPr>
                <w:rFonts w:ascii="Arial" w:cs="Arial" w:eastAsia="Arial" w:hAnsi="Arial"/>
                <w:sz w:val="18"/>
                <w:szCs w:val="18"/>
                <w:b w:val="1"/>
                <w:bCs w:val="1"/>
                <w:color w:val="0000FF"/>
                <w:w w:val="89"/>
              </w:rPr>
            </w:pPr>
            <w:hyperlink w:anchor="page21">
              <w:r>
                <w:rPr>
                  <w:rFonts w:ascii="Arial" w:cs="Arial" w:eastAsia="Arial" w:hAnsi="Arial"/>
                  <w:sz w:val="18"/>
                  <w:szCs w:val="18"/>
                  <w:b w:val="1"/>
                  <w:bCs w:val="1"/>
                  <w:color w:val="0000FF"/>
                  <w:w w:val="89"/>
                </w:rPr>
                <w:t>Management’s Discussion and Analysis of Financial Condition and Results of Operations</w:t>
              </w:r>
            </w:hyperlink>
          </w:p>
        </w:tc>
        <w:tc>
          <w:tcPr>
            <w:tcW w:w="2480" w:type="dxa"/>
            <w:vAlign w:val="bottom"/>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9"/>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Quantitative and Qualitative Disclosures About Market Risk</w:t>
              </w:r>
            </w:hyperlink>
          </w:p>
        </w:tc>
        <w:tc>
          <w:tcPr>
            <w:tcW w:w="2480" w:type="dxa"/>
            <w:vAlign w:val="bottom"/>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6"/>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Controls and Procedures</w:t>
              </w:r>
            </w:hyperlink>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rFonts w:ascii="Arial" w:cs="Arial" w:eastAsia="Arial" w:hAnsi="Arial"/>
                <w:sz w:val="18"/>
                <w:szCs w:val="18"/>
                <w:b w:val="1"/>
                <w:bCs w:val="1"/>
                <w:color w:val="0000FF"/>
                <w:w w:val="96"/>
              </w:rPr>
            </w:pPr>
            <w:hyperlink w:anchor="page29">
              <w:r>
                <w:rPr>
                  <w:rFonts w:ascii="Arial" w:cs="Arial" w:eastAsia="Arial" w:hAnsi="Arial"/>
                  <w:sz w:val="18"/>
                  <w:szCs w:val="18"/>
                  <w:b w:val="1"/>
                  <w:bCs w:val="1"/>
                  <w:color w:val="0000FF"/>
                  <w:w w:val="96"/>
                </w:rPr>
                <w:t>Part II: Other Information</w:t>
              </w:r>
            </w:hyperlink>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620" w:type="dxa"/>
            <w:vAlign w:val="bottom"/>
            <w:gridSpan w:val="11"/>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Legal Proceedings</w:t>
              </w:r>
            </w:hyperlink>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2"/>
          </w:tcPr>
          <w:p>
            <w:pPr>
              <w:spacing w:after="0"/>
              <w:rPr>
                <w:rFonts w:ascii="Arial" w:cs="Arial" w:eastAsia="Arial" w:hAnsi="Arial"/>
                <w:sz w:val="18"/>
                <w:szCs w:val="18"/>
                <w:b w:val="1"/>
                <w:bCs w:val="1"/>
                <w:color w:val="0000FF"/>
                <w:w w:val="88"/>
              </w:rPr>
            </w:pPr>
            <w:hyperlink w:anchor="page30">
              <w:r>
                <w:rPr>
                  <w:rFonts w:ascii="Arial" w:cs="Arial" w:eastAsia="Arial" w:hAnsi="Arial"/>
                  <w:sz w:val="18"/>
                  <w:szCs w:val="18"/>
                  <w:b w:val="1"/>
                  <w:bCs w:val="1"/>
                  <w:color w:val="0000FF"/>
                  <w:w w:val="88"/>
                </w:rPr>
                <w:t>Risk Factors</w:t>
              </w:r>
            </w:hyperlink>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5"/>
          </w:tcPr>
          <w:p>
            <w:pPr>
              <w:spacing w:after="0"/>
              <w:rPr>
                <w:rFonts w:ascii="Arial" w:cs="Arial" w:eastAsia="Arial" w:hAnsi="Arial"/>
                <w:sz w:val="18"/>
                <w:szCs w:val="18"/>
                <w:b w:val="1"/>
                <w:bCs w:val="1"/>
                <w:color w:val="0000FF"/>
                <w:w w:val="87"/>
              </w:rPr>
            </w:pPr>
            <w:hyperlink w:anchor="page30">
              <w:r>
                <w:rPr>
                  <w:rFonts w:ascii="Arial" w:cs="Arial" w:eastAsia="Arial" w:hAnsi="Arial"/>
                  <w:sz w:val="18"/>
                  <w:szCs w:val="18"/>
                  <w:b w:val="1"/>
                  <w:bCs w:val="1"/>
                  <w:color w:val="0000FF"/>
                  <w:w w:val="87"/>
                </w:rPr>
                <w:t>Unregistered Sales of Equity Securities and Use of Proceeds</w:t>
              </w:r>
            </w:hyperlink>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220" w:type="dxa"/>
            <w:vAlign w:val="bottom"/>
            <w:gridSpan w:val="8"/>
          </w:tcPr>
          <w:p>
            <w:pPr>
              <w:spacing w:after="0"/>
              <w:rPr>
                <w:rFonts w:ascii="Arial" w:cs="Arial" w:eastAsia="Arial" w:hAnsi="Arial"/>
                <w:sz w:val="18"/>
                <w:szCs w:val="18"/>
                <w:b w:val="1"/>
                <w:bCs w:val="1"/>
                <w:color w:val="0000FF"/>
                <w:w w:val="87"/>
              </w:rPr>
            </w:pPr>
            <w:hyperlink w:anchor="page30">
              <w:r>
                <w:rPr>
                  <w:rFonts w:ascii="Arial" w:cs="Arial" w:eastAsia="Arial" w:hAnsi="Arial"/>
                  <w:sz w:val="18"/>
                  <w:szCs w:val="18"/>
                  <w:b w:val="1"/>
                  <w:bCs w:val="1"/>
                  <w:color w:val="0000FF"/>
                  <w:w w:val="87"/>
                </w:rPr>
                <w:t>Defaults on Senior Securities</w:t>
              </w:r>
            </w:hyperlink>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220" w:type="dxa"/>
            <w:vAlign w:val="bottom"/>
            <w:gridSpan w:val="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Mine Safety Disclosures</w:t>
              </w:r>
            </w:hyperlink>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6"/>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Other Information</w:t>
              </w:r>
            </w:hyperlink>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4"/>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Exhibits</w:t>
              </w:r>
            </w:hyperlink>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Aug 31, 2020</w:t>
            </w:r>
          </w:p>
        </w:tc>
        <w:tc>
          <w:tcPr>
            <w:tcW w:w="0" w:type="dxa"/>
            <w:vAlign w:val="bottom"/>
          </w:tcPr>
          <w:p>
            <w:pPr>
              <w:spacing w:after="0"/>
              <w:rPr>
                <w:sz w:val="1"/>
                <w:szCs w:val="1"/>
                <w:color w:val="auto"/>
              </w:rPr>
            </w:pPr>
          </w:p>
        </w:tc>
      </w:tr>
      <w:tr>
        <w:trPr>
          <w:trHeight w:val="22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34,452</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35,764</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40,886</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1"/>
        </w:trPr>
        <w:tc>
          <w:tcPr>
            <w:tcW w:w="8320" w:type="dxa"/>
            <w:vAlign w:val="bottom"/>
            <w:tcBorders>
              <w:bottom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38,157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38,157</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color w:val="auto"/>
              </w:rPr>
              <w:t>Three Months Ended</w:t>
            </w:r>
          </w:p>
        </w:tc>
      </w:tr>
      <w:tr>
        <w:trPr>
          <w:trHeight w:val="185"/>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200" w:type="dxa"/>
            <w:vAlign w:val="bottom"/>
          </w:tcPr>
          <w:p>
            <w:pPr>
              <w:spacing w:after="0"/>
              <w:rPr>
                <w:sz w:val="16"/>
                <w:szCs w:val="16"/>
                <w:color w:val="auto"/>
              </w:rPr>
            </w:pPr>
          </w:p>
        </w:tc>
        <w:tc>
          <w:tcPr>
            <w:tcW w:w="1200" w:type="dxa"/>
            <w:vAlign w:val="bottom"/>
          </w:tcPr>
          <w:p>
            <w:pPr>
              <w:jc w:val="right"/>
              <w:ind w:right="213"/>
              <w:spacing w:after="0"/>
              <w:rPr>
                <w:sz w:val="20"/>
                <w:szCs w:val="20"/>
                <w:color w:val="auto"/>
              </w:rPr>
            </w:pPr>
            <w:r>
              <w:rPr>
                <w:rFonts w:ascii="Arial" w:cs="Arial" w:eastAsia="Arial" w:hAnsi="Arial"/>
                <w:sz w:val="14"/>
                <w:szCs w:val="14"/>
                <w:color w:val="auto"/>
              </w:rPr>
              <w:t>Aug 31, 2020</w:t>
            </w:r>
          </w:p>
        </w:tc>
      </w:tr>
      <w:tr>
        <w:trPr>
          <w:trHeight w:val="22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(6,972)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Other comprehensive income, before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Other comprehensive income, before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2,095</w:t>
            </w: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expense related to items of other comprehensive income (loss)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(6,382)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May 31, 2021</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 net of allowances of $1,864 and $1,919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35,405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140,879</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37,073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168,977</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201,316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561,438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57,584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121,981</w:t>
            </w:r>
          </w:p>
        </w:tc>
        <w:tc>
          <w:tcPr>
            <w:tcW w:w="0" w:type="dxa"/>
            <w:vAlign w:val="bottom"/>
          </w:tcPr>
          <w:p>
            <w:pPr>
              <w:spacing w:after="0"/>
              <w:rPr>
                <w:sz w:val="1"/>
                <w:szCs w:val="1"/>
                <w:color w:val="auto"/>
              </w:rPr>
            </w:pPr>
          </w:p>
        </w:tc>
      </w:tr>
      <w:tr>
        <w:trPr>
          <w:trHeight w:val="210"/>
        </w:trPr>
        <w:tc>
          <w:tcPr>
            <w:tcW w:w="832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w w:val="92"/>
              </w:rPr>
              <w:t>Preferred stock, par value $0.01 per share, 5,000,000 shares authorized; no shares issued and outstanding</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stock, par value $0.01 per share, 75,000,000 shares authorized; 39,390,241 and 38,920,951 shares</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issued and 39,020,241 and 38,550,951 shares outstanding at August 31, 2021 and May 31, 2021, respectively</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576,380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573,507</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(131,866)</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Treasury stock, 370,000 shares at August 31, 2021 and May 31, 2021,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439,457</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561,438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color w:val="auto"/>
              </w:rPr>
              <w:t>Three Months Ended</w:t>
            </w:r>
          </w:p>
        </w:tc>
      </w:tr>
      <w:tr>
        <w:trPr>
          <w:trHeight w:val="185"/>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Aug 31, 2020</w:t>
            </w:r>
          </w:p>
        </w:tc>
      </w:tr>
      <w:tr>
        <w:trPr>
          <w:trHeight w:val="213"/>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(6,972)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(4,268)</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6,577</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8320" w:type="dxa"/>
            <w:vAlign w:val="bottom"/>
          </w:tcPr>
          <w:p>
            <w:pPr>
              <w:ind w:left="680"/>
              <w:spacing w:after="0"/>
              <w:rPr>
                <w:sz w:val="20"/>
                <w:szCs w:val="20"/>
                <w:color w:val="auto"/>
              </w:rPr>
            </w:pPr>
            <w:r>
              <w:rPr>
                <w:rFonts w:ascii="Arial" w:cs="Arial" w:eastAsia="Arial" w:hAnsi="Arial"/>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7,247</w:t>
            </w: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r>
      <w:tr>
        <w:trPr>
          <w:trHeight w:val="229"/>
        </w:trPr>
        <w:tc>
          <w:tcPr>
            <w:tcW w:w="83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Accounts payable, accrued and 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w:t>
            </w:r>
          </w:p>
        </w:tc>
      </w:tr>
      <w:tr>
        <w:trPr>
          <w:trHeight w:val="223"/>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Additions to placement and evaluation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acquisitions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Proceeds from borrowings on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23"/>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8320" w:type="dxa"/>
            <w:vAlign w:val="bottom"/>
          </w:tcPr>
          <w:p>
            <w:pPr>
              <w:ind w:left="1120"/>
              <w:spacing w:after="0"/>
              <w:rPr>
                <w:sz w:val="20"/>
                <w:szCs w:val="20"/>
                <w:color w:val="auto"/>
              </w:rPr>
            </w:pPr>
            <w:r>
              <w:rPr>
                <w:rFonts w:ascii="Arial" w:cs="Arial" w:eastAsia="Arial" w:hAnsi="Arial"/>
                <w:sz w:val="18"/>
                <w:szCs w:val="18"/>
                <w:color w:val="auto"/>
              </w:rPr>
              <w:t>Decrease in cash and cash equivalents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(6,506)</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54,435</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Accrual for capital expenditures incurred during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040" w:type="dxa"/>
            <w:vAlign w:val="bottom"/>
            <w:gridSpan w:val="5"/>
          </w:tcPr>
          <w:p>
            <w:pPr>
              <w:ind w:left="5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3"/>
                <w:szCs w:val="3"/>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2"/>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income</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38,920,951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573,507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439,457</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279,495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49,789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39,390,241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576,380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435,950</w:t>
            </w:r>
          </w:p>
        </w:tc>
        <w:tc>
          <w:tcPr>
            <w:tcW w:w="0" w:type="dxa"/>
            <w:vAlign w:val="bottom"/>
          </w:tcPr>
          <w:p>
            <w:pPr>
              <w:spacing w:after="0"/>
              <w:rPr>
                <w:sz w:val="1"/>
                <w:szCs w:val="1"/>
                <w:color w:val="auto"/>
              </w:rPr>
            </w:pPr>
          </w:p>
        </w:tc>
      </w:tr>
      <w:tr>
        <w:trPr>
          <w:trHeight w:val="878"/>
        </w:trPr>
        <w:tc>
          <w:tcPr>
            <w:tcW w:w="2720" w:type="dxa"/>
            <w:vAlign w:val="bottom"/>
          </w:tcPr>
          <w:p>
            <w:pPr>
              <w:spacing w:after="0"/>
              <w:rPr>
                <w:sz w:val="24"/>
                <w:szCs w:val="24"/>
                <w:color w:val="auto"/>
              </w:rPr>
            </w:pPr>
          </w:p>
        </w:tc>
        <w:tc>
          <w:tcPr>
            <w:tcW w:w="2040" w:type="dxa"/>
            <w:vAlign w:val="bottom"/>
            <w:gridSpan w:val="5"/>
          </w:tcPr>
          <w:p>
            <w:pPr>
              <w:ind w:left="5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3"/>
                <w:szCs w:val="3"/>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2"/>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income (loss)</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38,448,536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561,871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454,872</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164,946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79,596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38,693,078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564,225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5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Consolidated Balance Sheet as of August 31, 2021, the Consolidated Statements of Operations and the Consolidated Statements of Comprehensive Loss for the three months ended August 31, 2021 and 2020, the Consolidated Statements of Stockholders’ Equity for the three months ended August 31, 2021 and 2020 and the Consolidated Statements of Cash Flows for the three months ended August 31, 2021 and 2020 have been prepared by the Company and are unaudited. The Consolidated Balance Sheet as of May 31, 2021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August 31, 2021 (and for all periods presented) have been made.</w:t>
      </w:r>
    </w:p>
    <w:p>
      <w:pPr>
        <w:spacing w:after="0" w:line="112"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unaudited interim consolidated financial statements for the three months ended August 31, 2021 and 2020 include the accounts of AngioDynamics, Inc. and its wholly owned subsidiaries, collectively, "us", "we" or the “Company”. All intercompany balances and transactions have been eliminated.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Camaro Support Catheter Asset Acquisition</w:t>
      </w:r>
    </w:p>
    <w:p>
      <w:pPr>
        <w:spacing w:after="0" w:line="17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On July 27, 2021, the Company acquired the Camaro support catheter asset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60" w:lineRule="exact"/>
        <w:rPr>
          <w:sz w:val="20"/>
          <w:szCs w:val="20"/>
          <w:color w:val="auto"/>
        </w:rPr>
      </w:pPr>
    </w:p>
    <w:p>
      <w:pPr>
        <w:ind w:right="6660" w:firstLine="8"/>
        <w:spacing w:after="0" w:line="53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 xml:space="preserve">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net sales by Global Business Unit ("GBU") and geography: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3"/>
              </w:rPr>
              <w:t>Three Months Ended Aug 31, 2021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3"/>
              </w:rPr>
              <w:t>Three Months Ended Aug 31, 2020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Arial" w:cs="Arial" w:eastAsia="Arial" w:hAnsi="Arial"/>
                <w:sz w:val="14"/>
                <w:szCs w:val="14"/>
                <w:color w:val="auto"/>
                <w:w w:val="92"/>
              </w:rPr>
              <w:t>United States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color w:val="auto"/>
                <w:w w:val="93"/>
              </w:rPr>
              <w:t>International</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74"/>
              <w:spacing w:after="0"/>
              <w:rPr>
                <w:sz w:val="20"/>
                <w:szCs w:val="20"/>
                <w:color w:val="auto"/>
              </w:rPr>
            </w:pPr>
            <w:r>
              <w:rPr>
                <w:rFonts w:ascii="Arial" w:cs="Arial" w:eastAsia="Arial" w:hAnsi="Arial"/>
                <w:sz w:val="14"/>
                <w:szCs w:val="14"/>
                <w:color w:val="auto"/>
                <w:w w:val="92"/>
              </w:rPr>
              <w:t>United States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color w:val="auto"/>
                <w:w w:val="93"/>
              </w:rPr>
              <w:t>International</w:t>
            </w: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3"/>
        </w:trPr>
        <w:tc>
          <w:tcPr>
            <w:tcW w:w="17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760"/>
              <w:spacing w:after="0" w:line="176" w:lineRule="exact"/>
              <w:rPr>
                <w:sz w:val="20"/>
                <w:szCs w:val="20"/>
                <w:color w:val="auto"/>
              </w:rPr>
            </w:pPr>
            <w:r>
              <w:rPr>
                <w:rFonts w:ascii="Arial" w:cs="Arial" w:eastAsia="Arial" w:hAnsi="Arial"/>
                <w:sz w:val="18"/>
                <w:szCs w:val="18"/>
                <w:color w:val="auto"/>
                <w:w w:val="91"/>
              </w:rPr>
              <w:t>Endovascular</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34,753</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38,058</w:t>
            </w: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26,981</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Therapies</w:t>
            </w:r>
          </w:p>
        </w:tc>
        <w:tc>
          <w:tcPr>
            <w:tcW w:w="5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760"/>
              <w:spacing w:after="0" w:line="176" w:lineRule="exact"/>
              <w:rPr>
                <w:sz w:val="20"/>
                <w:szCs w:val="20"/>
                <w:color w:val="auto"/>
              </w:rPr>
            </w:pPr>
            <w:r>
              <w:rPr>
                <w:rFonts w:ascii="Arial" w:cs="Arial" w:eastAsia="Arial" w:hAnsi="Arial"/>
                <w:sz w:val="18"/>
                <w:szCs w:val="18"/>
                <w:color w:val="auto"/>
              </w:rPr>
              <w:t>Vascular</w:t>
            </w:r>
          </w:p>
        </w:tc>
        <w:tc>
          <w:tcPr>
            <w:tcW w:w="5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28,105</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Access</w:t>
            </w:r>
          </w:p>
        </w:tc>
        <w:tc>
          <w:tcPr>
            <w:tcW w:w="5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Oncology</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48"/>
        </w:trPr>
        <w:tc>
          <w:tcPr>
            <w:tcW w:w="17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70,216</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the Company has previously announced, the Company is focused on its ongoing transformation from a company with abroad portfolio of largely undifferentiated products to a more focused medical technology company that delivers unique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high technology products including Auryon, Mechanical Thrombectomy (which includes AngioVac and thrombolytics) and NanoKnife. We will refer to these high technology product lines as our Med Tech business and we will refer to the remainder of the portfolio as our Med Device business.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net sales by Med Tech and Med Device: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Three Months Ended</w:t>
            </w:r>
          </w:p>
        </w:tc>
      </w:tr>
      <w:tr>
        <w:trPr>
          <w:trHeight w:val="186"/>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Aug 31, 2021</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Aug 31, 2020</w:t>
            </w:r>
          </w:p>
        </w:tc>
      </w:tr>
      <w:tr>
        <w:trPr>
          <w:trHeight w:val="21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Med Tech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660"/>
              <w:spacing w:after="0"/>
              <w:rPr>
                <w:sz w:val="20"/>
                <w:szCs w:val="20"/>
                <w:color w:val="auto"/>
              </w:rPr>
            </w:pPr>
            <w:r>
              <w:rPr>
                <w:rFonts w:ascii="Arial" w:cs="Arial" w:eastAsia="Arial" w:hAnsi="Arial"/>
                <w:sz w:val="18"/>
                <w:szCs w:val="18"/>
                <w:color w:val="auto"/>
                <w:w w:val="98"/>
              </w:rPr>
              <w:t>17,619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10,486</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59,352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59,730</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8"/>
              </w:rPr>
              <w:t>76,971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70,216</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4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9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The Company enters into agreements to place placement and evaluation units (“units”) at customer sites, but the Company retains title to the units. The duration of these agreements are typically a year and the customer has the right to use the unit at no upfront charge in connection with the customer’s ongoing purchase of disposables. These types of agreements include 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embedded operating lease for the right to use the units. In these arrangements, revenue recognized for the sale of the disposables is not allocated between the disposal revenue and lease revenue due to the insignificant value of the units in relation to the total agreement value.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9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three months ended August 31, 2021,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600" w:type="dxa"/>
            <w:vAlign w:val="bottom"/>
          </w:tcPr>
          <w:p>
            <w:pPr>
              <w:spacing w:after="0"/>
              <w:rPr>
                <w:sz w:val="16"/>
                <w:szCs w:val="16"/>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color w:val="auto"/>
              </w:rPr>
              <w:t>May 31, 2021</w:t>
            </w:r>
          </w:p>
        </w:tc>
      </w:tr>
      <w:tr>
        <w:trPr>
          <w:trHeight w:val="229"/>
        </w:trPr>
        <w:tc>
          <w:tcPr>
            <w:tcW w:w="75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35,416</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35,405</w:t>
            </w:r>
          </w:p>
        </w:tc>
      </w:tr>
      <w:tr>
        <w:trPr>
          <w:trHeight w:val="229"/>
        </w:trPr>
        <w:tc>
          <w:tcPr>
            <w:tcW w:w="7520" w:type="dxa"/>
            <w:vAlign w:val="bottom"/>
          </w:tcPr>
          <w:p>
            <w:pPr>
              <w:ind w:left="440"/>
              <w:spacing w:after="0"/>
              <w:rPr>
                <w:sz w:val="20"/>
                <w:szCs w:val="20"/>
                <w:color w:val="auto"/>
              </w:rPr>
            </w:pPr>
            <w:r>
              <w:rPr>
                <w:rFonts w:ascii="Arial" w:cs="Arial" w:eastAsia="Arial" w:hAnsi="Arial"/>
                <w:sz w:val="18"/>
                <w:szCs w:val="18"/>
                <w:color w:val="auto"/>
              </w:rPr>
              <w:t>Contract assets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liabilities</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bl>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During the three months ended August 31, 2021, the Company had additions to contract liabilities of $0.4 million. This was offset by $0.4 million in revenue that was recognized during the three months ended August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Inventories are stated at lower of cost and net realizable value (using the first-in, first-out method). 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0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2021</w:t>
            </w:r>
          </w:p>
        </w:tc>
        <w:tc>
          <w:tcPr>
            <w:tcW w:w="620" w:type="dxa"/>
            <w:vAlign w:val="bottom"/>
          </w:tcPr>
          <w:p>
            <w:pPr>
              <w:spacing w:after="0"/>
              <w:rPr>
                <w:sz w:val="16"/>
                <w:szCs w:val="16"/>
                <w:color w:val="auto"/>
              </w:rPr>
            </w:pPr>
          </w:p>
        </w:tc>
        <w:tc>
          <w:tcPr>
            <w:tcW w:w="1200" w:type="dxa"/>
            <w:vAlign w:val="bottom"/>
          </w:tcPr>
          <w:p>
            <w:pPr>
              <w:jc w:val="right"/>
              <w:ind w:right="214"/>
              <w:spacing w:after="0"/>
              <w:rPr>
                <w:sz w:val="20"/>
                <w:szCs w:val="20"/>
                <w:color w:val="auto"/>
              </w:rPr>
            </w:pPr>
            <w:r>
              <w:rPr>
                <w:rFonts w:ascii="Arial" w:cs="Arial" w:eastAsia="Arial" w:hAnsi="Arial"/>
                <w:sz w:val="14"/>
                <w:szCs w:val="14"/>
                <w:color w:val="auto"/>
              </w:rPr>
              <w:t>May 31, 2021</w:t>
            </w:r>
          </w:p>
        </w:tc>
      </w:tr>
      <w:tr>
        <w:trPr>
          <w:trHeight w:val="229"/>
        </w:trPr>
        <w:tc>
          <w:tcPr>
            <w:tcW w:w="75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w:t>
            </w:r>
          </w:p>
        </w:tc>
      </w:tr>
      <w:tr>
        <w:trPr>
          <w:trHeight w:val="230"/>
        </w:trPr>
        <w:tc>
          <w:tcPr>
            <w:tcW w:w="750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8,022</w:t>
            </w:r>
          </w:p>
        </w:tc>
      </w:tr>
      <w:tr>
        <w:trPr>
          <w:trHeight w:val="229"/>
        </w:trPr>
        <w:tc>
          <w:tcPr>
            <w:tcW w:w="7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r>
      <w:tr>
        <w:trPr>
          <w:trHeight w:val="223"/>
        </w:trPr>
        <w:tc>
          <w:tcPr>
            <w:tcW w:w="750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48,614</w:t>
            </w:r>
          </w:p>
        </w:tc>
      </w:tr>
      <w:tr>
        <w:trPr>
          <w:trHeight w:val="20"/>
        </w:trPr>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August 31, 2021 and May 31, 2021 was $3.9 million and $3.8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9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2020.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3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Even though the Company determined that there was no goodwill impairment as of December 31, 2020,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2021.</w:t>
      </w:r>
    </w:p>
    <w:p>
      <w:pPr>
        <w:spacing w:after="0" w:line="133" w:lineRule="exact"/>
        <w:rPr>
          <w:sz w:val="20"/>
          <w:szCs w:val="20"/>
          <w:color w:val="auto"/>
        </w:rPr>
      </w:pPr>
    </w:p>
    <w:p>
      <w:pPr>
        <w:ind w:right="1040" w:firstLine="405"/>
        <w:spacing w:after="0" w:line="438" w:lineRule="auto"/>
        <w:rPr>
          <w:sz w:val="20"/>
          <w:szCs w:val="20"/>
          <w:color w:val="auto"/>
        </w:rPr>
      </w:pPr>
      <w:r>
        <w:rPr>
          <w:rFonts w:ascii="Arial" w:cs="Arial" w:eastAsia="Arial" w:hAnsi="Arial"/>
          <w:sz w:val="18"/>
          <w:szCs w:val="18"/>
          <w:color w:val="auto"/>
        </w:rPr>
        <w:t xml:space="preserve">There were no adjustments to goodwill for the three months ended August 31, 2021 other than foreign currency translation adjustments. </w:t>
      </w:r>
      <w:r>
        <w:rPr>
          <w:rFonts w:ascii="Arial" w:cs="Arial" w:eastAsia="Arial" w:hAnsi="Arial"/>
          <w:sz w:val="18"/>
          <w:szCs w:val="18"/>
          <w:b w:val="1"/>
          <w:bCs w:val="1"/>
          <w:i w:val="1"/>
          <w:iCs w:val="1"/>
          <w:color w:val="auto"/>
        </w:rPr>
        <w:t>Definite Lived Intangible Assets</w:t>
      </w:r>
    </w:p>
    <w:p>
      <w:pPr>
        <w:spacing w:after="0" w:line="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Aug 31, 2021</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40" w:type="dxa"/>
            <w:vAlign w:val="bottom"/>
            <w:vMerge w:val="restart"/>
          </w:tcPr>
          <w:p>
            <w:pPr>
              <w:ind w:left="440"/>
              <w:spacing w:after="0"/>
              <w:rPr>
                <w:sz w:val="20"/>
                <w:szCs w:val="20"/>
                <w:color w:val="auto"/>
              </w:rPr>
            </w:pPr>
            <w:r>
              <w:rPr>
                <w:rFonts w:ascii="Arial" w:cs="Arial" w:eastAsia="Arial" w:hAnsi="Arial"/>
                <w:sz w:val="14"/>
                <w:szCs w:val="14"/>
                <w:color w:val="auto"/>
              </w:rPr>
              <w:t>(in thousands)</w:t>
            </w:r>
          </w:p>
        </w:tc>
        <w:tc>
          <w:tcPr>
            <w:tcW w:w="1880" w:type="dxa"/>
            <w:vAlign w:val="bottom"/>
            <w:gridSpan w:val="3"/>
            <w:vMerge w:val="restart"/>
          </w:tcPr>
          <w:p>
            <w:pPr>
              <w:ind w:left="500"/>
              <w:spacing w:after="0"/>
              <w:rPr>
                <w:sz w:val="20"/>
                <w:szCs w:val="20"/>
                <w:color w:val="auto"/>
              </w:rPr>
            </w:pPr>
            <w:r>
              <w:rPr>
                <w:rFonts w:ascii="Arial" w:cs="Arial" w:eastAsia="Arial" w:hAnsi="Arial"/>
                <w:sz w:val="14"/>
                <w:szCs w:val="14"/>
                <w:color w:val="auto"/>
              </w:rPr>
              <w:t>Gross carrying value</w:t>
            </w:r>
          </w:p>
        </w:tc>
        <w:tc>
          <w:tcPr>
            <w:tcW w:w="540" w:type="dxa"/>
            <w:vAlign w:val="bottom"/>
          </w:tcPr>
          <w:p>
            <w:pPr>
              <w:spacing w:after="0"/>
              <w:rPr>
                <w:sz w:val="11"/>
                <w:szCs w:val="11"/>
                <w:color w:val="auto"/>
              </w:rPr>
            </w:pPr>
          </w:p>
        </w:tc>
        <w:tc>
          <w:tcPr>
            <w:tcW w:w="138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Accumulated</w:t>
            </w:r>
          </w:p>
        </w:tc>
        <w:tc>
          <w:tcPr>
            <w:tcW w:w="540" w:type="dxa"/>
            <w:vAlign w:val="bottom"/>
          </w:tcPr>
          <w:p>
            <w:pPr>
              <w:spacing w:after="0"/>
              <w:rPr>
                <w:sz w:val="11"/>
                <w:szCs w:val="11"/>
                <w:color w:val="auto"/>
              </w:rPr>
            </w:pPr>
          </w:p>
        </w:tc>
        <w:tc>
          <w:tcPr>
            <w:tcW w:w="1260" w:type="dxa"/>
            <w:vAlign w:val="bottom"/>
            <w:vMerge w:val="restart"/>
          </w:tcPr>
          <w:p>
            <w:pPr>
              <w:jc w:val="right"/>
              <w:ind w:right="7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6"/>
        </w:trPr>
        <w:tc>
          <w:tcPr>
            <w:tcW w:w="5640" w:type="dxa"/>
            <w:vAlign w:val="bottom"/>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5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6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Product technologies</w:t>
            </w:r>
          </w:p>
        </w:tc>
        <w:tc>
          <w:tcPr>
            <w:tcW w:w="8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241,758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(101,188)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140,570</w:t>
            </w:r>
          </w:p>
        </w:tc>
        <w:tc>
          <w:tcPr>
            <w:tcW w:w="0" w:type="dxa"/>
            <w:vAlign w:val="bottom"/>
          </w:tcPr>
          <w:p>
            <w:pPr>
              <w:spacing w:after="0"/>
              <w:rPr>
                <w:sz w:val="1"/>
                <w:szCs w:val="1"/>
                <w:color w:val="auto"/>
              </w:rPr>
            </w:pPr>
          </w:p>
        </w:tc>
      </w:tr>
      <w:tr>
        <w:trPr>
          <w:trHeight w:val="230"/>
        </w:trPr>
        <w:tc>
          <w:tcPr>
            <w:tcW w:w="564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8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25,123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w:t>
            </w:r>
          </w:p>
        </w:tc>
        <w:tc>
          <w:tcPr>
            <w:tcW w:w="8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Licenses</w:t>
            </w: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020" w:type="dxa"/>
            <w:vAlign w:val="bottom"/>
            <w:tcBorders>
              <w:top w:val="single" w:sz="8" w:color="0000FF"/>
            </w:tcBorders>
          </w:tcPr>
          <w:p>
            <w:pPr>
              <w:spacing w:after="0"/>
              <w:rPr>
                <w:sz w:val="24"/>
                <w:szCs w:val="24"/>
                <w:color w:val="auto"/>
              </w:rPr>
            </w:pPr>
          </w:p>
        </w:tc>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2021</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6"/>
        </w:trPr>
        <w:tc>
          <w:tcPr>
            <w:tcW w:w="6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139,564</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26,127</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8"/>
        </w:trPr>
        <w:tc>
          <w:tcPr>
            <w:tcW w:w="10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168,977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for the three months ended August 31, 2021 and 2020 was $4.8 million and $5.0 million,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Remainder of 2022</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w:t>
            </w:r>
          </w:p>
        </w:tc>
        <w:tc>
          <w:tcPr>
            <w:tcW w:w="0" w:type="dxa"/>
            <w:vAlign w:val="bottom"/>
          </w:tcPr>
          <w:p>
            <w:pPr>
              <w:spacing w:after="0"/>
              <w:rPr>
                <w:sz w:val="1"/>
                <w:szCs w:val="1"/>
                <w:color w:val="auto"/>
              </w:rPr>
            </w:pPr>
          </w:p>
        </w:tc>
      </w:tr>
      <w:tr>
        <w:trPr>
          <w:trHeight w:val="229"/>
        </w:trPr>
        <w:tc>
          <w:tcPr>
            <w:tcW w:w="7520" w:type="dxa"/>
            <w:vAlign w:val="bottom"/>
          </w:tcPr>
          <w:p>
            <w:pPr>
              <w:ind w:left="44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19,034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16,826</w:t>
            </w:r>
          </w:p>
        </w:tc>
        <w:tc>
          <w:tcPr>
            <w:tcW w:w="0" w:type="dxa"/>
            <w:vAlign w:val="bottom"/>
          </w:tcPr>
          <w:p>
            <w:pPr>
              <w:spacing w:after="0"/>
              <w:rPr>
                <w:sz w:val="1"/>
                <w:szCs w:val="1"/>
                <w:color w:val="auto"/>
              </w:rPr>
            </w:pPr>
          </w:p>
        </w:tc>
      </w:tr>
      <w:tr>
        <w:trPr>
          <w:trHeight w:val="230"/>
        </w:trPr>
        <w:tc>
          <w:tcPr>
            <w:tcW w:w="7520" w:type="dxa"/>
            <w:vAlign w:val="bottom"/>
          </w:tcPr>
          <w:p>
            <w:pPr>
              <w:ind w:left="440"/>
              <w:spacing w:after="0"/>
              <w:rPr>
                <w:sz w:val="20"/>
                <w:szCs w:val="20"/>
                <w:color w:val="auto"/>
              </w:rPr>
            </w:pPr>
            <w:r>
              <w:rPr>
                <w:rFonts w:ascii="Arial" w:cs="Arial" w:eastAsia="Arial" w:hAnsi="Arial"/>
                <w:sz w:val="18"/>
                <w:szCs w:val="18"/>
                <w:color w:val="auto"/>
              </w:rPr>
              <w:t>2025</w:t>
            </w: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16,807</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2026</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2027 and thereafter</w:t>
            </w:r>
          </w:p>
        </w:tc>
        <w:tc>
          <w:tcPr>
            <w:tcW w:w="6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84,964</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5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ind w:left="420"/>
              <w:spacing w:after="0"/>
              <w:rPr>
                <w:sz w:val="20"/>
                <w:szCs w:val="20"/>
                <w:color w:val="auto"/>
              </w:rPr>
            </w:pPr>
            <w:r>
              <w:rPr>
                <w:rFonts w:ascii="Arial" w:cs="Arial" w:eastAsia="Arial" w:hAnsi="Arial"/>
                <w:sz w:val="18"/>
                <w:szCs w:val="18"/>
                <w:color w:val="auto"/>
              </w:rPr>
              <w:t>Accrued liabilities consisted of the following:</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May 31, 2021</w:t>
            </w:r>
          </w:p>
        </w:tc>
        <w:tc>
          <w:tcPr>
            <w:tcW w:w="0" w:type="dxa"/>
            <w:vAlign w:val="bottom"/>
          </w:tcPr>
          <w:p>
            <w:pPr>
              <w:spacing w:after="0"/>
              <w:rPr>
                <w:sz w:val="1"/>
                <w:szCs w:val="1"/>
                <w:color w:val="auto"/>
              </w:rPr>
            </w:pPr>
          </w:p>
        </w:tc>
      </w:tr>
      <w:tr>
        <w:trPr>
          <w:trHeight w:val="229"/>
        </w:trPr>
        <w:tc>
          <w:tcPr>
            <w:tcW w:w="75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Payroll and related expenses</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20,408</w:t>
            </w:r>
          </w:p>
        </w:tc>
        <w:tc>
          <w:tcPr>
            <w:tcW w:w="0" w:type="dxa"/>
            <w:vAlign w:val="bottom"/>
          </w:tcPr>
          <w:p>
            <w:pPr>
              <w:spacing w:after="0"/>
              <w:rPr>
                <w:sz w:val="1"/>
                <w:szCs w:val="1"/>
                <w:color w:val="auto"/>
              </w:rPr>
            </w:pPr>
          </w:p>
        </w:tc>
      </w:tr>
      <w:tr>
        <w:trPr>
          <w:trHeight w:val="230"/>
        </w:trPr>
        <w:tc>
          <w:tcPr>
            <w:tcW w:w="7520" w:type="dxa"/>
            <w:vAlign w:val="bottom"/>
          </w:tcPr>
          <w:p>
            <w:pPr>
              <w:ind w:left="440"/>
              <w:spacing w:after="0"/>
              <w:rPr>
                <w:sz w:val="20"/>
                <w:szCs w:val="20"/>
                <w:color w:val="auto"/>
              </w:rPr>
            </w:pPr>
            <w:r>
              <w:rPr>
                <w:rFonts w:ascii="Arial" w:cs="Arial" w:eastAsia="Arial" w:hAnsi="Arial"/>
                <w:sz w:val="18"/>
                <w:szCs w:val="18"/>
                <w:color w:val="auto"/>
              </w:rPr>
              <w:t>Royalties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severance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7520" w:type="dxa"/>
            <w:vAlign w:val="bottom"/>
          </w:tcPr>
          <w:p>
            <w:pPr>
              <w:ind w:left="440"/>
              <w:spacing w:after="0"/>
              <w:rPr>
                <w:sz w:val="20"/>
                <w:szCs w:val="20"/>
                <w:color w:val="auto"/>
              </w:rPr>
            </w:pPr>
            <w:r>
              <w:rPr>
                <w:rFonts w:ascii="Arial" w:cs="Arial" w:eastAsia="Arial" w:hAnsi="Arial"/>
                <w:sz w:val="18"/>
                <w:szCs w:val="18"/>
                <w:color w:val="auto"/>
              </w:rPr>
              <w:t>Sales and franchise taxes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services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30"/>
        </w:trPr>
        <w:tc>
          <w:tcPr>
            <w:tcW w:w="7520" w:type="dxa"/>
            <w:vAlign w:val="bottom"/>
          </w:tcPr>
          <w:p>
            <w:pPr>
              <w:ind w:left="440"/>
              <w:spacing w:after="0"/>
              <w:rPr>
                <w:sz w:val="20"/>
                <w:szCs w:val="20"/>
                <w:color w:val="auto"/>
              </w:rPr>
            </w:pPr>
            <w:r>
              <w:rPr>
                <w:rFonts w:ascii="Arial" w:cs="Arial" w:eastAsia="Arial" w:hAnsi="Arial"/>
                <w:sz w:val="18"/>
                <w:szCs w:val="18"/>
                <w:color w:val="auto"/>
              </w:rPr>
              <w:t>Litigation Matters</w:t>
            </w:r>
          </w:p>
        </w:tc>
        <w:tc>
          <w:tcPr>
            <w:tcW w:w="6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Rebates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On June 3, 2019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3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Credit Agreement has a five year maturity. Interest on the facility is based, at the Company’s option, on either a base rate of LIBOR or alternate base rate, plus an applicable margin tied to the Company’s total leverage ratio and having ranges between 0.25% and 0.75% for base rate loans and between 1.25% and 1.75% for LIBOR loans. After default, the interest rate may be increased by 2.0%. The facility also carries a commitment fee of 0.20% to 0.25% per annum on the unused portion.</w:t>
      </w:r>
    </w:p>
    <w:p>
      <w:pPr>
        <w:spacing w:after="0" w:line="13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3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70" w:lineRule="exact"/>
        <w:rPr>
          <w:sz w:val="20"/>
          <w:szCs w:val="20"/>
          <w:color w:val="auto"/>
        </w:rPr>
      </w:pPr>
    </w:p>
    <w:p>
      <w:pPr>
        <w:ind w:left="660" w:right="340" w:hanging="247"/>
        <w:spacing w:after="0" w:line="258" w:lineRule="auto"/>
        <w:tabs>
          <w:tab w:leader="none" w:pos="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 w:lineRule="exact"/>
        <w:rPr>
          <w:rFonts w:ascii="Arial" w:cs="Arial" w:eastAsia="Arial" w:hAnsi="Arial"/>
          <w:sz w:val="18"/>
          <w:szCs w:val="18"/>
          <w:color w:val="auto"/>
        </w:rPr>
      </w:pPr>
    </w:p>
    <w:p>
      <w:pPr>
        <w:ind w:left="660" w:right="140" w:hanging="247"/>
        <w:spacing w:after="0" w:line="290" w:lineRule="auto"/>
        <w:tabs>
          <w:tab w:leader="none" w:pos="655" w:val="left"/>
        </w:tabs>
        <w:numPr>
          <w:ilvl w:val="1"/>
          <w:numId w:val="4"/>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02" w:lineRule="exact"/>
        <w:rPr>
          <w:rFonts w:ascii="Arial" w:cs="Arial" w:eastAsia="Arial" w:hAnsi="Arial"/>
          <w:sz w:val="17"/>
          <w:szCs w:val="17"/>
          <w:color w:val="auto"/>
        </w:rPr>
      </w:pPr>
    </w:p>
    <w:p>
      <w:pPr>
        <w:ind w:right="200"/>
        <w:spacing w:after="0" w:line="273" w:lineRule="auto"/>
        <w:rPr>
          <w:rFonts w:ascii="Arial" w:cs="Arial" w:eastAsia="Arial" w:hAnsi="Arial"/>
          <w:sz w:val="17"/>
          <w:szCs w:val="17"/>
          <w:color w:val="auto"/>
        </w:rPr>
      </w:pPr>
      <w:r>
        <w:rPr>
          <w:rFonts w:ascii="Arial" w:cs="Arial" w:eastAsia="Arial" w:hAnsi="Arial"/>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June 6, 2019.</w:t>
      </w:r>
    </w:p>
    <w:p>
      <w:pPr>
        <w:spacing w:after="0" w:line="12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August 31, 2021, there was $25.0 million outstanding on the Revolving Facility. As of August 31, 2021 and May 31, 2021, the carrying value of long-term debt approximated its fair market value.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interest rate on the Revolving Facility at August 31, 2021 was 1.34%.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10.6% as of the first quarter of fiscal year 2022, as compared to 14.2% for the same period in fiscal year 2021. In fiscal year 2022,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0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3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August 31, 2021.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7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As of August 31, 2021, there was a maximum of 1.7 million shares of common stock available for future grant under the 2020 Plan.</w:t>
      </w:r>
    </w:p>
    <w:p>
      <w:pPr>
        <w:spacing w:after="0" w:line="11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30"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Company also has an employee stock purchase plan. As of August 31, 2021, there was a maximum of 2.4 million shares of common stock available for future grant under the employee stock purchase plan.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August 31, 2021 and 2020, share-based compensation expense was $2.4 million and $1.9 million, respectively.</w:t>
      </w:r>
    </w:p>
    <w:p>
      <w:pPr>
        <w:spacing w:after="0" w:line="18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During the three months ended August 31, 2021 and 2020, the Company granted stock options and restricted stock units under the 2020 and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During the three months ended August 31, 2021 and 2020, the Company granted performance share units under the 2020 and 2004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are based on the closing trading value of the Company’s common stock on the date of grant and use a Monte Carlo simulation model.</w:t>
      </w:r>
    </w:p>
    <w:p>
      <w:pPr>
        <w:spacing w:after="0" w:line="134"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As of August 31, 2021, there was $22.4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color w:val="auto"/>
              </w:rPr>
              <w:t>Three Months Ended</w:t>
            </w:r>
          </w:p>
        </w:tc>
      </w:tr>
      <w:tr>
        <w:trPr>
          <w:trHeight w:val="186"/>
        </w:trPr>
        <w:tc>
          <w:tcPr>
            <w:tcW w:w="826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1540" w:type="dxa"/>
            <w:vAlign w:val="bottom"/>
            <w:gridSpan w:val="2"/>
          </w:tcPr>
          <w:p>
            <w:pPr>
              <w:ind w:left="540"/>
              <w:spacing w:after="0"/>
              <w:rPr>
                <w:sz w:val="20"/>
                <w:szCs w:val="20"/>
                <w:color w:val="auto"/>
              </w:rPr>
            </w:pPr>
            <w:r>
              <w:rPr>
                <w:rFonts w:ascii="Arial" w:cs="Arial" w:eastAsia="Arial" w:hAnsi="Arial"/>
                <w:sz w:val="14"/>
                <w:szCs w:val="14"/>
                <w:color w:val="auto"/>
              </w:rPr>
              <w:t>Aug 31, 2021</w:t>
            </w:r>
          </w:p>
        </w:tc>
        <w:tc>
          <w:tcPr>
            <w:tcW w:w="1440" w:type="dxa"/>
            <w:vAlign w:val="bottom"/>
          </w:tcPr>
          <w:p>
            <w:pPr>
              <w:jc w:val="right"/>
              <w:ind w:right="34"/>
              <w:spacing w:after="0"/>
              <w:rPr>
                <w:sz w:val="20"/>
                <w:szCs w:val="20"/>
                <w:color w:val="auto"/>
              </w:rPr>
            </w:pPr>
            <w:r>
              <w:rPr>
                <w:rFonts w:ascii="Arial" w:cs="Arial" w:eastAsia="Arial" w:hAnsi="Arial"/>
                <w:sz w:val="14"/>
                <w:szCs w:val="14"/>
                <w:color w:val="auto"/>
              </w:rPr>
              <w:t>Aug 31, 2020</w:t>
            </w:r>
          </w:p>
        </w:tc>
      </w:tr>
      <w:tr>
        <w:trPr>
          <w:trHeight w:val="226"/>
        </w:trPr>
        <w:tc>
          <w:tcPr>
            <w:tcW w:w="82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38,157</w:t>
            </w:r>
          </w:p>
        </w:tc>
      </w:tr>
      <w:tr>
        <w:trPr>
          <w:trHeight w:val="230"/>
        </w:trPr>
        <w:tc>
          <w:tcPr>
            <w:tcW w:w="826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8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75" w:lineRule="exact"/>
        <w:rPr>
          <w:sz w:val="20"/>
          <w:szCs w:val="20"/>
          <w:color w:val="auto"/>
        </w:rPr>
      </w:pPr>
    </w:p>
    <w:p>
      <w:pPr>
        <w:ind w:right="460" w:firstLine="405"/>
        <w:spacing w:after="0" w:line="257" w:lineRule="auto"/>
        <w:rPr>
          <w:sz w:val="20"/>
          <w:szCs w:val="20"/>
          <w:color w:val="auto"/>
        </w:rPr>
      </w:pPr>
      <w:r>
        <w:rPr>
          <w:rFonts w:ascii="Arial" w:cs="Arial" w:eastAsia="Arial" w:hAnsi="Arial"/>
          <w:sz w:val="18"/>
          <w:szCs w:val="18"/>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utilizing various breakouts of the data including Global Business Unit, Med Tech versus Med Device and geography. Executives reporting to the CEO include those responsible for commercial operations, manufacturing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regulatory and quality and certain corporate functions. The CEO evaluates profitability, investment and cash flow metrics on a consolidated worldwide basis due to shared infrastructure and resources.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9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6"/>
        </w:trPr>
        <w:tc>
          <w:tcPr>
            <w:tcW w:w="7540" w:type="dxa"/>
            <w:vAlign w:val="bottom"/>
            <w:gridSpan w:val="2"/>
          </w:tcPr>
          <w:p>
            <w:pPr>
              <w:ind w:left="440"/>
              <w:spacing w:after="0"/>
              <w:rPr>
                <w:sz w:val="20"/>
                <w:szCs w:val="20"/>
                <w:color w:val="auto"/>
              </w:rPr>
            </w:pPr>
            <w:r>
              <w:rPr>
                <w:rFonts w:ascii="Arial" w:cs="Arial" w:eastAsia="Arial" w:hAnsi="Arial"/>
                <w:sz w:val="14"/>
                <w:szCs w:val="14"/>
                <w:color w:val="auto"/>
              </w:rPr>
              <w:t>(in thousands)</w:t>
            </w:r>
          </w:p>
        </w:tc>
        <w:tc>
          <w:tcPr>
            <w:tcW w:w="2260" w:type="dxa"/>
            <w:vAlign w:val="bottom"/>
            <w:gridSpan w:val="8"/>
          </w:tcPr>
          <w:p>
            <w:pPr>
              <w:ind w:left="700"/>
              <w:spacing w:after="0"/>
              <w:rPr>
                <w:sz w:val="20"/>
                <w:szCs w:val="20"/>
                <w:color w:val="auto"/>
              </w:rPr>
            </w:pPr>
            <w:r>
              <w:rPr>
                <w:rFonts w:ascii="Arial" w:cs="Arial" w:eastAsia="Arial" w:hAnsi="Arial"/>
                <w:sz w:val="14"/>
                <w:szCs w:val="14"/>
                <w:color w:val="auto"/>
              </w:rPr>
              <w:t>Aug 31, 2021</w:t>
            </w:r>
          </w:p>
        </w:tc>
        <w:tc>
          <w:tcPr>
            <w:tcW w:w="240" w:type="dxa"/>
            <w:vAlign w:val="bottom"/>
          </w:tcPr>
          <w:p>
            <w:pPr>
              <w:spacing w:after="0"/>
              <w:rPr>
                <w:sz w:val="16"/>
                <w:szCs w:val="16"/>
                <w:color w:val="auto"/>
              </w:rPr>
            </w:pPr>
          </w:p>
        </w:tc>
        <w:tc>
          <w:tcPr>
            <w:tcW w:w="1200" w:type="dxa"/>
            <w:vAlign w:val="bottom"/>
          </w:tcPr>
          <w:p>
            <w:pPr>
              <w:ind w:left="120"/>
              <w:spacing w:after="0"/>
              <w:rPr>
                <w:sz w:val="20"/>
                <w:szCs w:val="20"/>
                <w:color w:val="auto"/>
              </w:rPr>
            </w:pPr>
            <w:r>
              <w:rPr>
                <w:rFonts w:ascii="Arial" w:cs="Arial" w:eastAsia="Arial" w:hAnsi="Arial"/>
                <w:sz w:val="14"/>
                <w:szCs w:val="14"/>
                <w:color w:val="auto"/>
              </w:rPr>
              <w:t>Aug 31, 2020</w:t>
            </w:r>
          </w:p>
        </w:tc>
        <w:tc>
          <w:tcPr>
            <w:tcW w:w="0" w:type="dxa"/>
            <w:vAlign w:val="bottom"/>
          </w:tcPr>
          <w:p>
            <w:pPr>
              <w:spacing w:after="0"/>
              <w:rPr>
                <w:sz w:val="1"/>
                <w:szCs w:val="1"/>
                <w:color w:val="auto"/>
              </w:rPr>
            </w:pPr>
          </w:p>
        </w:tc>
      </w:tr>
      <w:tr>
        <w:trPr>
          <w:trHeight w:val="213"/>
        </w:trPr>
        <w:tc>
          <w:tcPr>
            <w:tcW w:w="754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Endovascular Therapies</w:t>
            </w:r>
          </w:p>
        </w:tc>
        <w:tc>
          <w:tcPr>
            <w:tcW w:w="7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Vascular Access</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28,105</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gridSpan w:val="2"/>
          </w:tcPr>
          <w:p>
            <w:pPr>
              <w:ind w:left="760"/>
              <w:spacing w:after="0"/>
              <w:rPr>
                <w:sz w:val="20"/>
                <w:szCs w:val="20"/>
                <w:color w:val="auto"/>
              </w:rPr>
            </w:pPr>
            <w:r>
              <w:rPr>
                <w:rFonts w:ascii="Arial" w:cs="Arial" w:eastAsia="Arial" w:hAnsi="Arial"/>
                <w:sz w:val="18"/>
                <w:szCs w:val="18"/>
                <w:color w:val="auto"/>
              </w:rPr>
              <w:t>Oncology</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gridSpan w:val="2"/>
            <w:shd w:val="clear" w:color="auto" w:fill="CCEEFF"/>
          </w:tcPr>
          <w:p>
            <w:pPr>
              <w:jc w:val="center"/>
              <w:ind w:right="5020"/>
              <w:spacing w:after="0"/>
              <w:rPr>
                <w:sz w:val="20"/>
                <w:szCs w:val="20"/>
                <w:color w:val="auto"/>
              </w:rPr>
            </w:pPr>
            <w:r>
              <w:rPr>
                <w:rFonts w:ascii="Arial" w:cs="Arial" w:eastAsia="Arial" w:hAnsi="Arial"/>
                <w:sz w:val="18"/>
                <w:szCs w:val="18"/>
                <w:color w:val="auto"/>
                <w:w w:val="89"/>
              </w:rPr>
              <w:t>Total</w:t>
            </w:r>
          </w:p>
        </w:tc>
        <w:tc>
          <w:tcPr>
            <w:tcW w:w="7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Arial" w:cs="Arial" w:eastAsia="Arial" w:hAnsi="Arial"/>
                <w:sz w:val="18"/>
                <w:szCs w:val="18"/>
                <w:color w:val="auto"/>
              </w:rPr>
              <w:t>The table below summarizes net sales by Med Tech and Med Device:</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6"/>
        </w:trPr>
        <w:tc>
          <w:tcPr>
            <w:tcW w:w="75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6"/>
          </w:tcPr>
          <w:p>
            <w:pPr>
              <w:ind w:left="120"/>
              <w:spacing w:after="0"/>
              <w:rPr>
                <w:sz w:val="20"/>
                <w:szCs w:val="20"/>
                <w:color w:val="auto"/>
              </w:rPr>
            </w:pPr>
            <w:r>
              <w:rPr>
                <w:rFonts w:ascii="Arial" w:cs="Arial" w:eastAsia="Arial" w:hAnsi="Arial"/>
                <w:sz w:val="14"/>
                <w:szCs w:val="14"/>
                <w:color w:val="auto"/>
              </w:rPr>
              <w:t>Aug 31, 2021</w:t>
            </w:r>
          </w:p>
        </w:tc>
        <w:tc>
          <w:tcPr>
            <w:tcW w:w="24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auto"/>
              </w:rPr>
              <w:t>Aug 31, 2020</w:t>
            </w:r>
          </w:p>
        </w:tc>
        <w:tc>
          <w:tcPr>
            <w:tcW w:w="0" w:type="dxa"/>
            <w:vAlign w:val="bottom"/>
          </w:tcPr>
          <w:p>
            <w:pPr>
              <w:spacing w:after="0"/>
              <w:rPr>
                <w:sz w:val="1"/>
                <w:szCs w:val="1"/>
                <w:color w:val="auto"/>
              </w:rPr>
            </w:pPr>
          </w:p>
        </w:tc>
      </w:tr>
      <w:tr>
        <w:trPr>
          <w:trHeight w:val="213"/>
        </w:trPr>
        <w:tc>
          <w:tcPr>
            <w:tcW w:w="7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Med Tech</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5"/>
          </w:tcPr>
          <w:p>
            <w:pPr>
              <w:ind w:left="660"/>
              <w:spacing w:after="0"/>
              <w:rPr>
                <w:sz w:val="20"/>
                <w:szCs w:val="20"/>
                <w:color w:val="auto"/>
              </w:rPr>
            </w:pPr>
            <w:r>
              <w:rPr>
                <w:rFonts w:ascii="Arial" w:cs="Arial" w:eastAsia="Arial" w:hAnsi="Arial"/>
                <w:sz w:val="18"/>
                <w:szCs w:val="18"/>
                <w:color w:val="auto"/>
                <w:w w:val="98"/>
              </w:rPr>
              <w:t>17,619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Med Device</w:t>
            </w:r>
          </w:p>
        </w:tc>
        <w:tc>
          <w:tcPr>
            <w:tcW w:w="7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5"/>
            <w:shd w:val="clear" w:color="auto" w:fill="CCEEFF"/>
          </w:tcPr>
          <w:p>
            <w:pPr>
              <w:ind w:left="660"/>
              <w:spacing w:after="0"/>
              <w:rPr>
                <w:sz w:val="20"/>
                <w:szCs w:val="20"/>
                <w:color w:val="auto"/>
              </w:rPr>
            </w:pPr>
            <w:r>
              <w:rPr>
                <w:rFonts w:ascii="Arial" w:cs="Arial" w:eastAsia="Arial" w:hAnsi="Arial"/>
                <w:sz w:val="18"/>
                <w:szCs w:val="18"/>
                <w:color w:val="auto"/>
                <w:w w:val="98"/>
              </w:rPr>
              <w:t>59,352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59,730</w:t>
            </w:r>
          </w:p>
        </w:tc>
        <w:tc>
          <w:tcPr>
            <w:tcW w:w="0" w:type="dxa"/>
            <w:vAlign w:val="bottom"/>
          </w:tcPr>
          <w:p>
            <w:pPr>
              <w:spacing w:after="0"/>
              <w:rPr>
                <w:sz w:val="1"/>
                <w:szCs w:val="1"/>
                <w:color w:val="auto"/>
              </w:rPr>
            </w:pPr>
          </w:p>
        </w:tc>
      </w:tr>
      <w:tr>
        <w:trPr>
          <w:trHeight w:val="223"/>
        </w:trPr>
        <w:tc>
          <w:tcPr>
            <w:tcW w:w="754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color w:val="auto"/>
                <w:w w:val="98"/>
              </w:rPr>
              <w:t>76,971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70,216</w:t>
            </w:r>
          </w:p>
        </w:tc>
        <w:tc>
          <w:tcPr>
            <w:tcW w:w="0" w:type="dxa"/>
            <w:vAlign w:val="bottom"/>
          </w:tcPr>
          <w:p>
            <w:pPr>
              <w:spacing w:after="0"/>
              <w:rPr>
                <w:sz w:val="1"/>
                <w:szCs w:val="1"/>
                <w:color w:val="auto"/>
              </w:rPr>
            </w:pPr>
          </w:p>
        </w:tc>
      </w:tr>
      <w:tr>
        <w:trPr>
          <w:trHeight w:val="21"/>
        </w:trPr>
        <w:tc>
          <w:tcPr>
            <w:tcW w:w="7540" w:type="dxa"/>
            <w:vAlign w:val="bottom"/>
            <w:gridSpan w:val="2"/>
            <w:vMerge w:val="restart"/>
          </w:tcPr>
          <w:p>
            <w:pPr>
              <w:ind w:left="460"/>
              <w:spacing w:after="0"/>
              <w:rPr>
                <w:sz w:val="20"/>
                <w:szCs w:val="20"/>
                <w:color w:val="auto"/>
              </w:rPr>
            </w:pPr>
            <w:r>
              <w:rPr>
                <w:rFonts w:ascii="Arial" w:cs="Arial" w:eastAsia="Arial" w:hAnsi="Arial"/>
                <w:sz w:val="18"/>
                <w:szCs w:val="18"/>
                <w:color w:val="auto"/>
                <w:w w:val="92"/>
              </w:rPr>
              <w:t>The table below summarizes net sales by geographic area based on external customer location:</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right"/>
              <w:ind w:right="97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5"/>
        </w:trPr>
        <w:tc>
          <w:tcPr>
            <w:tcW w:w="7440" w:type="dxa"/>
            <w:vAlign w:val="bottom"/>
          </w:tcPr>
          <w:p>
            <w:pPr>
              <w:ind w:left="48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2260" w:type="dxa"/>
            <w:vAlign w:val="bottom"/>
            <w:gridSpan w:val="8"/>
          </w:tcPr>
          <w:p>
            <w:pPr>
              <w:ind w:left="660"/>
              <w:spacing w:after="0"/>
              <w:rPr>
                <w:sz w:val="20"/>
                <w:szCs w:val="20"/>
                <w:color w:val="auto"/>
              </w:rPr>
            </w:pPr>
            <w:r>
              <w:rPr>
                <w:rFonts w:ascii="Arial" w:cs="Arial" w:eastAsia="Arial" w:hAnsi="Arial"/>
                <w:sz w:val="14"/>
                <w:szCs w:val="14"/>
                <w:color w:val="auto"/>
              </w:rPr>
              <w:t>Aug 31, 2021</w:t>
            </w:r>
          </w:p>
        </w:tc>
        <w:tc>
          <w:tcPr>
            <w:tcW w:w="24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auto"/>
              </w:rPr>
              <w:t>Aug 31, 2020</w:t>
            </w:r>
          </w:p>
        </w:tc>
        <w:tc>
          <w:tcPr>
            <w:tcW w:w="0" w:type="dxa"/>
            <w:vAlign w:val="bottom"/>
          </w:tcPr>
          <w:p>
            <w:pPr>
              <w:spacing w:after="0"/>
              <w:rPr>
                <w:sz w:val="1"/>
                <w:szCs w:val="1"/>
                <w:color w:val="auto"/>
              </w:rPr>
            </w:pPr>
          </w:p>
        </w:tc>
      </w:tr>
      <w:tr>
        <w:trPr>
          <w:trHeight w:val="213"/>
        </w:trPr>
        <w:tc>
          <w:tcPr>
            <w:tcW w:w="74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ind w:right="4980"/>
              <w:spacing w:after="0"/>
              <w:rPr>
                <w:sz w:val="20"/>
                <w:szCs w:val="20"/>
                <w:color w:val="auto"/>
              </w:rPr>
            </w:pPr>
            <w:r>
              <w:rPr>
                <w:rFonts w:ascii="Arial" w:cs="Arial" w:eastAsia="Arial" w:hAnsi="Arial"/>
                <w:sz w:val="18"/>
                <w:szCs w:val="18"/>
                <w:color w:val="auto"/>
                <w:w w:val="88"/>
              </w:rPr>
              <w:t>United States</w:t>
            </w:r>
          </w:p>
        </w:tc>
        <w:tc>
          <w:tcPr>
            <w:tcW w:w="7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54,108</w:t>
            </w: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jc w:val="center"/>
              <w:ind w:right="5020"/>
              <w:spacing w:after="0"/>
              <w:rPr>
                <w:sz w:val="20"/>
                <w:szCs w:val="20"/>
                <w:color w:val="auto"/>
              </w:rPr>
            </w:pPr>
            <w:r>
              <w:rPr>
                <w:rFonts w:ascii="Arial" w:cs="Arial" w:eastAsia="Arial" w:hAnsi="Arial"/>
                <w:sz w:val="18"/>
                <w:szCs w:val="18"/>
                <w:color w:val="auto"/>
                <w:w w:val="92"/>
              </w:rPr>
              <w:t>International</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23"/>
        </w:trPr>
        <w:tc>
          <w:tcPr>
            <w:tcW w:w="7440" w:type="dxa"/>
            <w:vAlign w:val="bottom"/>
          </w:tcPr>
          <w:p>
            <w:pPr>
              <w:ind w:left="11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70,216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w:t>
      </w:r>
    </w:p>
    <w:p>
      <w:pPr>
        <w:spacing w:after="0" w:line="175"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52"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16" w:lineRule="exact"/>
        <w:rPr>
          <w:sz w:val="20"/>
          <w:szCs w:val="20"/>
          <w:color w:val="auto"/>
        </w:rPr>
      </w:pPr>
    </w:p>
    <w:p>
      <w:pPr>
        <w:jc w:val="both"/>
        <w:ind w:right="340" w:firstLine="405"/>
        <w:spacing w:after="0" w:line="311"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7"/>
            <w:vMerge w:val="restart"/>
          </w:tcPr>
          <w:p>
            <w:pPr>
              <w:ind w:left="660"/>
              <w:spacing w:after="0"/>
              <w:rPr>
                <w:sz w:val="20"/>
                <w:szCs w:val="20"/>
                <w:color w:val="auto"/>
              </w:rPr>
            </w:pPr>
            <w:r>
              <w:rPr>
                <w:rFonts w:ascii="Arial" w:cs="Arial" w:eastAsia="Arial" w:hAnsi="Arial"/>
                <w:sz w:val="14"/>
                <w:szCs w:val="14"/>
                <w:color w:val="auto"/>
                <w:w w:val="91"/>
              </w:rPr>
              <w:t>Fair Value Measurements using inputs considered as: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Fair Value at Aug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color w:val="auto"/>
                <w:w w:val="96"/>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Level 1</w:t>
            </w:r>
          </w:p>
        </w:tc>
        <w:tc>
          <w:tcPr>
            <w:tcW w:w="680" w:type="dxa"/>
            <w:vAlign w:val="bottom"/>
          </w:tcPr>
          <w:p>
            <w:pPr>
              <w:spacing w:after="0"/>
              <w:rPr>
                <w:sz w:val="15"/>
                <w:szCs w:val="15"/>
                <w:color w:val="auto"/>
              </w:rPr>
            </w:pPr>
          </w:p>
        </w:tc>
        <w:tc>
          <w:tcPr>
            <w:tcW w:w="1480" w:type="dxa"/>
            <w:vAlign w:val="bottom"/>
            <w:gridSpan w:val="3"/>
          </w:tcPr>
          <w:p>
            <w:pPr>
              <w:ind w:left="140"/>
              <w:spacing w:after="0"/>
              <w:rPr>
                <w:sz w:val="20"/>
                <w:szCs w:val="20"/>
                <w:color w:val="auto"/>
              </w:rPr>
            </w:pPr>
            <w:r>
              <w:rPr>
                <w:rFonts w:ascii="Arial" w:cs="Arial" w:eastAsia="Arial" w:hAnsi="Arial"/>
                <w:sz w:val="14"/>
                <w:szCs w:val="14"/>
                <w:color w:val="auto"/>
              </w:rPr>
              <w:t>Level 2</w:t>
            </w:r>
          </w:p>
        </w:tc>
        <w:tc>
          <w:tcPr>
            <w:tcW w:w="4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color w:val="auto"/>
                <w:w w:val="97"/>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93"/>
              </w:rPr>
              <w:t>Financial Liabilities</w:t>
            </w:r>
          </w:p>
        </w:tc>
        <w:tc>
          <w:tcPr>
            <w:tcW w:w="250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Contingent consideration for acquisition earn outs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3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20" w:type="dxa"/>
            <w:vAlign w:val="bottom"/>
            <w:gridSpan w:val="7"/>
            <w:vMerge w:val="restart"/>
          </w:tcPr>
          <w:p>
            <w:pPr>
              <w:ind w:left="660"/>
              <w:spacing w:after="0"/>
              <w:rPr>
                <w:sz w:val="20"/>
                <w:szCs w:val="20"/>
                <w:color w:val="auto"/>
              </w:rPr>
            </w:pPr>
            <w:r>
              <w:rPr>
                <w:rFonts w:ascii="Arial" w:cs="Arial" w:eastAsia="Arial" w:hAnsi="Arial"/>
                <w:sz w:val="14"/>
                <w:szCs w:val="14"/>
                <w:color w:val="auto"/>
                <w:w w:val="91"/>
              </w:rPr>
              <w:t>Fair Value Measurements using inputs considered as: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Fair Value at May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color w:val="auto"/>
                <w:w w:val="96"/>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color w:val="auto"/>
              </w:rPr>
              <w:t>Level 1</w:t>
            </w:r>
          </w:p>
        </w:tc>
        <w:tc>
          <w:tcPr>
            <w:tcW w:w="680" w:type="dxa"/>
            <w:vAlign w:val="bottom"/>
          </w:tcPr>
          <w:p>
            <w:pPr>
              <w:spacing w:after="0"/>
              <w:rPr>
                <w:sz w:val="15"/>
                <w:szCs w:val="15"/>
                <w:color w:val="auto"/>
              </w:rPr>
            </w:pPr>
          </w:p>
        </w:tc>
        <w:tc>
          <w:tcPr>
            <w:tcW w:w="1480" w:type="dxa"/>
            <w:vAlign w:val="bottom"/>
            <w:gridSpan w:val="3"/>
          </w:tcPr>
          <w:p>
            <w:pPr>
              <w:ind w:left="140"/>
              <w:spacing w:after="0"/>
              <w:rPr>
                <w:sz w:val="20"/>
                <w:szCs w:val="20"/>
                <w:color w:val="auto"/>
              </w:rPr>
            </w:pPr>
            <w:r>
              <w:rPr>
                <w:rFonts w:ascii="Arial" w:cs="Arial" w:eastAsia="Arial" w:hAnsi="Arial"/>
                <w:sz w:val="14"/>
                <w:szCs w:val="14"/>
                <w:color w:val="auto"/>
              </w:rPr>
              <w:t>Level 2</w:t>
            </w:r>
          </w:p>
        </w:tc>
        <w:tc>
          <w:tcPr>
            <w:tcW w:w="4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color w:val="auto"/>
                <w:w w:val="97"/>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93"/>
              </w:rPr>
              <w:t>Financial Liabilities</w:t>
            </w:r>
          </w:p>
        </w:tc>
        <w:tc>
          <w:tcPr>
            <w:tcW w:w="250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9"/>
              </w:rPr>
              <w:t>Contingent consideration for acquisition earn outs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3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80" w:type="dxa"/>
            <w:vAlign w:val="bottom"/>
            <w:gridSpan w:val="11"/>
          </w:tcPr>
          <w:p>
            <w:pPr>
              <w:ind w:left="420"/>
              <w:spacing w:after="0"/>
              <w:rPr>
                <w:sz w:val="20"/>
                <w:szCs w:val="20"/>
                <w:color w:val="auto"/>
              </w:rPr>
            </w:pPr>
            <w:r>
              <w:rPr>
                <w:rFonts w:ascii="Arial" w:cs="Arial" w:eastAsia="Arial" w:hAnsi="Arial"/>
                <w:sz w:val="18"/>
                <w:szCs w:val="18"/>
                <w:color w:val="auto"/>
                <w:w w:val="89"/>
              </w:rPr>
              <w:t>There were no transfers between Level 1, 2 and 3 for the three months ended August 31, 2021 and 2020.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gridSpan w:val="11"/>
          </w:tcPr>
          <w:p>
            <w:pPr>
              <w:ind w:left="420"/>
              <w:spacing w:after="0"/>
              <w:rPr>
                <w:sz w:val="20"/>
                <w:szCs w:val="20"/>
                <w:color w:val="auto"/>
              </w:rPr>
            </w:pPr>
            <w:r>
              <w:rPr>
                <w:rFonts w:ascii="Arial" w:cs="Arial" w:eastAsia="Arial" w:hAnsi="Arial"/>
                <w:sz w:val="18"/>
                <w:szCs w:val="18"/>
                <w:color w:val="auto"/>
              </w:rPr>
              <w:t>The table below presents the changes in fair value components of Level 3 instruments: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color w:val="auto"/>
                <w:w w:val="94"/>
              </w:rPr>
              <w:t>Three Months Ended Aug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7"/>
              <w:spacing w:after="0" w:line="132" w:lineRule="exact"/>
              <w:rPr>
                <w:sz w:val="20"/>
                <w:szCs w:val="20"/>
                <w:color w:val="auto"/>
              </w:rPr>
            </w:pPr>
            <w:r>
              <w:rPr>
                <w:rFonts w:ascii="Arial" w:cs="Arial" w:eastAsia="Arial" w:hAnsi="Arial"/>
                <w:sz w:val="14"/>
                <w:szCs w:val="14"/>
                <w:color w:val="auto"/>
                <w:w w:val="92"/>
              </w:rPr>
              <w:t>Fair Value Measurements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7"/>
              <w:spacing w:after="0" w:line="135" w:lineRule="exact"/>
              <w:rPr>
                <w:sz w:val="20"/>
                <w:szCs w:val="20"/>
                <w:color w:val="auto"/>
              </w:rPr>
            </w:pPr>
            <w:r>
              <w:rPr>
                <w:rFonts w:ascii="Arial" w:cs="Arial" w:eastAsia="Arial" w:hAnsi="Arial"/>
                <w:sz w:val="14"/>
                <w:szCs w:val="14"/>
                <w:color w:val="auto"/>
                <w:w w:val="95"/>
              </w:rPr>
              <w:t>Using Significant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gridSpan w:val="4"/>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gridSpan w:val="3"/>
          </w:tcPr>
          <w:p>
            <w:pPr>
              <w:jc w:val="center"/>
              <w:spacing w:after="0" w:line="135" w:lineRule="exact"/>
              <w:rPr>
                <w:sz w:val="20"/>
                <w:szCs w:val="20"/>
                <w:color w:val="auto"/>
              </w:rPr>
            </w:pPr>
            <w:r>
              <w:rPr>
                <w:rFonts w:ascii="Arial" w:cs="Arial" w:eastAsia="Arial" w:hAnsi="Arial"/>
                <w:sz w:val="14"/>
                <w:szCs w:val="14"/>
                <w:color w:val="auto"/>
                <w:w w:val="93"/>
              </w:rPr>
              <w:t>Unobservable Inputs (Level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380" w:type="dxa"/>
            <w:vAlign w:val="bottom"/>
            <w:tcBorders>
              <w:bottom w:val="single" w:sz="8" w:color="CCEEFF"/>
            </w:tcBorders>
            <w:gridSpan w:val="4"/>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May 31, 2021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4"/>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4"/>
            <w:shd w:val="clear" w:color="auto" w:fill="CCEEFF"/>
          </w:tcPr>
          <w:p>
            <w:pPr>
              <w:ind w:left="360"/>
              <w:spacing w:after="0" w:line="230" w:lineRule="exact"/>
              <w:rPr>
                <w:sz w:val="20"/>
                <w:szCs w:val="20"/>
                <w:color w:val="auto"/>
              </w:rPr>
            </w:pPr>
            <w:r>
              <w:rPr>
                <w:rFonts w:ascii="Arial" w:cs="Arial" w:eastAsia="Arial" w:hAnsi="Arial"/>
                <w:sz w:val="18"/>
                <w:szCs w:val="18"/>
                <w:color w:val="auto"/>
                <w:w w:val="91"/>
              </w:rPr>
              <w:t xml:space="preserve">Change in present value of contingent consideration </w:t>
            </w:r>
            <w:r>
              <w:rPr>
                <w:rFonts w:ascii="Arial" w:cs="Arial" w:eastAsia="Arial" w:hAnsi="Arial"/>
                <w:sz w:val="23"/>
                <w:szCs w:val="23"/>
                <w:color w:val="auto"/>
                <w:w w:val="91"/>
                <w:vertAlign w:val="superscript"/>
              </w:rPr>
              <w:t>(1)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4"/>
          </w:tcPr>
          <w:p>
            <w:pPr>
              <w:ind w:left="20"/>
              <w:spacing w:after="0"/>
              <w:rPr>
                <w:sz w:val="20"/>
                <w:szCs w:val="20"/>
                <w:color w:val="auto"/>
              </w:rPr>
            </w:pPr>
            <w:r>
              <w:rPr>
                <w:rFonts w:ascii="Arial" w:cs="Arial" w:eastAsia="Arial" w:hAnsi="Arial"/>
                <w:sz w:val="18"/>
                <w:szCs w:val="18"/>
                <w:color w:val="auto"/>
              </w:rPr>
              <w:t>Balance, August 31, 2021</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20" w:firstLine="8"/>
        <w:spacing w:after="0" w:line="275"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for Acquisition Earn Outs</w:t>
      </w:r>
    </w:p>
    <w:p>
      <w:pPr>
        <w:spacing w:after="0" w:line="17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2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 thousands)</w:t>
            </w: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Valuation Technique</w:t>
            </w:r>
          </w:p>
        </w:tc>
        <w:tc>
          <w:tcPr>
            <w:tcW w:w="10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ind w:left="315"/>
              <w:spacing w:after="0"/>
              <w:rPr>
                <w:sz w:val="20"/>
                <w:szCs w:val="20"/>
                <w:color w:val="auto"/>
              </w:rPr>
            </w:pPr>
            <w:r>
              <w:rPr>
                <w:rFonts w:ascii="Arial" w:cs="Arial" w:eastAsia="Arial" w:hAnsi="Arial"/>
                <w:sz w:val="14"/>
                <w:szCs w:val="14"/>
                <w:color w:val="auto"/>
                <w:w w:val="93"/>
              </w:rPr>
              <w:t>Unobservable Input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Range</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440"/>
              <w:spacing w:after="0" w:line="175" w:lineRule="exact"/>
              <w:rPr>
                <w:sz w:val="20"/>
                <w:szCs w:val="20"/>
                <w:color w:val="auto"/>
              </w:rPr>
            </w:pPr>
            <w:r>
              <w:rPr>
                <w:rFonts w:ascii="Arial" w:cs="Arial" w:eastAsia="Arial" w:hAnsi="Arial"/>
                <w:sz w:val="18"/>
                <w:szCs w:val="18"/>
                <w:color w:val="auto"/>
              </w:rPr>
              <w:t>Revenue based payments</w:t>
            </w:r>
          </w:p>
        </w:tc>
        <w:tc>
          <w:tcPr>
            <w:tcW w:w="640" w:type="dxa"/>
            <w:vAlign w:val="bottom"/>
            <w:shd w:val="clear" w:color="auto" w:fill="CCEEFF"/>
          </w:tcPr>
          <w:p>
            <w:pPr>
              <w:spacing w:after="0"/>
              <w:rPr>
                <w:sz w:val="15"/>
                <w:szCs w:val="15"/>
                <w:color w:val="auto"/>
              </w:rPr>
            </w:pPr>
          </w:p>
        </w:tc>
        <w:tc>
          <w:tcPr>
            <w:tcW w:w="164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color w:val="auto"/>
              </w:rPr>
              <w:t>15,936  flow</w:t>
            </w:r>
          </w:p>
        </w:tc>
        <w:tc>
          <w:tcPr>
            <w:tcW w:w="15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Discounted cash</w:t>
            </w:r>
          </w:p>
        </w:tc>
        <w:tc>
          <w:tcPr>
            <w:tcW w:w="100" w:type="dxa"/>
            <w:vAlign w:val="bottom"/>
            <w:shd w:val="clear" w:color="auto" w:fill="CCEEFF"/>
          </w:tcPr>
          <w:p>
            <w:pPr>
              <w:spacing w:after="0"/>
              <w:rPr>
                <w:sz w:val="15"/>
                <w:szCs w:val="15"/>
                <w:color w:val="auto"/>
              </w:rPr>
            </w:pPr>
          </w:p>
        </w:tc>
        <w:tc>
          <w:tcPr>
            <w:tcW w:w="3080" w:type="dxa"/>
            <w:vAlign w:val="bottom"/>
            <w:gridSpan w:val="2"/>
            <w:vMerge w:val="restart"/>
            <w:shd w:val="clear" w:color="auto" w:fill="CCEEFF"/>
          </w:tcPr>
          <w:p>
            <w:pPr>
              <w:jc w:val="center"/>
              <w:ind w:left="215"/>
              <w:spacing w:after="0"/>
              <w:rPr>
                <w:sz w:val="20"/>
                <w:szCs w:val="20"/>
                <w:color w:val="auto"/>
              </w:rPr>
            </w:pPr>
            <w:r>
              <w:rPr>
                <w:rFonts w:ascii="Arial" w:cs="Arial" w:eastAsia="Arial" w:hAnsi="Arial"/>
                <w:sz w:val="18"/>
                <w:szCs w:val="18"/>
                <w:color w:val="auto"/>
                <w:w w:val="92"/>
              </w:rPr>
              <w:t>Discount rate</w:t>
            </w:r>
          </w:p>
        </w:tc>
        <w:tc>
          <w:tcPr>
            <w:tcW w:w="1360" w:type="dxa"/>
            <w:vAlign w:val="bottom"/>
            <w:vMerge w:val="restart"/>
            <w:shd w:val="clear" w:color="auto" w:fill="CCEEFF"/>
          </w:tcPr>
          <w:p>
            <w:pPr>
              <w:jc w:val="center"/>
              <w:ind w:left="315"/>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3"/>
            <w:vMerge w:val="continue"/>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2"/>
          </w:tcPr>
          <w:p>
            <w:pPr>
              <w:jc w:val="center"/>
              <w:ind w:left="215"/>
              <w:spacing w:after="0"/>
              <w:rPr>
                <w:sz w:val="20"/>
                <w:szCs w:val="20"/>
                <w:color w:val="auto"/>
              </w:rPr>
            </w:pPr>
            <w:r>
              <w:rPr>
                <w:rFonts w:ascii="Arial" w:cs="Arial" w:eastAsia="Arial" w:hAnsi="Arial"/>
                <w:sz w:val="18"/>
                <w:szCs w:val="18"/>
                <w:color w:val="auto"/>
                <w:w w:val="93"/>
              </w:rPr>
              <w:t>Probability of payment</w:t>
            </w:r>
          </w:p>
        </w:tc>
        <w:tc>
          <w:tcPr>
            <w:tcW w:w="1360" w:type="dxa"/>
            <w:vAlign w:val="bottom"/>
          </w:tcPr>
          <w:p>
            <w:pPr>
              <w:jc w:val="center"/>
              <w:ind w:left="335"/>
              <w:spacing w:after="0"/>
              <w:rPr>
                <w:sz w:val="20"/>
                <w:szCs w:val="20"/>
                <w:color w:val="auto"/>
              </w:rPr>
            </w:pPr>
            <w:r>
              <w:rPr>
                <w:rFonts w:ascii="Arial" w:cs="Arial" w:eastAsia="Arial" w:hAnsi="Arial"/>
                <w:sz w:val="18"/>
                <w:szCs w:val="18"/>
                <w:color w:val="auto"/>
                <w:w w:val="91"/>
              </w:rPr>
              <w:t>66% - 100%</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2"/>
          </w:tcPr>
          <w:p>
            <w:pPr>
              <w:jc w:val="center"/>
              <w:ind w:left="215"/>
              <w:spacing w:after="0"/>
              <w:rPr>
                <w:sz w:val="20"/>
                <w:szCs w:val="20"/>
                <w:color w:val="auto"/>
              </w:rPr>
            </w:pPr>
            <w:r>
              <w:rPr>
                <w:rFonts w:ascii="Arial" w:cs="Arial" w:eastAsia="Arial" w:hAnsi="Arial"/>
                <w:sz w:val="18"/>
                <w:szCs w:val="18"/>
                <w:color w:val="auto"/>
                <w:w w:val="91"/>
              </w:rPr>
              <w:t>Projected fiscal year of payment</w:t>
            </w:r>
          </w:p>
        </w:tc>
        <w:tc>
          <w:tcPr>
            <w:tcW w:w="1360" w:type="dxa"/>
            <w:vAlign w:val="bottom"/>
          </w:tcPr>
          <w:p>
            <w:pPr>
              <w:jc w:val="center"/>
              <w:ind w:left="335"/>
              <w:spacing w:after="0"/>
              <w:rPr>
                <w:sz w:val="20"/>
                <w:szCs w:val="20"/>
                <w:color w:val="auto"/>
              </w:rPr>
            </w:pPr>
            <w:r>
              <w:rPr>
                <w:rFonts w:ascii="Arial" w:cs="Arial" w:eastAsia="Arial" w:hAnsi="Arial"/>
                <w:sz w:val="18"/>
                <w:szCs w:val="18"/>
                <w:color w:val="auto"/>
                <w:w w:val="89"/>
              </w:rPr>
              <w:t>2024 - 2025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640" w:firstLine="405"/>
        <w:spacing w:after="0" w:line="311" w:lineRule="auto"/>
        <w:rPr>
          <w:sz w:val="20"/>
          <w:szCs w:val="20"/>
          <w:color w:val="auto"/>
        </w:rPr>
      </w:pPr>
      <w:r>
        <w:rPr>
          <w:rFonts w:ascii="Arial" w:cs="Arial" w:eastAsia="Arial" w:hAnsi="Arial"/>
          <w:sz w:val="16"/>
          <w:szCs w:val="16"/>
          <w:color w:val="auto"/>
        </w:rPr>
        <w:t>At August 31, 2021,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2022 to 2029 in order for the associated consideration to be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7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2480" w:type="dxa"/>
            <w:vAlign w:val="bottom"/>
            <w:gridSpan w:val="2"/>
          </w:tcPr>
          <w:p>
            <w:pPr>
              <w:ind w:left="720"/>
              <w:spacing w:after="0"/>
              <w:rPr>
                <w:sz w:val="20"/>
                <w:szCs w:val="20"/>
                <w:color w:val="auto"/>
              </w:rPr>
            </w:pPr>
            <w:r>
              <w:rPr>
                <w:rFonts w:ascii="Arial" w:cs="Arial" w:eastAsia="Arial" w:hAnsi="Arial"/>
                <w:sz w:val="14"/>
                <w:szCs w:val="14"/>
                <w:color w:val="auto"/>
              </w:rPr>
              <w:t>Balance Sheet Location</w:t>
            </w:r>
          </w:p>
        </w:tc>
        <w:tc>
          <w:tcPr>
            <w:tcW w:w="62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2021</w:t>
            </w:r>
          </w:p>
        </w:tc>
        <w:tc>
          <w:tcPr>
            <w:tcW w:w="600" w:type="dxa"/>
            <w:vAlign w:val="bottom"/>
          </w:tcPr>
          <w:p>
            <w:pPr>
              <w:spacing w:after="0"/>
              <w:rPr>
                <w:sz w:val="16"/>
                <w:szCs w:val="16"/>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color w:val="auto"/>
              </w:rPr>
              <w:t>May 31, 2021</w:t>
            </w:r>
          </w:p>
        </w:tc>
      </w:tr>
      <w:tr>
        <w:trPr>
          <w:trHeight w:val="215"/>
        </w:trPr>
        <w:tc>
          <w:tcPr>
            <w:tcW w:w="50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Assets</w:t>
            </w:r>
          </w:p>
        </w:tc>
        <w:tc>
          <w:tcPr>
            <w:tcW w:w="2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5080" w:type="dxa"/>
            <w:vAlign w:val="bottom"/>
          </w:tcPr>
          <w:p>
            <w:pPr>
              <w:ind w:left="640"/>
              <w:spacing w:after="0"/>
              <w:rPr>
                <w:sz w:val="20"/>
                <w:szCs w:val="20"/>
                <w:color w:val="auto"/>
              </w:rPr>
            </w:pPr>
            <w:r>
              <w:rPr>
                <w:rFonts w:ascii="Arial" w:cs="Arial" w:eastAsia="Arial" w:hAnsi="Arial"/>
                <w:sz w:val="18"/>
                <w:szCs w:val="18"/>
                <w:color w:val="auto"/>
              </w:rPr>
              <w:t>Operating lease ROU asset</w:t>
            </w:r>
          </w:p>
        </w:tc>
        <w:tc>
          <w:tcPr>
            <w:tcW w:w="248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8,773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9,382</w:t>
            </w:r>
          </w:p>
        </w:tc>
      </w:tr>
      <w:tr>
        <w:trPr>
          <w:trHeight w:val="229"/>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080" w:type="dxa"/>
            <w:vAlign w:val="bottom"/>
          </w:tcPr>
          <w:p>
            <w:pPr>
              <w:ind w:left="640"/>
              <w:spacing w:after="0"/>
              <w:rPr>
                <w:sz w:val="20"/>
                <w:szCs w:val="20"/>
                <w:color w:val="auto"/>
              </w:rPr>
            </w:pPr>
            <w:r>
              <w:rPr>
                <w:rFonts w:ascii="Arial" w:cs="Arial" w:eastAsia="Arial" w:hAnsi="Arial"/>
                <w:sz w:val="18"/>
                <w:szCs w:val="18"/>
                <w:color w:val="auto"/>
              </w:rPr>
              <w:t>Current operating lease liabilities</w:t>
            </w:r>
          </w:p>
        </w:tc>
        <w:tc>
          <w:tcPr>
            <w:tcW w:w="2480" w:type="dxa"/>
            <w:vAlign w:val="bottom"/>
            <w:gridSpan w:val="2"/>
          </w:tcPr>
          <w:p>
            <w:pPr>
              <w:ind w:left="42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2,415</w:t>
            </w:r>
          </w:p>
        </w:tc>
      </w:tr>
      <w:tr>
        <w:trPr>
          <w:trHeight w:val="230"/>
        </w:trPr>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Non-current operating lease liabilities</w:t>
            </w:r>
          </w:p>
        </w:tc>
        <w:tc>
          <w:tcPr>
            <w:tcW w:w="2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w:t>
            </w: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Total lease liabilities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w:t>
            </w:r>
          </w:p>
        </w:tc>
      </w:tr>
      <w:tr>
        <w:trPr>
          <w:trHeight w:val="21"/>
        </w:trPr>
        <w:tc>
          <w:tcPr>
            <w:tcW w:w="5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7" w:lineRule="exact"/>
        <w:rPr>
          <w:sz w:val="20"/>
          <w:szCs w:val="20"/>
          <w:color w:val="auto"/>
        </w:rPr>
      </w:pPr>
    </w:p>
    <w:p>
      <w:pPr>
        <w:ind w:left="10080"/>
        <w:spacing w:after="0"/>
        <w:rPr>
          <w:sz w:val="20"/>
          <w:szCs w:val="20"/>
          <w:color w:val="auto"/>
        </w:rPr>
      </w:pPr>
      <w:r>
        <w:rPr>
          <w:rFonts w:ascii="Arial" w:cs="Arial" w:eastAsia="Arial" w:hAnsi="Arial"/>
          <w:sz w:val="14"/>
          <w:szCs w:val="14"/>
          <w:color w:val="auto"/>
        </w:rPr>
        <w:t>Aug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Weighted average remaining term (in years)</w:t>
            </w:r>
          </w:p>
        </w:tc>
        <w:tc>
          <w:tcPr>
            <w:tcW w:w="1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9280" w:type="dxa"/>
            <w:vAlign w:val="bottom"/>
          </w:tcPr>
          <w:p>
            <w:pPr>
              <w:ind w:left="440"/>
              <w:spacing w:after="0"/>
              <w:rPr>
                <w:sz w:val="20"/>
                <w:szCs w:val="20"/>
                <w:color w:val="auto"/>
              </w:rPr>
            </w:pPr>
            <w:r>
              <w:rPr>
                <w:rFonts w:ascii="Arial" w:cs="Arial" w:eastAsia="Arial" w:hAnsi="Arial"/>
                <w:sz w:val="18"/>
                <w:szCs w:val="18"/>
                <w:color w:val="auto"/>
              </w:rPr>
              <w:t>Weighted average discount rate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8"/>
        </w:trPr>
        <w:tc>
          <w:tcPr>
            <w:tcW w:w="9280" w:type="dxa"/>
            <w:vAlign w:val="bottom"/>
          </w:tcPr>
          <w:p>
            <w:pPr>
              <w:ind w:left="420"/>
              <w:spacing w:after="0"/>
              <w:rPr>
                <w:sz w:val="20"/>
                <w:szCs w:val="20"/>
                <w:color w:val="auto"/>
              </w:rPr>
            </w:pPr>
            <w:r>
              <w:rPr>
                <w:rFonts w:ascii="Arial" w:cs="Arial" w:eastAsia="Arial" w:hAnsi="Arial"/>
                <w:sz w:val="18"/>
                <w:szCs w:val="18"/>
                <w:color w:val="auto"/>
              </w:rPr>
              <w:t>The maturities of the lease liabilities for each of the following fiscal years is: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92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Aug 31, 2021</w:t>
            </w:r>
          </w:p>
        </w:tc>
      </w:tr>
      <w:tr>
        <w:trPr>
          <w:trHeight w:val="229"/>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Remainder of 2022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30"/>
        </w:trPr>
        <w:tc>
          <w:tcPr>
            <w:tcW w:w="9280" w:type="dxa"/>
            <w:vAlign w:val="bottom"/>
          </w:tcPr>
          <w:p>
            <w:pPr>
              <w:ind w:left="4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30"/>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30"/>
        </w:trPr>
        <w:tc>
          <w:tcPr>
            <w:tcW w:w="9280" w:type="dxa"/>
            <w:vAlign w:val="bottom"/>
          </w:tcPr>
          <w:p>
            <w:pPr>
              <w:ind w:left="44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29"/>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30"/>
        </w:trPr>
        <w:tc>
          <w:tcPr>
            <w:tcW w:w="9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2027 and thereafter</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r>
      <w:tr>
        <w:trPr>
          <w:trHeight w:val="230"/>
        </w:trPr>
        <w:tc>
          <w:tcPr>
            <w:tcW w:w="9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23"/>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lease obligations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w:t>
            </w:r>
          </w:p>
        </w:tc>
      </w:tr>
      <w:tr>
        <w:trPr>
          <w:trHeight w:val="230"/>
        </w:trPr>
        <w:tc>
          <w:tcPr>
            <w:tcW w:w="9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Less: Current portion of lease obligations</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r>
      <w:tr>
        <w:trPr>
          <w:trHeight w:val="248"/>
        </w:trPr>
        <w:tc>
          <w:tcPr>
            <w:tcW w:w="9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Long-term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20" w:firstLine="405"/>
        <w:spacing w:after="0" w:line="305" w:lineRule="auto"/>
        <w:rPr>
          <w:sz w:val="20"/>
          <w:szCs w:val="20"/>
          <w:color w:val="auto"/>
        </w:rPr>
      </w:pPr>
      <w:r>
        <w:rPr>
          <w:rFonts w:ascii="Arial" w:cs="Arial" w:eastAsia="Arial" w:hAnsi="Arial"/>
          <w:sz w:val="16"/>
          <w:szCs w:val="16"/>
          <w:color w:val="auto"/>
        </w:rPr>
        <w:t>During the three months ended August 31, 2021 and 2020, the Company recognized $0.7 million and $0.9 million of operating lease expense, respectively, which includes immaterial short-term leases. The expenses on the Consolidated Statement of Operations were classified as follows:</w:t>
      </w:r>
    </w:p>
    <w:tbl>
      <w:tblPr>
        <w:tblLayout w:type="fixed"/>
        <w:tblInd w:w="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color w:val="auto"/>
              </w:rPr>
              <w:t>Three Months Ended</w:t>
            </w:r>
          </w:p>
        </w:tc>
      </w:tr>
      <w:tr>
        <w:trPr>
          <w:trHeight w:val="186"/>
        </w:trPr>
        <w:tc>
          <w:tcPr>
            <w:tcW w:w="756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2021</w:t>
            </w:r>
          </w:p>
        </w:tc>
        <w:tc>
          <w:tcPr>
            <w:tcW w:w="600" w:type="dxa"/>
            <w:vAlign w:val="bottom"/>
          </w:tcPr>
          <w:p>
            <w:pPr>
              <w:spacing w:after="0"/>
              <w:rPr>
                <w:sz w:val="16"/>
                <w:szCs w:val="16"/>
                <w:color w:val="auto"/>
              </w:rPr>
            </w:pPr>
          </w:p>
        </w:tc>
        <w:tc>
          <w:tcPr>
            <w:tcW w:w="1180" w:type="dxa"/>
            <w:vAlign w:val="bottom"/>
          </w:tcPr>
          <w:p>
            <w:pPr>
              <w:jc w:val="right"/>
              <w:ind w:right="214"/>
              <w:spacing w:after="0"/>
              <w:rPr>
                <w:sz w:val="20"/>
                <w:szCs w:val="20"/>
                <w:color w:val="auto"/>
              </w:rPr>
            </w:pPr>
            <w:r>
              <w:rPr>
                <w:rFonts w:ascii="Arial" w:cs="Arial" w:eastAsia="Arial" w:hAnsi="Arial"/>
                <w:sz w:val="14"/>
                <w:szCs w:val="14"/>
                <w:color w:val="auto"/>
              </w:rPr>
              <w:t>Aug 31, 2020</w:t>
            </w:r>
          </w:p>
        </w:tc>
      </w:tr>
      <w:tr>
        <w:trPr>
          <w:trHeight w:val="226"/>
        </w:trPr>
        <w:tc>
          <w:tcPr>
            <w:tcW w:w="75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Cost of sales</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5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8"/>
        </w:trPr>
        <w:tc>
          <w:tcPr>
            <w:tcW w:w="7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460" w:type="dxa"/>
            <w:vAlign w:val="bottom"/>
            <w:gridSpan w:val="4"/>
          </w:tcPr>
          <w:p>
            <w:pPr>
              <w:ind w:left="420"/>
              <w:spacing w:after="0"/>
              <w:rPr>
                <w:sz w:val="20"/>
                <w:szCs w:val="20"/>
                <w:color w:val="auto"/>
              </w:rPr>
            </w:pPr>
            <w:r>
              <w:rPr>
                <w:rFonts w:ascii="Arial" w:cs="Arial" w:eastAsia="Arial" w:hAnsi="Arial"/>
                <w:sz w:val="18"/>
                <w:szCs w:val="18"/>
                <w:color w:val="auto"/>
                <w:w w:val="94"/>
              </w:rPr>
              <w:t>The following table presents supplemental cash flow and other information related to leases for the three months ended:</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0"/>
        </w:trPr>
        <w:tc>
          <w:tcPr>
            <w:tcW w:w="756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2021</w:t>
            </w:r>
          </w:p>
        </w:tc>
        <w:tc>
          <w:tcPr>
            <w:tcW w:w="600" w:type="dxa"/>
            <w:vAlign w:val="bottom"/>
          </w:tcPr>
          <w:p>
            <w:pPr>
              <w:spacing w:after="0"/>
              <w:rPr>
                <w:sz w:val="18"/>
                <w:szCs w:val="18"/>
                <w:color w:val="auto"/>
              </w:rPr>
            </w:pPr>
          </w:p>
        </w:tc>
        <w:tc>
          <w:tcPr>
            <w:tcW w:w="1180" w:type="dxa"/>
            <w:vAlign w:val="bottom"/>
          </w:tcPr>
          <w:p>
            <w:pPr>
              <w:jc w:val="right"/>
              <w:ind w:right="214"/>
              <w:spacing w:after="0"/>
              <w:rPr>
                <w:sz w:val="20"/>
                <w:szCs w:val="20"/>
                <w:color w:val="auto"/>
              </w:rPr>
            </w:pPr>
            <w:r>
              <w:rPr>
                <w:rFonts w:ascii="Arial" w:cs="Arial" w:eastAsia="Arial" w:hAnsi="Arial"/>
                <w:sz w:val="14"/>
                <w:szCs w:val="14"/>
                <w:color w:val="auto"/>
              </w:rPr>
              <w:t>Aug 31, 2020</w:t>
            </w:r>
          </w:p>
        </w:tc>
      </w:tr>
      <w:tr>
        <w:trPr>
          <w:trHeight w:val="215"/>
        </w:trPr>
        <w:tc>
          <w:tcPr>
            <w:tcW w:w="75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640"/>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ROU assets obtained in exchange for lease liabilities</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560" w:type="dxa"/>
            <w:vAlign w:val="bottom"/>
          </w:tcPr>
          <w:p>
            <w:pPr>
              <w:ind w:left="640"/>
              <w:spacing w:after="0"/>
              <w:rPr>
                <w:sz w:val="20"/>
                <w:szCs w:val="20"/>
                <w:color w:val="auto"/>
              </w:rPr>
            </w:pPr>
            <w:r>
              <w:rPr>
                <w:rFonts w:ascii="Arial" w:cs="Arial" w:eastAsia="Arial" w:hAnsi="Arial"/>
                <w:sz w:val="18"/>
                <w:szCs w:val="18"/>
                <w:color w:val="auto"/>
              </w:rPr>
              <w:t>Operating leases</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78" w:lineRule="exact"/>
        <w:rPr>
          <w:sz w:val="20"/>
          <w:szCs w:val="20"/>
          <w:color w:val="auto"/>
        </w:rPr>
      </w:pPr>
    </w:p>
    <w:p>
      <w:pPr>
        <w:ind w:right="7520" w:firstLine="8"/>
        <w:spacing w:after="0" w:line="440"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 Bard, Inc. v. AngioDynamics, Inc.</w:t>
      </w:r>
    </w:p>
    <w:p>
      <w:pPr>
        <w:spacing w:after="0" w:line="175"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(US Patent Nos. 7,785,302 (“’302 Patent”), 7,959,615 (“’615 Patent”) and 7,947,022(“’022 Patent”)).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The Company filed a Motion to Amend its Answer and Counterclaims on April 14, 2021. This motion seeks to add counterclaims for infringement of U.S. Patent Nos. 9,168,365; 9,895,523; and 10,632,295, as well as a counterclaim of inequitable conduct, and remains pending. On July 22, 2021, in another case against a different defendant the District of Utah invalidated multiple claims of the ‘302, ‘022, and ‘615 Patents under 35 USC §101, including claims asserted against the Company. Following the Utah court’s decision, the Company filed a Motion for Judgment on the Pleadings (which remains pending) based on collateral estoppel on August 9, 2021. Bard filed its opposition brief on September 2, 2021 and the Company filed a reply on September 9, 2021. The parties also filed a stipulation to stay all deadlines pending resolution of the Company’s Motion for Judgment on the Pleadings, which the Court entered on August 16, 2021.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1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The Company filed a combined Petition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parties submitted status reports on March 29, 2021 and the Court subsequently held two status conferences on July 27, 2021 and August 20, 2021. The parties agreed to schedule trial the week of May 9, 2022 and filed a joint letter indicating the same on September 3, 2021. The Court has not yet docketed the trial and the matter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4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On July 22, 2021, the Company submitted the Utah court’s decision invalidating claims of the related ‘302, ‘022, and ‘615 Patents as supplemental authority in support of its Motion to Dismiss. The parties agreed to submit supplemental briefing to address the Utah court’s decision. Bard submitted its brief on August 12, 2021, and the Company submitted its reply on September 2, 2021. The motion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AngioDynamics, Inc. v. C.R. Bard, Inc.</w:t>
      </w:r>
    </w:p>
    <w:p>
      <w:pPr>
        <w:spacing w:after="0" w:line="1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Bard made a motion for summary judgment which was denied in its entirety in a decision issued by the Court on May 5, 2021. Bard also raised a series of challenges targeted at one of AngioDynamics’ expert witnesses, which the Court denied in part and granted in part in decisions on May 5, 2021 and June 11, 2021. Discovery is largely complete, and trial is scheduled to commence on July 5,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RESTRUCTURING, AND OTHER ITEMS,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color w:val="auto"/>
              </w:rPr>
              <w:t>Three Months Ended</w:t>
            </w:r>
          </w:p>
        </w:tc>
      </w:tr>
      <w:tr>
        <w:trPr>
          <w:trHeight w:val="186"/>
        </w:trPr>
        <w:tc>
          <w:tcPr>
            <w:tcW w:w="7560" w:type="dxa"/>
            <w:vAlign w:val="bottom"/>
          </w:tcPr>
          <w:p>
            <w:pPr>
              <w:ind w:left="440"/>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Aug 31, 2021</w:t>
            </w:r>
          </w:p>
        </w:tc>
        <w:tc>
          <w:tcPr>
            <w:tcW w:w="60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Arial" w:cs="Arial" w:eastAsia="Arial" w:hAnsi="Arial"/>
                <w:sz w:val="14"/>
                <w:szCs w:val="14"/>
                <w:color w:val="auto"/>
              </w:rPr>
              <w:t>Aug 31, 2020</w:t>
            </w:r>
          </w:p>
        </w:tc>
      </w:tr>
      <w:tr>
        <w:trPr>
          <w:trHeight w:val="226"/>
        </w:trPr>
        <w:tc>
          <w:tcPr>
            <w:tcW w:w="7560" w:type="dxa"/>
            <w:vAlign w:val="bottom"/>
            <w:tcBorders>
              <w:top w:val="single" w:sz="8" w:color="CCEEFF"/>
            </w:tcBorders>
            <w:shd w:val="clear" w:color="auto" w:fill="CCEEFF"/>
          </w:tcPr>
          <w:p>
            <w:pPr>
              <w:ind w:left="440"/>
              <w:spacing w:after="0" w:line="226" w:lineRule="exact"/>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7560" w:type="dxa"/>
            <w:vAlign w:val="bottom"/>
          </w:tcPr>
          <w:p>
            <w:pPr>
              <w:ind w:left="440"/>
              <w:spacing w:after="0" w:line="230" w:lineRule="exact"/>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(2)</w:t>
            </w:r>
          </w:p>
        </w:tc>
        <w:tc>
          <w:tcPr>
            <w:tcW w:w="6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7560" w:type="dxa"/>
            <w:vAlign w:val="bottom"/>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Divestiture </w:t>
            </w:r>
            <w:r>
              <w:rPr>
                <w:rFonts w:ascii="Arial" w:cs="Arial" w:eastAsia="Arial" w:hAnsi="Arial"/>
                <w:sz w:val="23"/>
                <w:szCs w:val="23"/>
                <w:color w:val="auto"/>
                <w:vertAlign w:val="superscript"/>
              </w:rPr>
              <w:t>(3)</w:t>
            </w:r>
          </w:p>
        </w:tc>
        <w:tc>
          <w:tcPr>
            <w:tcW w:w="6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7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48"/>
        </w:trPr>
        <w:tc>
          <w:tcPr>
            <w:tcW w:w="75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each component of accumulated other comprehensive income, net of tax,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19"/>
              <w:spacing w:after="0"/>
              <w:rPr>
                <w:sz w:val="20"/>
                <w:szCs w:val="20"/>
                <w:color w:val="auto"/>
              </w:rPr>
            </w:pPr>
            <w:r>
              <w:rPr>
                <w:rFonts w:ascii="Arial" w:cs="Arial" w:eastAsia="Arial" w:hAnsi="Arial"/>
                <w:sz w:val="14"/>
                <w:szCs w:val="14"/>
                <w:color w:val="auto"/>
                <w:w w:val="94"/>
              </w:rPr>
              <w:t>Three Months Ended Aug 31,</w:t>
            </w:r>
          </w:p>
        </w:tc>
        <w:tc>
          <w:tcPr>
            <w:tcW w:w="0" w:type="dxa"/>
            <w:vAlign w:val="bottom"/>
          </w:tcPr>
          <w:p>
            <w:pPr>
              <w:spacing w:after="0"/>
              <w:rPr>
                <w:sz w:val="1"/>
                <w:szCs w:val="1"/>
                <w:color w:val="auto"/>
              </w:rPr>
            </w:pPr>
          </w:p>
        </w:tc>
      </w:tr>
      <w:tr>
        <w:trPr>
          <w:trHeight w:val="186"/>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2"/>
        </w:trPr>
        <w:tc>
          <w:tcPr>
            <w:tcW w:w="93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1"/>
                <w:szCs w:val="11"/>
                <w:color w:val="auto"/>
              </w:rPr>
            </w:pPr>
          </w:p>
        </w:tc>
        <w:tc>
          <w:tcPr>
            <w:tcW w:w="1820" w:type="dxa"/>
            <w:vAlign w:val="bottom"/>
          </w:tcPr>
          <w:p>
            <w:pPr>
              <w:jc w:val="center"/>
              <w:ind w:right="39"/>
              <w:spacing w:after="0" w:line="132"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6"/>
        </w:trPr>
        <w:tc>
          <w:tcPr>
            <w:tcW w:w="9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May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30"/>
        </w:trPr>
        <w:tc>
          <w:tcPr>
            <w:tcW w:w="9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Arial" w:cs="Arial" w:eastAsia="Arial" w:hAnsi="Arial"/>
                <w:sz w:val="18"/>
                <w:szCs w:val="18"/>
                <w:color w:val="auto"/>
              </w:rPr>
              <w:t>Balance at August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
        </w:trPr>
        <w:tc>
          <w:tcPr>
            <w:tcW w:w="9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RECENTLY ISSUED ACCOUNTING PRONOUNCEMENTS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recently issued accounting pronouncements that have been adopted.</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no new accounting pronouncements issued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2021 Annual Report on Form 10-K, and the consolidated financial statements and notes thereto included elsewhere in the Form 10-Q.</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words such as “expects,” “reaffirms,” “intends,” “anticipates,” “plans,” “believes,” “seeks,” “estimates,” “projects,”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our expectations, expressed or implied.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COVID-19). Other risks and uncertainties include, but are not limited to, the factors described from time to time in our reports filed with the Securities and Exchange Commission (the "SEC").</w:t>
      </w:r>
    </w:p>
    <w:p>
      <w:pPr>
        <w:spacing w:after="0" w:line="13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Trademarks</w:t>
      </w:r>
    </w:p>
    <w:p>
      <w:pPr>
        <w:spacing w:after="0" w:line="175"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33"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0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3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The COVID-19 global pandemic has impacted our business and may pose future risks. Even with the public health actions that have been taken to reduce the spread of the virus, there may continue to be disruptions with respect to consumer demand, hospital operating procedures and workflow, our ability to continue to manufacture products, the reliability of our supply chain and inflation. Accordingly, management continues to evaluate the Company’s liquidity position, communicate with and monitor the actions of our customers and suppliers, and review our near-term financial performance.</w:t>
      </w:r>
    </w:p>
    <w:p>
      <w:pPr>
        <w:spacing w:after="0" w:line="103"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months ended August 31, 2021 compared to the three months ended August 31, 2020 are as follows: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Three months ended August 31, 2021:</w:t>
      </w:r>
    </w:p>
    <w:p>
      <w:pPr>
        <w:spacing w:after="0" w:line="25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increased by 9.6% to $77.0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increased 120 bps to 52.1%.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increased by $2.7 million to $7.0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per share increased by $0.07 to a loss of $0.18</w:t>
      </w:r>
    </w:p>
    <w:p>
      <w:pPr>
        <w:spacing w:after="0" w:line="23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Med Tech business, comprised of Mechanical Thrombectomy, Auryon and NanoKnife, experienced improved performance during the first quarter of fiscal year 2022 as the number of procedures continued to improve from the COVID-19 impact in the first quarter of the prior year. In our Med Device business, Vascular Access, excluding the large prior year order in the UK, also improved in the first quarter of fiscal year 2022 compared to the prior year period. This was partially offset by our Med Device Oncology products, which continued to face pressure from reductions in procedure volumes due to challenges resulting from the COVID-19 pandemic.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17 to our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August 31, 2021 and 2020</w:t>
      </w:r>
    </w:p>
    <w:p>
      <w:pPr>
        <w:spacing w:after="0" w:line="175"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For the three months ended August 31, 2021, the Company reported a net loss of $7.0 million, or a loss of $0.18 per diluted share, on net sales of $77.0 million, compared with a net loss of $4.3 million, or a loss of $0.11 per diluted share, on net sales of $70.2 million during the same quarter of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rebates and returns.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net sales by Med Tech and Med Device: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Three Months Ended</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120" w:type="dxa"/>
            <w:vAlign w:val="bottom"/>
          </w:tcPr>
          <w:p>
            <w:pPr>
              <w:spacing w:after="0"/>
              <w:rPr>
                <w:sz w:val="16"/>
                <w:szCs w:val="16"/>
                <w:color w:val="auto"/>
              </w:rPr>
            </w:pPr>
          </w:p>
        </w:tc>
        <w:tc>
          <w:tcPr>
            <w:tcW w:w="1300" w:type="dxa"/>
            <w:vAlign w:val="bottom"/>
          </w:tcPr>
          <w:p>
            <w:pPr>
              <w:jc w:val="right"/>
              <w:ind w:right="237"/>
              <w:spacing w:after="0"/>
              <w:rPr>
                <w:sz w:val="20"/>
                <w:szCs w:val="20"/>
                <w:color w:val="auto"/>
              </w:rPr>
            </w:pPr>
            <w:r>
              <w:rPr>
                <w:rFonts w:ascii="Arial" w:cs="Arial" w:eastAsia="Arial" w:hAnsi="Arial"/>
                <w:sz w:val="14"/>
                <w:szCs w:val="14"/>
                <w:color w:val="auto"/>
              </w:rPr>
              <w:t>Aug 31, 2020</w:t>
            </w:r>
          </w:p>
        </w:tc>
        <w:tc>
          <w:tcPr>
            <w:tcW w:w="140" w:type="dxa"/>
            <w:vAlign w:val="bottom"/>
          </w:tcPr>
          <w:p>
            <w:pPr>
              <w:spacing w:after="0"/>
              <w:rPr>
                <w:sz w:val="16"/>
                <w:szCs w:val="16"/>
                <w:color w:val="auto"/>
              </w:rPr>
            </w:pPr>
          </w:p>
        </w:tc>
        <w:tc>
          <w:tcPr>
            <w:tcW w:w="1500" w:type="dxa"/>
            <w:vAlign w:val="bottom"/>
          </w:tcPr>
          <w:p>
            <w:pPr>
              <w:ind w:left="460"/>
              <w:spacing w:after="0"/>
              <w:rPr>
                <w:sz w:val="20"/>
                <w:szCs w:val="20"/>
                <w:color w:val="auto"/>
              </w:rPr>
            </w:pPr>
            <w:r>
              <w:rPr>
                <w:rFonts w:ascii="Arial" w:cs="Arial" w:eastAsia="Arial" w:hAnsi="Arial"/>
                <w:sz w:val="14"/>
                <w:szCs w:val="14"/>
                <w:color w:val="auto"/>
              </w:rPr>
              <w:t>% Change</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Med Tech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10,486</w:t>
            </w:r>
          </w:p>
        </w:tc>
        <w:tc>
          <w:tcPr>
            <w:tcW w:w="16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68.0%</w:t>
            </w:r>
          </w:p>
        </w:tc>
      </w:tr>
      <w:tr>
        <w:trPr>
          <w:trHeight w:val="230"/>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 Device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59,730</w:t>
            </w:r>
          </w:p>
        </w:tc>
        <w:tc>
          <w:tcPr>
            <w:tcW w:w="16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(0.6)%</w:t>
            </w:r>
          </w:p>
        </w:tc>
      </w:tr>
      <w:tr>
        <w:trPr>
          <w:trHeight w:val="223"/>
        </w:trPr>
        <w:tc>
          <w:tcPr>
            <w:tcW w:w="6640" w:type="dxa"/>
            <w:vAlign w:val="bottom"/>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70,216</w:t>
            </w:r>
          </w:p>
        </w:tc>
        <w:tc>
          <w:tcPr>
            <w:tcW w:w="16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9.6%</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824"/>
        </w:trPr>
        <w:tc>
          <w:tcPr>
            <w:tcW w:w="1020" w:type="dxa"/>
            <w:vAlign w:val="bottom"/>
            <w:tcBorders>
              <w:top w:val="single" w:sz="8" w:color="0000FF"/>
            </w:tcBorders>
          </w:tcPr>
          <w:p>
            <w:pPr>
              <w:spacing w:after="0"/>
              <w:rPr>
                <w:sz w:val="24"/>
                <w:szCs w:val="24"/>
                <w:color w:val="auto"/>
              </w:rPr>
            </w:pPr>
          </w:p>
        </w:tc>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Three Months Ended</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86"/>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Aug 31, 2021</w:t>
            </w:r>
          </w:p>
        </w:tc>
        <w:tc>
          <w:tcPr>
            <w:tcW w:w="12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color w:val="auto"/>
              </w:rPr>
              <w:t>Aug 31, 2020</w:t>
            </w:r>
          </w:p>
        </w:tc>
        <w:tc>
          <w:tcPr>
            <w:tcW w:w="160" w:type="dxa"/>
            <w:vAlign w:val="bottom"/>
          </w:tcPr>
          <w:p>
            <w:pPr>
              <w:spacing w:after="0"/>
              <w:rPr>
                <w:sz w:val="16"/>
                <w:szCs w:val="16"/>
                <w:color w:val="auto"/>
              </w:rPr>
            </w:pPr>
          </w:p>
        </w:tc>
        <w:tc>
          <w:tcPr>
            <w:tcW w:w="1440" w:type="dxa"/>
            <w:vAlign w:val="bottom"/>
          </w:tcPr>
          <w:p>
            <w:pPr>
              <w:ind w:left="420"/>
              <w:spacing w:after="0"/>
              <w:rPr>
                <w:sz w:val="20"/>
                <w:szCs w:val="20"/>
                <w:color w:val="auto"/>
              </w:rPr>
            </w:pPr>
            <w:r>
              <w:rPr>
                <w:rFonts w:ascii="Arial" w:cs="Arial" w:eastAsia="Arial" w:hAnsi="Arial"/>
                <w:sz w:val="14"/>
                <w:szCs w:val="14"/>
                <w:color w:val="auto"/>
              </w:rPr>
              <w:t>% Change</w:t>
            </w:r>
          </w:p>
        </w:tc>
      </w:tr>
      <w:tr>
        <w:trPr>
          <w:trHeight w:val="213"/>
        </w:trPr>
        <w:tc>
          <w:tcPr>
            <w:tcW w:w="6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gridSpan w:val="2"/>
          </w:tcPr>
          <w:p>
            <w:pPr>
              <w:ind w:left="340"/>
              <w:spacing w:after="0"/>
              <w:rPr>
                <w:sz w:val="20"/>
                <w:szCs w:val="20"/>
                <w:color w:val="auto"/>
              </w:rPr>
            </w:pPr>
            <w:r>
              <w:rPr>
                <w:rFonts w:ascii="Arial" w:cs="Arial" w:eastAsia="Arial" w:hAnsi="Arial"/>
                <w:sz w:val="18"/>
                <w:szCs w:val="18"/>
                <w:color w:val="auto"/>
              </w:rPr>
              <w:t>Endovascular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38,058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29,857</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27.5%</w:t>
            </w:r>
          </w:p>
        </w:tc>
      </w:tr>
      <w:tr>
        <w:trPr>
          <w:trHeight w:val="229"/>
        </w:trPr>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28,105</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(11.2)%</w:t>
            </w:r>
          </w:p>
        </w:tc>
      </w:tr>
      <w:tr>
        <w:trPr>
          <w:trHeight w:val="230"/>
        </w:trPr>
        <w:tc>
          <w:tcPr>
            <w:tcW w:w="6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Oncology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1600" w:type="dxa"/>
            <w:vAlign w:val="bottom"/>
            <w:tcBorders>
              <w:bottom w:val="single" w:sz="8" w:color="CCEEFF"/>
            </w:tcBorders>
            <w:gridSpan w:val="2"/>
          </w:tcPr>
          <w:p>
            <w:pPr>
              <w:jc w:val="center"/>
              <w:ind w:left="90"/>
              <w:spacing w:after="0"/>
              <w:rPr>
                <w:sz w:val="20"/>
                <w:szCs w:val="20"/>
                <w:color w:val="auto"/>
              </w:rPr>
            </w:pPr>
            <w:r>
              <w:rPr>
                <w:rFonts w:ascii="Arial" w:cs="Arial" w:eastAsia="Arial" w:hAnsi="Arial"/>
                <w:sz w:val="18"/>
                <w:szCs w:val="18"/>
                <w:color w:val="auto"/>
                <w:w w:val="90"/>
              </w:rPr>
              <w:t>13.9%</w:t>
            </w:r>
          </w:p>
        </w:tc>
      </w:tr>
      <w:tr>
        <w:trPr>
          <w:trHeight w:val="248"/>
        </w:trPr>
        <w:tc>
          <w:tcPr>
            <w:tcW w:w="66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70,216</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9.6%</w:t>
            </w:r>
          </w:p>
        </w:tc>
      </w:tr>
      <w:tr>
        <w:trPr>
          <w:trHeight w:val="20"/>
        </w:trPr>
        <w:tc>
          <w:tcPr>
            <w:tcW w:w="66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640" w:type="dxa"/>
            <w:vAlign w:val="bottom"/>
            <w:gridSpan w:val="2"/>
          </w:tcPr>
          <w:p>
            <w:pPr>
              <w:ind w:left="3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64,464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54,108</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19.1%</w:t>
            </w:r>
          </w:p>
        </w:tc>
      </w:tr>
      <w:tr>
        <w:trPr>
          <w:trHeight w:val="229"/>
        </w:trPr>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(22.4)%</w:t>
            </w:r>
          </w:p>
        </w:tc>
      </w:tr>
      <w:tr>
        <w:trPr>
          <w:trHeight w:val="223"/>
        </w:trPr>
        <w:tc>
          <w:tcPr>
            <w:tcW w:w="664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76,971</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70,216</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9.6%</w:t>
            </w:r>
          </w:p>
        </w:tc>
      </w:tr>
      <w:tr>
        <w:trPr>
          <w:trHeight w:val="21"/>
        </w:trPr>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August 31, 2021, net sales increased $6.8 million to $77.0 million compared to the same period in the prior year.</w:t>
      </w:r>
    </w:p>
    <w:p>
      <w:pPr>
        <w:spacing w:after="0" w:line="18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Med Tech business increased $7.1 million from the first quarter of the prior year. This growth was driven by Auryon sales which grew $4.8 million compared to the prior year. The AngioVac business grew $0.7 million as the Company generally continued to see consistent case volumes in AngioVac despite continued COVID-19 challenges. Additionally, NanoKnife also had improved capital and disposable sales which increased $1.0 and $0.7 million, respectively. NanoKnife capital growth was in the U.S and Europe while the disposable growth was driven by U.S sales.</w:t>
      </w:r>
    </w:p>
    <w:p>
      <w:pPr>
        <w:spacing w:after="0" w:line="19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Med Device business net sales decreased $0.4 million from the prior year; however, excluding the large prior year order in the UK, net sales increased $4.8 million. This increase was driven by increased case volume compared to the first quarter of the prior year which resulted in increased sales of Core, Venous and BioSentry products of $2.1 million, $0.6 million and $0.4 million, respectively. Excluding the prior year order in the UK, Midlines, PICCs and Ports increased $2.2 million, with $1.1 million of the increase driven by U.S port sales. These increases were partially offset by decreased Microwave sales of $0.4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Three Months Ended</w:t>
            </w:r>
          </w:p>
        </w:tc>
        <w:tc>
          <w:tcPr>
            <w:tcW w:w="1540" w:type="dxa"/>
            <w:vAlign w:val="bottom"/>
            <w:tcBorders>
              <w:bottom w:val="single" w:sz="8" w:color="auto"/>
            </w:tcBorders>
          </w:tcPr>
          <w:p>
            <w:pPr>
              <w:spacing w:after="0"/>
              <w:rPr>
                <w:sz w:val="16"/>
                <w:szCs w:val="16"/>
                <w:color w:val="auto"/>
              </w:rPr>
            </w:pPr>
          </w:p>
        </w:tc>
      </w:tr>
      <w:tr>
        <w:trPr>
          <w:trHeight w:val="186"/>
        </w:trPr>
        <w:tc>
          <w:tcPr>
            <w:tcW w:w="6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Aug 31, 2021</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Aug 31, 2020</w:t>
            </w:r>
          </w:p>
        </w:tc>
        <w:tc>
          <w:tcPr>
            <w:tcW w:w="1540" w:type="dxa"/>
            <w:vAlign w:val="bottom"/>
          </w:tcPr>
          <w:p>
            <w:pPr>
              <w:jc w:val="right"/>
              <w:ind w:right="394"/>
              <w:spacing w:after="0"/>
              <w:rPr>
                <w:sz w:val="20"/>
                <w:szCs w:val="20"/>
                <w:color w:val="auto"/>
              </w:rPr>
            </w:pPr>
            <w:r>
              <w:rPr>
                <w:rFonts w:ascii="Arial" w:cs="Arial" w:eastAsia="Arial" w:hAnsi="Arial"/>
                <w:sz w:val="14"/>
                <w:szCs w:val="14"/>
                <w:color w:val="auto"/>
              </w:rPr>
              <w:t>% Change</w:t>
            </w:r>
          </w:p>
        </w:tc>
      </w:tr>
      <w:tr>
        <w:trPr>
          <w:trHeight w:val="226"/>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40,139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35,764</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50.9 %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9,009</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17,705</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8,557</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12.2 %</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$4.4 million compared to the prior year. The change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volume positively impacted gross profit by $4.2 million year over year;</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mix positively impacted gross profit by $0.7 million as a result of increased sales of NanoKnife, Auryon and AngioVac;</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Auryon start up costs related to placed units of $1.0 million negatively impacted gross profit year over year;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5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Inflationary costs on raw materials, labor and freight had a negative impact of $1.4 million year over year, partially offset by favorablility in production volume and other initiatives of $1.2 million and $0.4 million, respectively.</w:t>
      </w: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decreased $1.6 million compared to the prior year. The change is primarily attributable to the following:</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R&amp;D project expense decreased $1.0 million year over year primarily due to the timing of certain projects;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benefits expense decreased $0.4 million as a result of open roles.</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Sales and marketing expense</w:t>
      </w:r>
      <w:r>
        <w:rPr>
          <w:rFonts w:ascii="Arial" w:cs="Arial" w:eastAsia="Arial" w:hAnsi="Arial"/>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$6.7 million compared to the prior year. The change is primarily attributable to the following:</w:t>
      </w:r>
    </w:p>
    <w:p>
      <w:pPr>
        <w:spacing w:after="0" w:line="252" w:lineRule="exact"/>
        <w:rPr>
          <w:sz w:val="20"/>
          <w:szCs w:val="20"/>
          <w:color w:val="auto"/>
        </w:rPr>
      </w:pPr>
    </w:p>
    <w:p>
      <w:pPr>
        <w:ind w:left="660" w:right="420" w:hanging="328"/>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and benefits expense increased $4.3 million due to additional headcount from the build-out of the Auryon sales and marketing teams;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and other expenses increased $2.5 million as some COVID-19 restrictions were lifted.</w:t>
      </w:r>
    </w:p>
    <w:p>
      <w:pPr>
        <w:spacing w:after="0" w:line="23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u w:val="single" w:color="auto"/>
          <w:color w:val="auto"/>
        </w:rPr>
        <w:t>General and administrative expense</w:t>
      </w:r>
      <w:r>
        <w:rPr>
          <w:rFonts w:ascii="Arial" w:cs="Arial" w:eastAsia="Arial" w:hAnsi="Arial"/>
          <w:sz w:val="17"/>
          <w:szCs w:val="17"/>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$0.4 million compared to the prior year. The change is primarily attributable to the following:</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and benefits expense increased $0.9 million year over year primarily due to increased headcount;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Outside consultant spend decreased $0.7 million, partially offsetting the foregoing increase.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Aug 31, 2020</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ind w:left="660" w:right="8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Amortization expense decreased $0.1 million from the prior year due to assets that became fully amortized in fiscal year 2021 along with the write-off of the OARtrac intangible asset in the fourth quarter of fiscal year 2021. This was partially offset by amortization relating to the Camaro intangible asset addition of $3.9 million in the first quarter of fiscal year 2022.</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change in the fair value is related to the Eximo contingent consideration.</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increased by $1.1 million compared to the prior year. The change is primarily attributable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8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$2.1 million was recorded in the first quarter of fiscal year 2022 compared to $0.8 million in the prior year;</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first quarter of fiscal year 2021, and as a result of the sale of the Fluid Management business, the Company incurred $0.3 million of expense to move manufacturing facilities and the Company received $0.4 million from Medline Industries, Inc. as part of the TSA agreement. These activities were completed during fiscal year 2021; and</w:t>
      </w:r>
    </w:p>
    <w:p>
      <w:pPr>
        <w:spacing w:after="0" w:line="1" w:lineRule="exact"/>
        <w:rPr>
          <w:rFonts w:ascii="Arial" w:cs="Arial" w:eastAsia="Arial" w:hAnsi="Arial"/>
          <w:sz w:val="18"/>
          <w:szCs w:val="18"/>
          <w:color w:val="auto"/>
        </w:rPr>
      </w:pPr>
    </w:p>
    <w:p>
      <w:pPr>
        <w:ind w:left="660" w:right="3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expenses of $0.4 million in the first quarter of fiscal year 2022 compared to $0.6 million in the prior year consisted mainly of severance associated with organizational changes.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 Other expenses include interest expense, foreign currency impacts, bank fees, and amortization of deferred financing costs.</w:t>
      </w:r>
    </w:p>
    <w:p>
      <w:pPr>
        <w:spacing w:after="0" w:line="27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other expense from the prior year of $0.8 million is primarily due to unrealized foreign currency losses of $0.9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Three Months Ended</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Aug 31, 2021</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rPr>
              <w:t>Aug 31, 2020</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(0.5)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19.0 %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80"/>
              <w:spacing w:after="0"/>
              <w:rPr>
                <w:sz w:val="20"/>
                <w:szCs w:val="20"/>
                <w:color w:val="auto"/>
              </w:rPr>
            </w:pPr>
            <w:r>
              <w:rPr>
                <w:rFonts w:ascii="Arial" w:cs="Arial" w:eastAsia="Arial" w:hAnsi="Arial"/>
                <w:sz w:val="18"/>
                <w:szCs w:val="18"/>
                <w:color w:val="auto"/>
                <w:w w:val="89"/>
              </w:rPr>
              <w:t>11.3 %</w:t>
            </w:r>
          </w:p>
        </w:tc>
      </w:tr>
    </w:tbl>
    <w:p>
      <w:pPr>
        <w:spacing w:after="0" w:line="32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three-month periods ended August 31, 2021 and 2020 was 19.0% and 11.3%, respectively. In fiscal year 2022,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3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10.6% in the first quarter of fiscal year 2022, as compared to 14.2% for the same period in fiscal year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 regularly review our liquidity and anticipated capital requirements in light of the significant uncertainty created by the COVID-19 global pandemic. We believe that our current cash on hand and availability under our Revolving Facility provide sufficient liquidity to meet our anticipated needs for capital for at least the next 12 months. We are closely monitoring receivables and payables.</w:t>
      </w:r>
    </w:p>
    <w:p>
      <w:pPr>
        <w:spacing w:after="0" w:line="13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Our cash and cash equivalents totaled $35.5 million as of August 31, 2021, compared with $48.2 million as of May 31, 2021. As of August 31, 2021 and May 31, 2021, total debt outstanding related to the Revolving Facility was $25.0 million and $20.0 million, respectively. The fair value of contingent consideration liability as of August 31, 2021 and May 31, 2021, was $15.9 million and $15.7 million, respectively.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color w:val="auto"/>
              </w:rPr>
              <w:t>Three Months Ended</w:t>
            </w:r>
          </w:p>
        </w:tc>
      </w:tr>
      <w:tr>
        <w:trPr>
          <w:trHeight w:val="186"/>
        </w:trPr>
        <w:tc>
          <w:tcPr>
            <w:tcW w:w="7440" w:type="dxa"/>
            <w:vAlign w:val="bottom"/>
          </w:tcPr>
          <w:p>
            <w:pPr>
              <w:ind w:left="480"/>
              <w:spacing w:after="0"/>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rPr>
              <w:t>Aug 31, 2021</w:t>
            </w:r>
          </w:p>
        </w:tc>
        <w:tc>
          <w:tcPr>
            <w:tcW w:w="640" w:type="dxa"/>
            <w:vAlign w:val="bottom"/>
          </w:tcPr>
          <w:p>
            <w:pPr>
              <w:spacing w:after="0"/>
              <w:rPr>
                <w:sz w:val="16"/>
                <w:szCs w:val="16"/>
                <w:color w:val="auto"/>
              </w:rPr>
            </w:pPr>
          </w:p>
        </w:tc>
        <w:tc>
          <w:tcPr>
            <w:tcW w:w="1200" w:type="dxa"/>
            <w:vAlign w:val="bottom"/>
          </w:tcPr>
          <w:p>
            <w:pPr>
              <w:jc w:val="right"/>
              <w:ind w:right="213"/>
              <w:spacing w:after="0"/>
              <w:rPr>
                <w:sz w:val="20"/>
                <w:szCs w:val="20"/>
                <w:color w:val="auto"/>
              </w:rPr>
            </w:pPr>
            <w:r>
              <w:rPr>
                <w:rFonts w:ascii="Arial" w:cs="Arial" w:eastAsia="Arial" w:hAnsi="Arial"/>
                <w:sz w:val="14"/>
                <w:szCs w:val="14"/>
                <w:color w:val="auto"/>
              </w:rPr>
              <w:t>Aug 31, 2020</w:t>
            </w:r>
          </w:p>
        </w:tc>
      </w:tr>
      <w:tr>
        <w:trPr>
          <w:trHeight w:val="213"/>
        </w:trPr>
        <w:tc>
          <w:tcPr>
            <w:tcW w:w="74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provided by (used in):</w:t>
            </w:r>
          </w:p>
        </w:tc>
        <w:tc>
          <w:tcPr>
            <w:tcW w:w="6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480"/>
              <w:spacing w:after="0"/>
              <w:rPr>
                <w:sz w:val="20"/>
                <w:szCs w:val="20"/>
                <w:color w:val="auto"/>
              </w:rPr>
            </w:pPr>
            <w:r>
              <w:rPr>
                <w:rFonts w:ascii="Arial" w:cs="Arial" w:eastAsia="Arial" w:hAnsi="Arial"/>
                <w:sz w:val="18"/>
                <w:szCs w:val="18"/>
                <w:color w:val="auto"/>
              </w:rPr>
              <w:t>Operating activities</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(8,904)</w:t>
            </w:r>
          </w:p>
        </w:tc>
        <w:tc>
          <w:tcPr>
            <w:tcW w:w="1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30"/>
        </w:trPr>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r>
      <w:tr>
        <w:trPr>
          <w:trHeight w:val="230"/>
        </w:trPr>
        <w:tc>
          <w:tcPr>
            <w:tcW w:w="7440" w:type="dxa"/>
            <w:vAlign w:val="bottom"/>
          </w:tcPr>
          <w:p>
            <w:pPr>
              <w:ind w:left="480"/>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exchange rate changes on 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7440" w:type="dxa"/>
            <w:vAlign w:val="bottom"/>
          </w:tcPr>
          <w:p>
            <w:pPr>
              <w:ind w:left="480"/>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w:t>
            </w:r>
          </w:p>
        </w:tc>
      </w:tr>
      <w:tr>
        <w:trPr>
          <w:trHeight w:val="20"/>
        </w:trPr>
        <w:tc>
          <w:tcPr>
            <w:tcW w:w="7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consisted of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2021 and 2020:</w:t>
      </w:r>
    </w:p>
    <w:p>
      <w:pPr>
        <w:spacing w:after="0" w:line="171" w:lineRule="exact"/>
        <w:rPr>
          <w:sz w:val="20"/>
          <w:szCs w:val="20"/>
          <w:color w:val="auto"/>
        </w:rPr>
      </w:pPr>
    </w:p>
    <w:p>
      <w:pPr>
        <w:ind w:left="660" w:right="2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of $7.0 million and $4.3 million for the period ended August 31, 2021 and 2020, respectively, plus the non-cash items, primarily driven by depreciation and amortization and stock based compensation, along with the changes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working capital below, contributed to cash used in operations of $8.9 million and $5.4 million, respectively, for these periods.</w:t>
      </w:r>
    </w:p>
    <w:p>
      <w:pPr>
        <w:spacing w:after="0" w:line="23" w:lineRule="exact"/>
        <w:rPr>
          <w:sz w:val="20"/>
          <w:szCs w:val="20"/>
          <w:color w:val="auto"/>
        </w:rPr>
      </w:pPr>
    </w:p>
    <w:p>
      <w:pPr>
        <w:ind w:left="660" w:right="4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 ended August 31, 2021, working capital was negatively impacted by decreased accounts payable, accrued liabilities and other liabilities of $6.3 million, mainly driven by the payment of annual incentive compensation in the first quarter.</w:t>
      </w:r>
    </w:p>
    <w:p>
      <w:pPr>
        <w:ind w:left="660" w:right="180" w:hanging="328"/>
        <w:spacing w:after="0" w:line="323"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the period ended August 31, 2020, working capital was negatively impacted by increased accounts receivable of $2.7 million and decreased accounts payable, accrued liabilities and other liabilities of $10.1 million. Inventory had a favorable impact on working capital of $7.2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2021 and 2020:</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million and $1.8 million, respectively, of cash was used for fixed asset additions;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$4.5 million of cash was used for Auryon placement and evaluation unit additions in the first quarter of fiscal year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$3.6 million of cash was used for the QX Medical asset acquisition in the first quarter of fiscal year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August 31, 2021 and 2020:</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 million draw on the revolver in the first quarter of fiscal year 2022 for the QX Medical asset acquisition;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$0.4 million and $0.5 million, respectively, of proceeds from stock option and ESPP activity.</w:t>
      </w:r>
    </w:p>
    <w:p>
      <w:pPr>
        <w:spacing w:after="0" w:line="23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on the Revolving Facility at August 31, 2021 was 1.34%. The Company was in compliance with the Credit Agreement covenants as of August 31, 2021.</w:t>
      </w:r>
    </w:p>
    <w:p>
      <w:pPr>
        <w:spacing w:after="0" w:line="12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the first quarter of fiscal year 2022, the Company made a $5.0 million draw on the Revolving Facility in conjunction with the QX Medical asset acquisition. In December 2020 and March 2021, payments of $10.0 million each were made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For the three months ended August 31, 2021, approximately 6%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June 3, 2019, we entered into the Credit Agreement which provides for a $125.0 million Revolving Facility. Interest on the facility will be based, at the Company’s option, on either a base rate of LIBOR or alternate base rate, plus an applicable margin tied to the Company’s total leverage ratio and having ranges between 0.25% and 0.75% for base rate loans and between 1.25% and 1.75% for LIBOR loans. In the event of default, the interest rate may be increased by 2.0%. As of August 31, 2021 there was $25.0 million outstanding on the Revolving Facility. The interest rate on the Revolving Facility at August 31, 2021 was 1.34%.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16"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1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August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ind w:right="640" w:firstLine="389"/>
        <w:spacing w:after="0" w:line="277" w:lineRule="auto"/>
        <w:rPr>
          <w:sz w:val="20"/>
          <w:szCs w:val="20"/>
          <w:color w:val="auto"/>
        </w:rPr>
      </w:pPr>
      <w:r>
        <w:rPr>
          <w:rFonts w:ascii="Arial" w:cs="Arial" w:eastAsia="Arial" w:hAnsi="Arial"/>
          <w:sz w:val="18"/>
          <w:szCs w:val="18"/>
          <w:color w:val="auto"/>
        </w:rPr>
        <w:t>See Note 14 "Commitments and Contingencies" set forth in the notes to our consolidated financial statements included in Part I, Item I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2021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with respect to the shares of the Company’s common stock repurchased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w w:val="95"/>
              </w:rPr>
              <w:t>Issuer Purchases of Equity Securities</w:t>
            </w: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restart"/>
          </w:tcPr>
          <w:p>
            <w:pPr>
              <w:ind w:left="580"/>
              <w:spacing w:after="0"/>
              <w:rPr>
                <w:sz w:val="20"/>
                <w:szCs w:val="20"/>
                <w:color w:val="auto"/>
              </w:rPr>
            </w:pPr>
            <w:r>
              <w:rPr>
                <w:rFonts w:ascii="Arial" w:cs="Arial" w:eastAsia="Arial" w:hAnsi="Arial"/>
                <w:sz w:val="14"/>
                <w:szCs w:val="14"/>
                <w:color w:val="auto"/>
              </w:rPr>
              <w:t>Total</w:t>
            </w:r>
          </w:p>
        </w:tc>
        <w:tc>
          <w:tcPr>
            <w:tcW w:w="1100" w:type="dxa"/>
            <w:vAlign w:val="bottom"/>
          </w:tcPr>
          <w:p>
            <w:pPr>
              <w:jc w:val="right"/>
              <w:spacing w:after="0" w:line="135" w:lineRule="exact"/>
              <w:rPr>
                <w:sz w:val="20"/>
                <w:szCs w:val="20"/>
                <w:color w:val="auto"/>
              </w:rPr>
            </w:pPr>
            <w:r>
              <w:rPr>
                <w:rFonts w:ascii="Arial" w:cs="Arial" w:eastAsia="Arial" w:hAnsi="Arial"/>
                <w:sz w:val="14"/>
                <w:szCs w:val="14"/>
                <w:color w:val="auto"/>
              </w:rPr>
              <w:t>Maximum</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4"/>
              </w:rPr>
              <w:t>Approximate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7"/>
              </w:rPr>
              <w:t>Number of</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6"/>
              </w:rPr>
              <w:t>Dollar Value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0"/>
              </w:rPr>
              <w:t>Shares</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0"/>
              </w:rPr>
              <w:t>of Shares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200" w:type="dxa"/>
            <w:vAlign w:val="bottom"/>
            <w:gridSpan w:val="2"/>
            <w:vMerge w:val="restart"/>
          </w:tcPr>
          <w:p>
            <w:pPr>
              <w:ind w:left="600"/>
              <w:spacing w:after="0"/>
              <w:rPr>
                <w:sz w:val="20"/>
                <w:szCs w:val="20"/>
                <w:color w:val="auto"/>
              </w:rPr>
            </w:pPr>
            <w:r>
              <w:rPr>
                <w:rFonts w:ascii="Arial" w:cs="Arial" w:eastAsia="Arial" w:hAnsi="Arial"/>
                <w:sz w:val="14"/>
                <w:szCs w:val="14"/>
                <w:color w:val="auto"/>
              </w:rPr>
              <w:t>Total</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89"/>
              </w:rPr>
              <w:t>Purchased</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4"/>
              </w:rPr>
              <w:t>that May Yet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auto"/>
              </w:rPr>
              <w:t>Average</w:t>
            </w:r>
          </w:p>
        </w:tc>
        <w:tc>
          <w:tcPr>
            <w:tcW w:w="142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3"/>
              </w:rPr>
              <w:t>as Part of</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3"/>
              </w:rPr>
              <w:t>Be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Number of</w:t>
            </w:r>
          </w:p>
        </w:tc>
        <w:tc>
          <w:tcPr>
            <w:tcW w:w="6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2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9"/>
              </w:rPr>
              <w:t>Publicly</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86"/>
              </w:rPr>
              <w:t>Purchased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85"/>
              </w:rPr>
              <w:t>Shares</w:t>
            </w:r>
          </w:p>
        </w:tc>
        <w:tc>
          <w:tcPr>
            <w:tcW w:w="1520" w:type="dxa"/>
            <w:vAlign w:val="bottom"/>
            <w:gridSpan w:val="3"/>
          </w:tcPr>
          <w:p>
            <w:pPr>
              <w:ind w:left="420"/>
              <w:spacing w:after="0" w:line="135" w:lineRule="exact"/>
              <w:rPr>
                <w:sz w:val="20"/>
                <w:szCs w:val="20"/>
                <w:color w:val="auto"/>
              </w:rPr>
            </w:pPr>
            <w:r>
              <w:rPr>
                <w:rFonts w:ascii="Arial" w:cs="Arial" w:eastAsia="Arial" w:hAnsi="Arial"/>
                <w:sz w:val="14"/>
                <w:szCs w:val="14"/>
                <w:color w:val="auto"/>
              </w:rPr>
              <w:t>Price Paid</w:t>
            </w:r>
          </w:p>
        </w:tc>
        <w:tc>
          <w:tcPr>
            <w:tcW w:w="1420" w:type="dxa"/>
            <w:vAlign w:val="bottom"/>
            <w:gridSpan w:val="3"/>
          </w:tcPr>
          <w:p>
            <w:pPr>
              <w:jc w:val="center"/>
              <w:ind w:right="380"/>
              <w:spacing w:after="0" w:line="135" w:lineRule="exact"/>
              <w:rPr>
                <w:sz w:val="20"/>
                <w:szCs w:val="20"/>
                <w:color w:val="auto"/>
              </w:rPr>
            </w:pPr>
            <w:r>
              <w:rPr>
                <w:rFonts w:ascii="Arial" w:cs="Arial" w:eastAsia="Arial" w:hAnsi="Arial"/>
                <w:sz w:val="14"/>
                <w:szCs w:val="14"/>
                <w:color w:val="auto"/>
                <w:w w:val="95"/>
              </w:rPr>
              <w:t>Announced</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0"/>
              </w:rPr>
              <w:t>Under Plans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Purchased (1)</w:t>
            </w:r>
          </w:p>
        </w:tc>
        <w:tc>
          <w:tcPr>
            <w:tcW w:w="1520" w:type="dxa"/>
            <w:vAlign w:val="bottom"/>
            <w:gridSpan w:val="3"/>
          </w:tcPr>
          <w:p>
            <w:pPr>
              <w:ind w:left="440"/>
              <w:spacing w:after="0"/>
              <w:rPr>
                <w:sz w:val="20"/>
                <w:szCs w:val="20"/>
                <w:color w:val="auto"/>
              </w:rPr>
            </w:pPr>
            <w:r>
              <w:rPr>
                <w:rFonts w:ascii="Arial" w:cs="Arial" w:eastAsia="Arial" w:hAnsi="Arial"/>
                <w:sz w:val="14"/>
                <w:szCs w:val="14"/>
                <w:color w:val="auto"/>
              </w:rPr>
              <w:t>per Share</w:t>
            </w: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color w:val="auto"/>
                <w:w w:val="92"/>
              </w:rPr>
              <w:t>Programs (2)</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or Programs (2)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7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June 1, 2021 - June 30,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440"/>
              <w:spacing w:after="0"/>
              <w:rPr>
                <w:sz w:val="20"/>
                <w:szCs w:val="20"/>
                <w:color w:val="auto"/>
              </w:rPr>
            </w:pPr>
            <w:r>
              <w:rPr>
                <w:rFonts w:ascii="Arial" w:cs="Arial" w:eastAsia="Arial" w:hAnsi="Arial"/>
                <w:sz w:val="18"/>
                <w:szCs w:val="18"/>
                <w:color w:val="auto"/>
              </w:rPr>
              <w:t>July 1, 2021 - July 31, 2021</w:t>
            </w:r>
          </w:p>
        </w:tc>
        <w:tc>
          <w:tcPr>
            <w:tcW w:w="1100" w:type="dxa"/>
            <w:vAlign w:val="bottom"/>
          </w:tcPr>
          <w:p>
            <w:pPr>
              <w:jc w:val="right"/>
              <w:spacing w:after="0"/>
              <w:rPr>
                <w:sz w:val="20"/>
                <w:szCs w:val="20"/>
                <w:color w:val="auto"/>
              </w:rPr>
            </w:pPr>
            <w:r>
              <w:rPr>
                <w:rFonts w:ascii="Arial" w:cs="Arial" w:eastAsia="Arial" w:hAnsi="Arial"/>
                <w:sz w:val="18"/>
                <w:szCs w:val="18"/>
                <w:color w:val="auto"/>
              </w:rPr>
              <w:t>23,498</w:t>
            </w:r>
          </w:p>
        </w:tc>
        <w:tc>
          <w:tcPr>
            <w:tcW w:w="10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19"/>
                <w:szCs w:val="19"/>
                <w:color w:val="auto"/>
              </w:rPr>
            </w:pPr>
          </w:p>
        </w:tc>
        <w:tc>
          <w:tcPr>
            <w:tcW w:w="14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84"/>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August 1, 2021 - August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8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7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64,846</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580" w:hanging="329"/>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These shares were purchased from employees to satisfy tax withholding requirements on the vesting of restricted shares/units from equity-based awards.</w:t>
      </w:r>
    </w:p>
    <w:p>
      <w:pPr>
        <w:spacing w:after="0" w:line="30" w:lineRule="exact"/>
        <w:rPr>
          <w:rFonts w:ascii="Arial" w:cs="Arial" w:eastAsia="Arial" w:hAnsi="Arial"/>
          <w:sz w:val="15"/>
          <w:szCs w:val="15"/>
          <w:color w:val="auto"/>
        </w:rPr>
      </w:pPr>
    </w:p>
    <w:p>
      <w:pPr>
        <w:ind w:left="580" w:hanging="329"/>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amounts are not applicable as the Company currently does not have a share repurchase program in effect.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9"/>
          </w:tcPr>
          <w:p>
            <w:pPr>
              <w:ind w:left="1580"/>
              <w:spacing w:after="0"/>
              <w:rPr>
                <w:sz w:val="20"/>
                <w:szCs w:val="20"/>
                <w:color w:val="auto"/>
              </w:rPr>
            </w:pPr>
            <w:r>
              <w:rPr>
                <w:rFonts w:ascii="Arial" w:cs="Arial" w:eastAsia="Arial" w:hAnsi="Arial"/>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No.</w:t>
            </w:r>
          </w:p>
        </w:tc>
        <w:tc>
          <w:tcPr>
            <w:tcW w:w="4600" w:type="dxa"/>
            <w:vAlign w:val="bottom"/>
            <w:tcBorders>
              <w:bottom w:val="single" w:sz="8" w:color="auto"/>
            </w:tcBorders>
            <w:gridSpan w:val="9"/>
          </w:tcPr>
          <w:p>
            <w:pPr>
              <w:ind w:left="1840"/>
              <w:spacing w:after="0"/>
              <w:rPr>
                <w:sz w:val="20"/>
                <w:szCs w:val="20"/>
                <w:color w:val="auto"/>
              </w:rPr>
            </w:pPr>
            <w:r>
              <w:rPr>
                <w:rFonts w:ascii="Arial" w:cs="Arial" w:eastAsia="Arial" w:hAnsi="Arial"/>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Exhibit</w:t>
            </w: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4600" w:type="dxa"/>
            <w:vAlign w:val="bottom"/>
            <w:gridSpan w:val="9"/>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Form of Performance Share Award Agreement pursuant to the</w:t>
              </w:r>
            </w:hyperlink>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4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2020 Stock and Incentive Award Plan</w:t>
              </w:r>
            </w:hyperlink>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4600" w:type="dxa"/>
            <w:vAlign w:val="bottom"/>
            <w:gridSpan w:val="9"/>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pursuant to Rule 13a-14(a) or 15d-14 under the</w:t>
              </w:r>
            </w:hyperlink>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Securities Exchange Act of 1934</w:t>
              </w:r>
            </w:hyperlink>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4600" w:type="dxa"/>
            <w:vAlign w:val="bottom"/>
            <w:gridSpan w:val="9"/>
          </w:tcPr>
          <w:p>
            <w:pPr>
              <w:spacing w:after="0"/>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pursuant to Rule 13a-14(a) or 15d-14 under the</w:t>
              </w:r>
            </w:hyperlink>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Securities Exchange Act of 1934</w:t>
              </w:r>
            </w:hyperlink>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4600" w:type="dxa"/>
            <w:vAlign w:val="bottom"/>
            <w:gridSpan w:val="9"/>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Certification of Chief Executive Officer pursuant to Title 18,</w:t>
              </w:r>
            </w:hyperlink>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60" w:type="dxa"/>
            <w:vAlign w:val="bottom"/>
            <w:tcBorders>
              <w:top w:val="single" w:sz="8" w:color="0000FF"/>
            </w:tcBorders>
            <w:gridSpan w:val="7"/>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United States Code, Section 1350, as adopted pursuant to</w:t>
              </w:r>
            </w:hyperlink>
          </w:p>
        </w:tc>
        <w:tc>
          <w:tcPr>
            <w:tcW w:w="24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1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Section 906 of the Sarbanes-Oxley Act of 2002</w:t>
              </w:r>
            </w:hyperlink>
          </w:p>
        </w:tc>
        <w:tc>
          <w:tcPr>
            <w:tcW w:w="20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4600" w:type="dxa"/>
            <w:vAlign w:val="bottom"/>
            <w:gridSpan w:val="9"/>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Certification of Chief Financial Officer pursuant to Title 18,</w:t>
              </w:r>
            </w:hyperlink>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5"/>
          </w:tcPr>
          <w:p>
            <w:pPr>
              <w:spacing w:after="0" w:line="15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United States Code, Section 1350, as adopted pursuant to</w:t>
              </w:r>
            </w:hyperlink>
          </w:p>
        </w:tc>
        <w:tc>
          <w:tcPr>
            <w:tcW w:w="280" w:type="dxa"/>
            <w:vAlign w:val="bottom"/>
            <w:gridSpan w:val="4"/>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6"/>
        </w:trPr>
        <w:tc>
          <w:tcPr>
            <w:tcW w:w="1060" w:type="dxa"/>
            <w:vAlign w:val="bottom"/>
          </w:tcPr>
          <w:p>
            <w:pPr>
              <w:spacing w:after="0"/>
              <w:rPr>
                <w:sz w:val="13"/>
                <w:szCs w:val="13"/>
                <w:color w:val="auto"/>
              </w:rPr>
            </w:pPr>
          </w:p>
        </w:tc>
        <w:tc>
          <w:tcPr>
            <w:tcW w:w="41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Section 906 of the Sarbanes-Oxley Act of 2002</w:t>
              </w:r>
            </w:hyperlink>
          </w:p>
        </w:tc>
        <w:tc>
          <w:tcPr>
            <w:tcW w:w="480" w:type="dxa"/>
            <w:vAlign w:val="bottom"/>
            <w:gridSpan w:val="5"/>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4600" w:type="dxa"/>
            <w:vAlign w:val="bottom"/>
            <w:gridSpan w:val="9"/>
          </w:tcPr>
          <w:p>
            <w:pPr>
              <w:spacing w:after="0"/>
              <w:rPr>
                <w:sz w:val="20"/>
                <w:szCs w:val="20"/>
                <w:color w:val="auto"/>
              </w:rPr>
            </w:pPr>
            <w:r>
              <w:rPr>
                <w:rFonts w:ascii="Arial" w:cs="Arial" w:eastAsia="Arial" w:hAnsi="Arial"/>
                <w:sz w:val="18"/>
                <w:szCs w:val="18"/>
                <w:color w:val="auto"/>
                <w:w w:val="91"/>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1060" w:type="dxa"/>
            <w:vAlign w:val="bottom"/>
          </w:tcPr>
          <w:p>
            <w:pPr>
              <w:spacing w:after="0"/>
              <w:rPr>
                <w:sz w:val="15"/>
                <w:szCs w:val="15"/>
                <w:color w:val="auto"/>
              </w:rPr>
            </w:pPr>
          </w:p>
        </w:tc>
        <w:tc>
          <w:tcPr>
            <w:tcW w:w="4600" w:type="dxa"/>
            <w:vAlign w:val="bottom"/>
            <w:gridSpan w:val="9"/>
          </w:tcPr>
          <w:p>
            <w:pPr>
              <w:spacing w:after="0" w:line="176" w:lineRule="exact"/>
              <w:rPr>
                <w:sz w:val="20"/>
                <w:szCs w:val="20"/>
                <w:color w:val="auto"/>
              </w:rPr>
            </w:pPr>
            <w:r>
              <w:rPr>
                <w:rFonts w:ascii="Arial" w:cs="Arial" w:eastAsia="Arial" w:hAnsi="Arial"/>
                <w:sz w:val="18"/>
                <w:szCs w:val="18"/>
                <w:color w:val="auto"/>
                <w:w w:val="99"/>
              </w:rPr>
              <w:t>file because its XBRL tags are embedded within the inline</w:t>
            </w:r>
          </w:p>
        </w:tc>
        <w:tc>
          <w:tcPr>
            <w:tcW w:w="14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0"/>
        </w:trPr>
        <w:tc>
          <w:tcPr>
            <w:tcW w:w="1060" w:type="dxa"/>
            <w:vAlign w:val="bottom"/>
          </w:tcPr>
          <w:p>
            <w:pPr>
              <w:spacing w:after="0"/>
              <w:rPr>
                <w:sz w:val="20"/>
                <w:szCs w:val="20"/>
                <w:color w:val="auto"/>
              </w:rPr>
            </w:pPr>
          </w:p>
        </w:tc>
        <w:tc>
          <w:tcPr>
            <w:tcW w:w="4600" w:type="dxa"/>
            <w:vAlign w:val="bottom"/>
            <w:gridSpan w:val="9"/>
          </w:tcPr>
          <w:p>
            <w:pPr>
              <w:spacing w:after="0"/>
              <w:rPr>
                <w:sz w:val="20"/>
                <w:szCs w:val="20"/>
                <w:color w:val="auto"/>
              </w:rPr>
            </w:pPr>
            <w:r>
              <w:rPr>
                <w:rFonts w:ascii="Arial" w:cs="Arial" w:eastAsia="Arial" w:hAnsi="Arial"/>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4600" w:type="dxa"/>
            <w:vAlign w:val="bottom"/>
            <w:gridSpan w:val="9"/>
          </w:tcPr>
          <w:p>
            <w:pPr>
              <w:spacing w:after="0"/>
              <w:rPr>
                <w:sz w:val="20"/>
                <w:szCs w:val="20"/>
                <w:color w:val="auto"/>
              </w:rPr>
            </w:pPr>
            <w:r>
              <w:rPr>
                <w:rFonts w:ascii="Arial" w:cs="Arial" w:eastAsia="Arial" w:hAnsi="Arial"/>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4600" w:type="dxa"/>
            <w:vAlign w:val="bottom"/>
            <w:gridSpan w:val="9"/>
          </w:tcPr>
          <w:p>
            <w:pPr>
              <w:spacing w:after="0"/>
              <w:rPr>
                <w:sz w:val="20"/>
                <w:szCs w:val="20"/>
                <w:color w:val="auto"/>
              </w:rPr>
            </w:pPr>
            <w:r>
              <w:rPr>
                <w:rFonts w:ascii="Arial" w:cs="Arial" w:eastAsia="Arial" w:hAnsi="Arial"/>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4600" w:type="dxa"/>
            <w:vAlign w:val="bottom"/>
            <w:gridSpan w:val="9"/>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4600" w:type="dxa"/>
            <w:vAlign w:val="bottom"/>
            <w:gridSpan w:val="9"/>
          </w:tcPr>
          <w:p>
            <w:pPr>
              <w:spacing w:after="0"/>
              <w:rPr>
                <w:sz w:val="20"/>
                <w:szCs w:val="20"/>
                <w:color w:val="auto"/>
              </w:rPr>
            </w:pPr>
            <w:r>
              <w:rPr>
                <w:rFonts w:ascii="Arial" w:cs="Arial" w:eastAsia="Arial" w:hAnsi="Arial"/>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4600" w:type="dxa"/>
            <w:vAlign w:val="bottom"/>
            <w:gridSpan w:val="9"/>
          </w:tcPr>
          <w:p>
            <w:pPr>
              <w:spacing w:after="0"/>
              <w:rPr>
                <w:sz w:val="20"/>
                <w:szCs w:val="20"/>
                <w:color w:val="auto"/>
              </w:rPr>
            </w:pPr>
            <w:r>
              <w:rPr>
                <w:rFonts w:ascii="Arial" w:cs="Arial" w:eastAsia="Arial" w:hAnsi="Arial"/>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ANGIODYNAMICS, INC.</w:t>
            </w:r>
          </w:p>
        </w:tc>
      </w:tr>
      <w:tr>
        <w:trPr>
          <w:trHeight w:val="230"/>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September 30, 2021</w:t>
            </w:r>
          </w:p>
        </w:tc>
        <w:tc>
          <w:tcPr>
            <w:tcW w:w="79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 S /  JAMES C. CLEMMER</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James C. Clemmer, President,</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September 30, 2021</w:t>
            </w:r>
          </w:p>
        </w:tc>
        <w:tc>
          <w:tcPr>
            <w:tcW w:w="7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Stephen A. Trowbridge, Executive Vice President,</w:t>
            </w:r>
          </w:p>
        </w:tc>
      </w:tr>
      <w:tr>
        <w:trPr>
          <w:trHeight w:val="175"/>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121" w:right="4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1965325</wp:posOffset>
            </wp:positionH>
            <wp:positionV relativeFrom="page">
              <wp:posOffset>577215</wp:posOffset>
            </wp:positionV>
            <wp:extent cx="3617595" cy="548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617595" cy="54864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PERFORMANCE SHARE AWARD AGREEMENT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Performance Share Award Agreement (this “Agreement”), dated as of the [ ] day of [ ], 20[ ] (the “Grant Date”), is between AngioDynamics, Inc., a Delaware corporation (“AngioDynamics” or the “Company”), and the “Participant,” an employee of the Company or any of its Affiliates or Subsidiaries and whose name appears on the signature page hereto. All capitalized terms not otherwise defined herein shall have the meaning ascribed thereto in Appendix A to this Agreement or the AngioDynamics 2020 Stock and Incentive Award Plan, as amended (the “Plan”), as applicable.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Overview of Your Award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Target Amount of Performance Shares: </w:t>
      </w:r>
      <w:r>
        <w:rPr>
          <w:rFonts w:ascii="Arial" w:cs="Arial" w:eastAsia="Arial" w:hAnsi="Arial"/>
          <w:sz w:val="22"/>
          <w:szCs w:val="22"/>
          <w:color w:val="auto"/>
        </w:rPr>
        <w:t>[ ] shares.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Performance Period: </w:t>
      </w:r>
      <w:r>
        <w:rPr>
          <w:rFonts w:ascii="Arial" w:cs="Arial" w:eastAsia="Arial" w:hAnsi="Arial"/>
          <w:sz w:val="22"/>
          <w:szCs w:val="22"/>
          <w:color w:val="auto"/>
        </w:rPr>
        <w:t>[ ], 20[ ] to [ ], 20[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Peer Group: </w:t>
      </w:r>
      <w:r>
        <w:rPr>
          <w:rFonts w:ascii="Arial" w:cs="Arial" w:eastAsia="Arial" w:hAnsi="Arial"/>
          <w:sz w:val="22"/>
          <w:szCs w:val="22"/>
          <w:color w:val="auto"/>
        </w:rPr>
        <w:t>Set forth on Appendix A.</w:t>
      </w:r>
    </w:p>
    <w:p>
      <w:pPr>
        <w:spacing w:after="0" w:line="148" w:lineRule="exact"/>
        <w:rPr>
          <w:sz w:val="20"/>
          <w:szCs w:val="20"/>
          <w:color w:val="auto"/>
        </w:rPr>
      </w:pPr>
    </w:p>
    <w:p>
      <w:pPr>
        <w:ind w:left="660" w:right="140" w:hanging="328"/>
        <w:spacing w:after="0" w:line="297" w:lineRule="auto"/>
        <w:tabs>
          <w:tab w:leader="none" w:pos="649" w:val="left"/>
        </w:tabs>
        <w:numPr>
          <w:ilvl w:val="0"/>
          <w:numId w:val="24"/>
        </w:numPr>
        <w:rPr>
          <w:rFonts w:ascii="Arial" w:cs="Arial" w:eastAsia="Arial" w:hAnsi="Arial"/>
          <w:sz w:val="18"/>
          <w:szCs w:val="18"/>
          <w:color w:val="auto"/>
        </w:rPr>
      </w:pPr>
      <w:r>
        <w:rPr>
          <w:rFonts w:ascii="Arial" w:cs="Arial" w:eastAsia="Arial" w:hAnsi="Arial"/>
          <w:sz w:val="19"/>
          <w:szCs w:val="19"/>
          <w:u w:val="single" w:color="auto"/>
          <w:color w:val="auto"/>
        </w:rPr>
        <w:t>Grant and Acceptance of Performance Shares</w:t>
      </w:r>
      <w:r>
        <w:rPr>
          <w:rFonts w:ascii="Arial" w:cs="Arial" w:eastAsia="Arial" w:hAnsi="Arial"/>
          <w:sz w:val="19"/>
          <w:szCs w:val="19"/>
          <w:color w:val="auto"/>
        </w:rPr>
        <w:t>. Effective as of the Grant Date, the Company hereby grants to the Participant a Performance Share Award (the “Performance Shares”), subject to the terms and conditions set forth in this Agreement and the Plan, with respect to [</w:t>
      </w:r>
      <w:r>
        <w:rPr>
          <w:rFonts w:ascii="Arial" w:cs="Arial" w:eastAsia="Arial" w:hAnsi="Arial"/>
          <w:sz w:val="19"/>
          <w:szCs w:val="19"/>
          <w:i w:val="1"/>
          <w:iCs w:val="1"/>
          <w:color w:val="auto"/>
        </w:rPr>
        <w:t>insert applicable number of shares</w:t>
      </w:r>
      <w:r>
        <w:rPr>
          <w:rFonts w:ascii="Arial" w:cs="Arial" w:eastAsia="Arial" w:hAnsi="Arial"/>
          <w:sz w:val="19"/>
          <w:szCs w:val="19"/>
          <w:color w:val="auto"/>
        </w:rPr>
        <w:t>] shares (the “Target Amount”) of the Company’s common stock, par value $0.01 per share (the “Common Stock”). This grant of Performance Shares shall not confer any right to the Participant (or any other participant) to be granted any Performance Shares in the future.</w:t>
      </w:r>
    </w:p>
    <w:p>
      <w:pPr>
        <w:spacing w:after="0" w:line="92" w:lineRule="exact"/>
        <w:rPr>
          <w:rFonts w:ascii="Arial" w:cs="Arial" w:eastAsia="Arial" w:hAnsi="Arial"/>
          <w:sz w:val="18"/>
          <w:szCs w:val="18"/>
          <w:color w:val="auto"/>
        </w:rPr>
      </w:pPr>
    </w:p>
    <w:p>
      <w:pPr>
        <w:ind w:left="660" w:right="80" w:hanging="328"/>
        <w:spacing w:after="0" w:line="292" w:lineRule="auto"/>
        <w:tabs>
          <w:tab w:leader="none" w:pos="649" w:val="left"/>
        </w:tabs>
        <w:numPr>
          <w:ilvl w:val="0"/>
          <w:numId w:val="24"/>
        </w:numPr>
        <w:rPr>
          <w:rFonts w:ascii="Arial" w:cs="Arial" w:eastAsia="Arial" w:hAnsi="Arial"/>
          <w:sz w:val="18"/>
          <w:szCs w:val="18"/>
          <w:color w:val="auto"/>
        </w:rPr>
      </w:pPr>
      <w:r>
        <w:rPr>
          <w:rFonts w:ascii="Arial" w:cs="Arial" w:eastAsia="Arial" w:hAnsi="Arial"/>
          <w:sz w:val="19"/>
          <w:szCs w:val="19"/>
          <w:u w:val="single" w:color="auto"/>
          <w:color w:val="auto"/>
        </w:rPr>
        <w:t>Eligibility Conditions upon Performance Shares</w:t>
      </w:r>
      <w:r>
        <w:rPr>
          <w:rFonts w:ascii="Arial" w:cs="Arial" w:eastAsia="Arial" w:hAnsi="Arial"/>
          <w:sz w:val="19"/>
          <w:szCs w:val="19"/>
          <w:color w:val="auto"/>
        </w:rPr>
        <w:t>. The Participant hereby acknowledges that the vesting of any of the Performance Shares (and delivery of shares of Common Stock with respect to any such vested Performance Shares) is subject to certain eligibility, performance and other conditions set forth herein and in the Plan. Except as otherwise provided in Section 7 of this Agreement, all shares of Common Stock in respect of Performance Shares that vest pursuant to the terms of this Agreement and the Plan shall be issued to the Participant as soon as practicable (and in all events within sixty (60) days) after the end of the Performance Period, and no shares of Common Stock in settlement of vested Performance Shares shall be issued to the Participant prior to the end of the Performance Period.</w:t>
      </w:r>
    </w:p>
    <w:p>
      <w:pPr>
        <w:spacing w:after="0" w:line="96" w:lineRule="exact"/>
        <w:rPr>
          <w:rFonts w:ascii="Arial" w:cs="Arial" w:eastAsia="Arial" w:hAnsi="Arial"/>
          <w:sz w:val="18"/>
          <w:szCs w:val="18"/>
          <w:color w:val="auto"/>
        </w:rPr>
      </w:pPr>
    </w:p>
    <w:p>
      <w:pPr>
        <w:ind w:left="660" w:right="60" w:hanging="328"/>
        <w:spacing w:after="0" w:line="302" w:lineRule="auto"/>
        <w:tabs>
          <w:tab w:leader="none" w:pos="649" w:val="left"/>
        </w:tabs>
        <w:numPr>
          <w:ilvl w:val="0"/>
          <w:numId w:val="24"/>
        </w:numPr>
        <w:rPr>
          <w:rFonts w:ascii="Arial" w:cs="Arial" w:eastAsia="Arial" w:hAnsi="Arial"/>
          <w:sz w:val="18"/>
          <w:szCs w:val="18"/>
          <w:color w:val="auto"/>
        </w:rPr>
      </w:pPr>
      <w:r>
        <w:rPr>
          <w:rFonts w:ascii="Arial" w:cs="Arial" w:eastAsia="Arial" w:hAnsi="Arial"/>
          <w:sz w:val="19"/>
          <w:szCs w:val="19"/>
          <w:u w:val="single" w:color="auto"/>
          <w:color w:val="auto"/>
        </w:rPr>
        <w:t>Satisfaction of Performance-Based Conditions</w:t>
      </w:r>
      <w:r>
        <w:rPr>
          <w:rFonts w:ascii="Arial" w:cs="Arial" w:eastAsia="Arial" w:hAnsi="Arial"/>
          <w:sz w:val="19"/>
          <w:szCs w:val="19"/>
          <w:color w:val="auto"/>
        </w:rPr>
        <w:t>. Subject to Sections 5, 6, 7(a) and 7(b) of this Agreement, the Performance Shares will be eligible to vest if and only if the performance conditions established in this Section 3 with respect to such Performance Shares are satisfied. Vesting of Performance Shares is based upon the performance of the Company with respect to the performance targets (as set forth below) for the Performance Period.</w:t>
      </w:r>
    </w:p>
    <w:p>
      <w:pPr>
        <w:spacing w:after="0" w:line="88" w:lineRule="exact"/>
        <w:rPr>
          <w:rFonts w:ascii="Arial" w:cs="Arial" w:eastAsia="Arial" w:hAnsi="Arial"/>
          <w:sz w:val="18"/>
          <w:szCs w:val="18"/>
          <w:color w:val="auto"/>
        </w:rPr>
      </w:pPr>
    </w:p>
    <w:p>
      <w:pPr>
        <w:jc w:val="both"/>
        <w:ind w:right="20" w:firstLine="656"/>
        <w:spacing w:after="0" w:line="312" w:lineRule="auto"/>
        <w:tabs>
          <w:tab w:leader="none" w:pos="1002" w:val="left"/>
        </w:tabs>
        <w:numPr>
          <w:ilvl w:val="1"/>
          <w:numId w:val="24"/>
        </w:numPr>
        <w:rPr>
          <w:rFonts w:ascii="Arial" w:cs="Arial" w:eastAsia="Arial" w:hAnsi="Arial"/>
          <w:sz w:val="19"/>
          <w:szCs w:val="19"/>
          <w:color w:val="auto"/>
        </w:rPr>
      </w:pPr>
      <w:r>
        <w:rPr>
          <w:rFonts w:ascii="Arial" w:cs="Arial" w:eastAsia="Arial" w:hAnsi="Arial"/>
          <w:sz w:val="19"/>
          <w:szCs w:val="19"/>
          <w:i w:val="1"/>
          <w:iCs w:val="1"/>
          <w:color w:val="auto"/>
        </w:rPr>
        <w:t>Performance Shares</w:t>
      </w:r>
      <w:r>
        <w:rPr>
          <w:rFonts w:ascii="Arial" w:cs="Arial" w:eastAsia="Arial" w:hAnsi="Arial"/>
          <w:sz w:val="19"/>
          <w:szCs w:val="19"/>
          <w:color w:val="auto"/>
        </w:rPr>
        <w:t>. Subject to Sections 3(b), 5, 6, 7(a) and 7(b) of this Agreement, the Target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Shares will be eligible to vest based on achievement of [</w:t>
      </w:r>
      <w:r>
        <w:rPr>
          <w:rFonts w:ascii="Arial" w:cs="Arial" w:eastAsia="Arial" w:hAnsi="Arial"/>
          <w:sz w:val="19"/>
          <w:szCs w:val="19"/>
          <w:i w:val="1"/>
          <w:iCs w:val="1"/>
          <w:color w:val="auto"/>
        </w:rPr>
        <w:t>insert applicable performance conditions (which may be,</w:t>
      </w:r>
      <w:r>
        <w:rPr>
          <w:rFonts w:ascii="Arial" w:cs="Arial" w:eastAsia="Arial" w:hAnsi="Arial"/>
          <w:sz w:val="19"/>
          <w:szCs w:val="19"/>
          <w:color w:val="auto"/>
        </w:rPr>
        <w:t xml:space="preserve"> </w:t>
      </w:r>
      <w:r>
        <w:rPr>
          <w:rFonts w:ascii="Arial" w:cs="Arial" w:eastAsia="Arial" w:hAnsi="Arial"/>
          <w:sz w:val="19"/>
          <w:szCs w:val="19"/>
          <w:i w:val="1"/>
          <w:iCs w:val="1"/>
          <w:color w:val="auto"/>
        </w:rPr>
        <w:t>without limitation, objective, subjective, based on Company-wide or individual metrics, or any combination thereof)</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firstLine="656"/>
        <w:spacing w:after="0" w:line="271" w:lineRule="auto"/>
        <w:tabs>
          <w:tab w:leader="none" w:pos="954" w:val="left"/>
        </w:tabs>
        <w:numPr>
          <w:ilvl w:val="1"/>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if grant includes a total shareholder return modifier, include the following:</w:t>
      </w:r>
      <w:r>
        <w:rPr>
          <w:rFonts w:ascii="Arial" w:cs="Arial" w:eastAsia="Arial" w:hAnsi="Arial"/>
          <w:sz w:val="21"/>
          <w:szCs w:val="21"/>
          <w:color w:val="auto"/>
        </w:rPr>
        <w:t>][</w:t>
      </w:r>
      <w:r>
        <w:rPr>
          <w:rFonts w:ascii="Arial" w:cs="Arial" w:eastAsia="Arial" w:hAnsi="Arial"/>
          <w:sz w:val="21"/>
          <w:szCs w:val="21"/>
          <w:i w:val="1"/>
          <w:iCs w:val="1"/>
          <w:color w:val="auto"/>
        </w:rPr>
        <w:t>TSR Modifier; Total Performance Shares</w:t>
      </w:r>
      <w:r>
        <w:rPr>
          <w:rFonts w:ascii="Arial" w:cs="Arial" w:eastAsia="Arial" w:hAnsi="Arial"/>
          <w:sz w:val="21"/>
          <w:szCs w:val="21"/>
          <w:color w:val="auto"/>
        </w:rPr>
        <w:t xml:space="preserve"> </w:t>
      </w:r>
      <w:r>
        <w:rPr>
          <w:rFonts w:ascii="Arial" w:cs="Arial" w:eastAsia="Arial" w:hAnsi="Arial"/>
          <w:sz w:val="21"/>
          <w:szCs w:val="21"/>
          <w:i w:val="1"/>
          <w:iCs w:val="1"/>
          <w:color w:val="auto"/>
        </w:rPr>
        <w:t>Eligible to Vest</w:t>
      </w:r>
      <w:r>
        <w:rPr>
          <w:rFonts w:ascii="Arial" w:cs="Arial" w:eastAsia="Arial" w:hAnsi="Arial"/>
          <w:sz w:val="21"/>
          <w:szCs w:val="21"/>
          <w:color w:val="auto"/>
        </w:rPr>
        <w:t>. Notwithstanding the performance criteria set forth in Section 3(a) above, the vesting of the Performance Shares</w:t>
      </w:r>
      <w:r>
        <w:rPr>
          <w:rFonts w:ascii="Arial" w:cs="Arial" w:eastAsia="Arial" w:hAnsi="Arial"/>
          <w:sz w:val="21"/>
          <w:szCs w:val="21"/>
          <w:i w:val="1"/>
          <w:iCs w:val="1"/>
          <w:color w:val="auto"/>
        </w:rPr>
        <w:t xml:space="preserve"> </w:t>
      </w:r>
      <w:r>
        <w:rPr>
          <w:rFonts w:ascii="Arial" w:cs="Arial" w:eastAsia="Arial" w:hAnsi="Arial"/>
          <w:sz w:val="21"/>
          <w:szCs w:val="21"/>
          <w:color w:val="auto"/>
        </w:rPr>
        <w:t>is further subject to achievement of [</w:t>
      </w:r>
      <w:r>
        <w:rPr>
          <w:rFonts w:ascii="Arial" w:cs="Arial" w:eastAsia="Arial" w:hAnsi="Arial"/>
          <w:sz w:val="21"/>
          <w:szCs w:val="21"/>
          <w:i w:val="1"/>
          <w:iCs w:val="1"/>
          <w:color w:val="auto"/>
        </w:rPr>
        <w:t>insert total shareholder return modifier conditions</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33" w:name="page34"/>
    <w:bookmarkEnd w:id="33"/>
    <w:p>
      <w:pPr>
        <w:jc w:val="both"/>
        <w:ind w:left="-656" w:firstLine="656"/>
        <w:spacing w:after="0" w:line="294" w:lineRule="auto"/>
        <w:tabs>
          <w:tab w:leader="none" w:pos="286"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Forfeiture Upon Failure to Satisfy Performance Conditions; Clawback</w:t>
      </w:r>
      <w:r>
        <w:rPr>
          <w:rFonts w:ascii="Arial" w:cs="Arial" w:eastAsia="Arial" w:hAnsi="Arial"/>
          <w:sz w:val="19"/>
          <w:szCs w:val="19"/>
          <w:color w:val="auto"/>
        </w:rPr>
        <w:t>. For the avoidance of doubt, any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for which the applicable performance conditions are not satisfied in accordance with this Section 3 shall be automatically forfeited by the Participant without consideration at the end of the Performance Period (or, if earlier, the date of termination in the circumstances described in Section 6). Without limitation of Section 13(l) of the Plan, the Performance Shares and any Common Stock that may be issued with respect to the Performance Shares shall be subject to any recovery, recoupment, clawback, and/or other forfeiture policy maintained by the Company or its Subsidiaries or Affiliates from time to time.</w:t>
      </w:r>
    </w:p>
    <w:p>
      <w:pPr>
        <w:spacing w:after="0" w:line="95" w:lineRule="exact"/>
        <w:rPr>
          <w:rFonts w:ascii="Arial" w:cs="Arial" w:eastAsia="Arial" w:hAnsi="Arial"/>
          <w:sz w:val="19"/>
          <w:szCs w:val="19"/>
          <w:color w:val="auto"/>
        </w:rPr>
      </w:pPr>
    </w:p>
    <w:p>
      <w:pPr>
        <w:jc w:val="both"/>
        <w:ind w:left="-656" w:firstLine="656"/>
        <w:spacing w:after="0" w:line="287" w:lineRule="auto"/>
        <w:tabs>
          <w:tab w:leader="none" w:pos="311"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Board Determinations Binding; Adjustments to Performance Goals</w:t>
      </w:r>
      <w:r>
        <w:rPr>
          <w:rFonts w:ascii="Arial" w:cs="Arial" w:eastAsia="Arial" w:hAnsi="Arial"/>
          <w:sz w:val="19"/>
          <w:szCs w:val="19"/>
          <w:color w:val="auto"/>
        </w:rPr>
        <w:t>. Without limitation of Section 12(b) of the Plan,</w:t>
      </w:r>
      <w:r>
        <w:rPr>
          <w:rFonts w:ascii="Arial" w:cs="Arial" w:eastAsia="Arial" w:hAnsi="Arial"/>
          <w:sz w:val="19"/>
          <w:szCs w:val="19"/>
          <w:i w:val="1"/>
          <w:iCs w:val="1"/>
          <w:color w:val="auto"/>
        </w:rPr>
        <w:t xml:space="preserve"> </w:t>
      </w:r>
      <w:r>
        <w:rPr>
          <w:rFonts w:ascii="Arial" w:cs="Arial" w:eastAsia="Arial" w:hAnsi="Arial"/>
          <w:sz w:val="19"/>
          <w:szCs w:val="19"/>
          <w:color w:val="auto"/>
        </w:rPr>
        <w:t>all determinations and interpretations of the terms of this Agreement and the Plan (including, without limitation, all calculations regarding the determination of the level of achievement of any of the performance targets set forth herein) shall be made by the Board (or the Committee, as applicable) in its sole discretion, and shall be final, binding, and conclusive on the Company, its Subsidiaries and Affiliates, and the Participant (and each of their successors and assigns). Notwithstanding anything to the contrary set forth in this Agreement, the Board (or the Committee, as applicable) may modify the performance goals described in this Section 3 (including, without limitation, any of the definitions or formulas set forth on Appendix A) in any manner that the Board (or the Committee, as applicable) deems appropriate in its sole discretion to preserve the intended benefits of this Agreement, in each case to account for the impact of events that the Board (or the Committee, as applicable) deems appropriate, including, but not limited to, mergers, acquisitions, divestitures, licensing arrangements, accounting changes, currency fluctuations, financing activities, expenses for restructuring, and other extraordinary items, whether with respect to the Company, any member of the Peer Group, or otherwise.</w:t>
      </w:r>
    </w:p>
    <w:p>
      <w:pPr>
        <w:spacing w:after="0" w:line="366" w:lineRule="exact"/>
        <w:rPr>
          <w:sz w:val="20"/>
          <w:szCs w:val="20"/>
          <w:color w:val="auto"/>
        </w:rPr>
      </w:pPr>
    </w:p>
    <w:p>
      <w:pPr>
        <w:jc w:val="both"/>
        <w:ind w:left="-656" w:firstLine="656"/>
        <w:spacing w:after="0" w:line="263" w:lineRule="auto"/>
        <w:tabs>
          <w:tab w:leader="none" w:pos="20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upon the vesting of any Performance Shares, shall be registered in the name of the Participant and evidenced in the manner as the Company may determine. During the period prior to the issuance of Common Stock, the Participant will have no rights of a stockholder of the Company with respect to the Common Stock underlying the Performance Shares, including no right to receive dividends or vote the shares of Common Stock underlying the Performance Shares.</w:t>
      </w:r>
    </w:p>
    <w:p>
      <w:pPr>
        <w:spacing w:after="0" w:line="121" w:lineRule="exact"/>
        <w:rPr>
          <w:rFonts w:ascii="Arial" w:cs="Arial" w:eastAsia="Arial" w:hAnsi="Arial"/>
          <w:sz w:val="21"/>
          <w:szCs w:val="21"/>
          <w:color w:val="auto"/>
        </w:rPr>
      </w:pPr>
    </w:p>
    <w:p>
      <w:pPr>
        <w:jc w:val="both"/>
        <w:ind w:left="-656" w:firstLine="656"/>
        <w:spacing w:after="0" w:line="287" w:lineRule="auto"/>
        <w:tabs>
          <w:tab w:leader="none" w:pos="262"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Death; Retirement; Disability</w:t>
      </w:r>
      <w:r>
        <w:rPr>
          <w:rFonts w:ascii="Arial" w:cs="Arial" w:eastAsia="Arial" w:hAnsi="Arial"/>
          <w:sz w:val="19"/>
          <w:szCs w:val="19"/>
          <w:color w:val="auto"/>
        </w:rPr>
        <w:t>. In the event that the Participant’s employment with the Company or any of its Subsidiaries or Affiliates is terminated due to death, Retirement, or Disability, in each case on or after the Grant Date, but prior to the end of the Performance Period, the Performance Shares shall remain eligible to vest following the end date of the Performance Period; however, except as set forth in Section 7 of this Agreement, the Participant shall only be eligible to vest in a prorated portion of the Total Eligible Performance Shares calculated in accordance with Section 3 of this Agreement based on the Participant’s months of service (rounded to the nearest whole month) with the Company (or any of its Subsidiaries or Affiliates) during the Performance Period prior to the date of such termination. The Participant may, from 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104" w:lineRule="exact"/>
        <w:rPr>
          <w:rFonts w:ascii="Arial" w:cs="Arial" w:eastAsia="Arial" w:hAnsi="Arial"/>
          <w:sz w:val="19"/>
          <w:szCs w:val="19"/>
          <w:color w:val="auto"/>
        </w:rPr>
      </w:pPr>
    </w:p>
    <w:p>
      <w:pPr>
        <w:ind w:left="-656" w:firstLine="656"/>
        <w:spacing w:after="0" w:line="263" w:lineRule="auto"/>
        <w:tabs>
          <w:tab w:leader="none" w:pos="20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Other Terminations of Employment -- Eligibility Conditions</w:t>
      </w:r>
      <w:r>
        <w:rPr>
          <w:rFonts w:ascii="Arial" w:cs="Arial" w:eastAsia="Arial" w:hAnsi="Arial"/>
          <w:sz w:val="22"/>
          <w:szCs w:val="22"/>
          <w:color w:val="auto"/>
        </w:rPr>
        <w:t>. Except as set forth in Sections 5 or 7, vesting in any of the Total Eligible Performance Shares is expressly conditioned upon the Participant’s</w:t>
      </w:r>
    </w:p>
    <w:p>
      <w:pPr>
        <w:sectPr>
          <w:pgSz w:w="11900" w:h="16838" w:orient="portrait"/>
          <w:cols w:equalWidth="0" w:num="1">
            <w:col w:w="10584"/>
          </w:cols>
          <w:pgMar w:left="976" w:top="901" w:right="339" w:bottom="1440" w:gutter="0" w:footer="0" w:header="0"/>
        </w:sectPr>
      </w:pPr>
    </w:p>
    <w:bookmarkStart w:id="34" w:name="page35"/>
    <w:bookmarkEnd w:id="34"/>
    <w:p>
      <w:pPr>
        <w:jc w:val="both"/>
        <w:spacing w:after="0" w:line="294" w:lineRule="auto"/>
        <w:rPr>
          <w:sz w:val="20"/>
          <w:szCs w:val="20"/>
          <w:color w:val="auto"/>
        </w:rPr>
      </w:pPr>
      <w:r>
        <w:rPr>
          <w:rFonts w:ascii="Arial" w:cs="Arial" w:eastAsia="Arial" w:hAnsi="Arial"/>
          <w:sz w:val="19"/>
          <w:szCs w:val="19"/>
          <w:color w:val="auto"/>
        </w:rPr>
        <w:t>continuous employment with the Company or any of its Subsidiaries or Affiliates through the last day of the Performance Period. If the Participant’s employment with the Company and its Subsidiaries or Affiliates is terminated or the Participant separates from the Company and its Subsidiaries or Affiliates for any reason other than death, Retirement, or Disability, in each case prior to the end of the Performance Period (and unless Section 7 applies), the Performance Shares shall immediately terminate for no consideration and no shares of Common Stock shall be issued in respect thereof, regardless of whether any of the performance conditions in Section 3 of this Agreement would have otherwise been satisfied.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7.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anything to the contrary in this Agreement:</w:t>
      </w:r>
    </w:p>
    <w:p>
      <w:pPr>
        <w:spacing w:after="0" w:line="166" w:lineRule="exact"/>
        <w:rPr>
          <w:sz w:val="20"/>
          <w:szCs w:val="20"/>
          <w:color w:val="auto"/>
        </w:rPr>
      </w:pPr>
    </w:p>
    <w:p>
      <w:pPr>
        <w:ind w:firstLine="656"/>
        <w:spacing w:after="0" w:line="343" w:lineRule="auto"/>
        <w:tabs>
          <w:tab w:leader="none" w:pos="945"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in the event of a Change in Control on or after the Grant Date (other than for the reasons expressly covered by Section 5 of this Agreement), treatment of Performance Shares shall be subject to the terms of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of the Plan; and</w:t>
      </w:r>
    </w:p>
    <w:p>
      <w:pPr>
        <w:spacing w:after="0" w:line="50" w:lineRule="exact"/>
        <w:rPr>
          <w:rFonts w:ascii="Arial" w:cs="Arial" w:eastAsia="Arial" w:hAnsi="Arial"/>
          <w:sz w:val="19"/>
          <w:szCs w:val="19"/>
          <w:color w:val="auto"/>
        </w:rPr>
      </w:pPr>
    </w:p>
    <w:p>
      <w:pPr>
        <w:jc w:val="both"/>
        <w:ind w:firstLine="656"/>
        <w:spacing w:after="0" w:line="248" w:lineRule="auto"/>
        <w:tabs>
          <w:tab w:leader="none" w:pos="9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event the Participant’s employment with the Company or any Subsidiary or Affiliate terminates due to one of the reasons expressly covered by Section 5 of this Agreement and a Change in Control of the Company occurs subsequent to such a termination of employment (but during the Performance Period), the prorated vesting provided for in Section 5 shall be based on 100% of the Target Amount instead of on the Total Eligible Performance Shares calculated in accordance with Section 3 of this Agreement.</w:t>
      </w:r>
    </w:p>
    <w:p>
      <w:pPr>
        <w:spacing w:after="0" w:line="138" w:lineRule="exact"/>
        <w:rPr>
          <w:sz w:val="20"/>
          <w:szCs w:val="20"/>
          <w:color w:val="auto"/>
        </w:rPr>
      </w:pPr>
    </w:p>
    <w:p>
      <w:pPr>
        <w:ind w:firstLine="656"/>
        <w:spacing w:after="0" w:line="263" w:lineRule="auto"/>
        <w:tabs>
          <w:tab w:leader="none" w:pos="864"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Shares that are issued pursuant to this Agreement will be issued for no cash consideration.</w:t>
      </w:r>
    </w:p>
    <w:p>
      <w:pPr>
        <w:spacing w:after="0" w:line="120" w:lineRule="exact"/>
        <w:rPr>
          <w:rFonts w:ascii="Arial" w:cs="Arial" w:eastAsia="Arial" w:hAnsi="Arial"/>
          <w:sz w:val="22"/>
          <w:szCs w:val="22"/>
          <w:color w:val="auto"/>
        </w:rPr>
      </w:pPr>
    </w:p>
    <w:p>
      <w:pPr>
        <w:jc w:val="both"/>
        <w:ind w:firstLine="656"/>
        <w:spacing w:after="0" w:line="247" w:lineRule="auto"/>
        <w:tabs>
          <w:tab w:leader="none" w:pos="918"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Shares that become vested pursuant to the terms of this Agreement until (i) all federal and state laws and regulations as the Company may deem applicable have been complied with; (ii) the shares have been listed or authorized for listing upon official notice to the Nasdaq Global Select Market (or such other U.S. national securities exchange) or have otherwise been accorded trading privileges; and (iii) all other legal matters in connection with the issuance and delivery of the shares have been approved by the Company’s legal department.</w:t>
      </w:r>
    </w:p>
    <w:p>
      <w:pPr>
        <w:spacing w:after="0" w:line="138" w:lineRule="exact"/>
        <w:rPr>
          <w:rFonts w:ascii="Arial" w:cs="Arial" w:eastAsia="Arial" w:hAnsi="Arial"/>
          <w:sz w:val="22"/>
          <w:szCs w:val="22"/>
          <w:color w:val="auto"/>
        </w:rPr>
      </w:pPr>
    </w:p>
    <w:p>
      <w:pPr>
        <w:jc w:val="both"/>
        <w:ind w:firstLine="656"/>
        <w:spacing w:after="0" w:line="286" w:lineRule="auto"/>
        <w:tabs>
          <w:tab w:leader="none" w:pos="97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award of Performance Shares or the shares of Common Stock to be delivered hereunder, including, without limitation, the payment of any applicable withholding, income, social and similar taxes or obligations. The Participant further acknowledges that neither the Company nor any of its Subsidiaries or Affiliates (1) makes any representations or undertakings regarding the treatment of any tax-related matters in connection with any aspect of this Agreement, including the grant of the Performance Shares, the vesting of any of the Performance Shares, or the issuance of shares of Common Stock hereunder, the subsequent sale of any shares of Common Stock acquired hereunder and the receipt of any dividends (if applicable); or (2) commits or is under any obligation to structure the terms of the grant or any aspect of the Performance Shares to reduce or eliminate the Participant’s liability for tax-related matters or achieve any particular tax result. Further, if the Participant becomes subject to tax and/or social security contributions in more than one jurisdiction between the Grant Date and the date of any relevant taxable, tax and/or social security contribution withholding event, as applicable, the Participant acknowledges that the Company (or any of its Subsidiaries or Affiliates)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(or its applicable Subsidiary or Affiliate), at its sole discretion, to satisfy the obligations with respect to tax-</w:t>
      </w:r>
    </w:p>
    <w:p>
      <w:pPr>
        <w:sectPr>
          <w:pgSz w:w="11900" w:h="16838" w:orient="portrait"/>
          <w:cols w:equalWidth="0" w:num="1">
            <w:col w:w="11240"/>
          </w:cols>
          <w:pgMar w:left="320" w:top="901" w:right="339" w:bottom="1440" w:gutter="0" w:footer="0" w:header="0"/>
        </w:sectPr>
      </w:pPr>
    </w:p>
    <w:bookmarkStart w:id="35" w:name="page36"/>
    <w:bookmarkEnd w:id="35"/>
    <w:p>
      <w:pPr>
        <w:jc w:val="both"/>
        <w:spacing w:after="0" w:line="285" w:lineRule="auto"/>
        <w:rPr>
          <w:sz w:val="20"/>
          <w:szCs w:val="20"/>
          <w:color w:val="auto"/>
        </w:rPr>
      </w:pPr>
      <w:r>
        <w:rPr>
          <w:rFonts w:ascii="Arial" w:cs="Arial" w:eastAsia="Arial" w:hAnsi="Arial"/>
          <w:sz w:val="19"/>
          <w:szCs w:val="19"/>
          <w:color w:val="auto"/>
        </w:rPr>
        <w:t>related matters by one or a combination of the following: (i) withholding from the Participant’s wages or other cash compensation paid to him or her by the Company or any of its Subsidiaries or Affiliates; (ii) 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The Company (or its applicable Subsidiary or Affiliate) will withhold or account for tax-related matters by considering applicable maximum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the Performance Shares, notwithstanding that a number of the shares of Common Stock that would otherwise be delivered to the Participant is held back solely for the purpose of paying any taxes of any kind due as a result of any aspect of the Participant’s holding of these Performance Shares. Finally, the Participant shall pay to the Company (or at the Company’s direction, its applicable Subsidiary or Affiliate) the amount of taxes of any kind that the Company (or such applicable Subsidiary or Affiliate) may be required to withhold or account for as a result of Participant’s holding of these Performance Shares that cannot be satisfied by the means described in this Section</w:t>
      </w:r>
    </w:p>
    <w:p>
      <w:pPr>
        <w:spacing w:after="0" w:line="7" w:lineRule="exact"/>
        <w:rPr>
          <w:sz w:val="20"/>
          <w:szCs w:val="20"/>
          <w:color w:val="auto"/>
        </w:rPr>
      </w:pPr>
    </w:p>
    <w:p>
      <w:pPr>
        <w:ind w:firstLine="8"/>
        <w:spacing w:after="0" w:line="323" w:lineRule="auto"/>
        <w:tabs>
          <w:tab w:leader="none" w:pos="32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may refuse to issue or deliver shares of Common Stock or the proceeds of the sale of shares of Common Stock to the Participant if the Participant fails to comply with Participant’s obligation in connection with any tax-related matters.</w:t>
      </w:r>
    </w:p>
    <w:p>
      <w:pPr>
        <w:spacing w:after="0" w:line="68" w:lineRule="exact"/>
        <w:rPr>
          <w:rFonts w:ascii="Arial" w:cs="Arial" w:eastAsia="Arial" w:hAnsi="Arial"/>
          <w:sz w:val="19"/>
          <w:szCs w:val="19"/>
          <w:color w:val="auto"/>
        </w:rPr>
      </w:pPr>
    </w:p>
    <w:p>
      <w:pPr>
        <w:jc w:val="both"/>
        <w:ind w:firstLine="656"/>
        <w:spacing w:after="0" w:line="285" w:lineRule="auto"/>
        <w:tabs>
          <w:tab w:leader="none" w:pos="964"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or be exempt from, the requirements of Section 409A of the Code and the regulations promulgated thereunder (together, “Section 409A”). Accordingly, all provisions herein shall be construed and interpreted to comply with, or to be exempt from, Section 409A. This Agreement may be amended at any time by the Company, without the consent of the Participant, to avoid the application of Section 409A in a particular circumstance or that is necessary or desirable to satisfy any of the requirements under Section 409A, but the Company shall not be under any obligation to make any such amendment. Nothing in this Agreement shall provide a basis for any person to take action against the Company or any of its Subsidiaries or Affiliates based on matters covered by Section 409A, including the tax treatment of any amount paid or Performance Shares granted under this Agreement, and neither the Company nor any of its Subsidiaries or Affiliates shall under any circumstances have any liability to Participant or his or her estate or any other party for any taxes, penalties or interest due on amounts paid or payable under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within the meaning of Section 409A, and the Participant is a “specified employee,” within the meaning of Section 409A, at the time of such “separation from service,” the shares of Common Stock shall not be issued or distributed to the Participant prior to the earlier of (i) the first day of the seventh (7th) month following the date of the Participant’s Separation from Service or (ii) the date of the Participant’s death, if such delayed commencement is otherwise required in order to avoid a prohibited distribution under Section 409A(a)(2)(B)(i). Upon the expiration of the applicable Section 409A(a)(2)(B)(i) deferral period, any shares of Common Stock underlying the Performance Shares issued pursuant to this Agreement, the delivery of which is deferred pursuant to this Section 11, shall be issued or distributed (without interest) to the Participant.</w:t>
      </w:r>
    </w:p>
    <w:p>
      <w:pPr>
        <w:spacing w:after="0" w:line="365" w:lineRule="exact"/>
        <w:rPr>
          <w:rFonts w:ascii="Arial" w:cs="Arial" w:eastAsia="Arial" w:hAnsi="Arial"/>
          <w:sz w:val="19"/>
          <w:szCs w:val="19"/>
          <w:color w:val="auto"/>
        </w:rPr>
      </w:pPr>
    </w:p>
    <w:p>
      <w:pPr>
        <w:jc w:val="both"/>
        <w:ind w:firstLine="656"/>
        <w:spacing w:after="0" w:line="250" w:lineRule="auto"/>
        <w:tabs>
          <w:tab w:leader="none" w:pos="999"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Recapitalization</w:t>
      </w:r>
      <w:r>
        <w:rPr>
          <w:rFonts w:ascii="Arial" w:cs="Arial" w:eastAsia="Arial" w:hAnsi="Arial"/>
          <w:sz w:val="22"/>
          <w:szCs w:val="22"/>
          <w:color w:val="auto"/>
        </w:rPr>
        <w:t>. Without limitation of Section 10 of the Plan,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the Performance Shares shall be</w:t>
      </w:r>
    </w:p>
    <w:p>
      <w:pPr>
        <w:sectPr>
          <w:pgSz w:w="11900" w:h="16838" w:orient="portrait"/>
          <w:cols w:equalWidth="0" w:num="1">
            <w:col w:w="11240"/>
          </w:cols>
          <w:pgMar w:left="320" w:top="901" w:right="33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22"/>
          <w:szCs w:val="22"/>
          <w:color w:val="auto"/>
        </w:rPr>
        <w:t>equitably adjusted by the Company, in a manner determined in its sole discretion, to prevent dilution or enlargement of the benefits intended to be conferred by the Performance Shares under this Agreement.</w:t>
      </w:r>
    </w:p>
    <w:p>
      <w:pPr>
        <w:spacing w:after="0" w:line="121" w:lineRule="exact"/>
        <w:rPr>
          <w:sz w:val="20"/>
          <w:szCs w:val="20"/>
          <w:color w:val="auto"/>
        </w:rPr>
      </w:pPr>
    </w:p>
    <w:p>
      <w:pPr>
        <w:jc w:val="both"/>
        <w:ind w:firstLine="656"/>
        <w:spacing w:after="0" w:line="302" w:lineRule="auto"/>
        <w:tabs>
          <w:tab w:leader="none" w:pos="99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Investment Intent; Unfunded Obligation</w:t>
      </w:r>
      <w:r>
        <w:rPr>
          <w:rFonts w:ascii="Arial" w:cs="Arial" w:eastAsia="Arial" w:hAnsi="Arial"/>
          <w:sz w:val="19"/>
          <w:szCs w:val="19"/>
          <w:color w:val="auto"/>
        </w:rPr>
        <w:t>. The Participant acknowledges that the acquisition of shares of Common Stock to be issued hereunder is for investment purposes without a view to distribution thereof. The Participant further acknowledges that the Performance Shares granted hereunder represent an unfunded, unsecured right to receive shares of Common Stock in respect of the Performance Shares that become vested in accordance with the terms of this Agreement, if any.</w:t>
      </w:r>
    </w:p>
    <w:p>
      <w:pPr>
        <w:spacing w:after="0" w:line="88" w:lineRule="exact"/>
        <w:rPr>
          <w:rFonts w:ascii="Arial" w:cs="Arial" w:eastAsia="Arial" w:hAnsi="Arial"/>
          <w:sz w:val="19"/>
          <w:szCs w:val="19"/>
          <w:color w:val="auto"/>
        </w:rPr>
      </w:pPr>
    </w:p>
    <w:p>
      <w:pPr>
        <w:jc w:val="both"/>
        <w:ind w:firstLine="656"/>
        <w:spacing w:after="0" w:line="259" w:lineRule="auto"/>
        <w:tabs>
          <w:tab w:leader="none" w:pos="99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Limits on Transferability; Restrictions on Shares; Legend on Certificate</w:t>
      </w:r>
      <w:r>
        <w:rPr>
          <w:rFonts w:ascii="Arial" w:cs="Arial" w:eastAsia="Arial" w:hAnsi="Arial"/>
          <w:sz w:val="21"/>
          <w:szCs w:val="21"/>
          <w:color w:val="auto"/>
        </w:rPr>
        <w:t>. Until any shares of Common Stock have been issued in accordance with the terms of this Agreement or by action of the Board, the Performance Shares are not transferable and shall not be sold, transferred, assigned, pledged, gifted, hypothecated or otherwise disposed of or encumbered by the Participant. Transfers by the Participant of any shares of Common Stock delivered under this Agreement are subject to the Company’s Insider Trading Policy and applicable securities laws. Shares of Common Stock issued to the Participant in certificate form or to the Participant’s book entry account upon satisfaction of the vesting and other conditions of the Performance Shares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125" w:lineRule="exact"/>
        <w:rPr>
          <w:rFonts w:ascii="Arial" w:cs="Arial" w:eastAsia="Arial" w:hAnsi="Arial"/>
          <w:sz w:val="21"/>
          <w:szCs w:val="21"/>
          <w:color w:val="auto"/>
        </w:rPr>
      </w:pPr>
    </w:p>
    <w:p>
      <w:pPr>
        <w:jc w:val="both"/>
        <w:ind w:firstLine="656"/>
        <w:spacing w:after="0" w:line="261" w:lineRule="auto"/>
        <w:tabs>
          <w:tab w:leader="none" w:pos="985"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Award Subject to the Plan</w:t>
      </w:r>
      <w:r>
        <w:rPr>
          <w:rFonts w:ascii="Arial" w:cs="Arial" w:eastAsia="Arial" w:hAnsi="Arial"/>
          <w:sz w:val="21"/>
          <w:szCs w:val="21"/>
          <w:color w:val="auto"/>
        </w:rPr>
        <w:t>. The Performance Shares granted pursuant to this Agreement are subject to the Plan. The terms and provisions of the Plan, as each may be amended from time to time, are hereby incorporated herein by reference. In the event of a conflict between any term or provision contained in this Agreement and a term or provision of the Plan, the applicable terms and conditions of the Plan will govern and prevail. However, no amendment of the Plan after the date hereof may adversely alter or impair the issuance of the Common Stock underlying the Performance Shares to be made pursuant to this Agreement without the Participant’s consent.</w:t>
      </w:r>
    </w:p>
    <w:p>
      <w:pPr>
        <w:spacing w:after="0" w:line="125" w:lineRule="exact"/>
        <w:rPr>
          <w:rFonts w:ascii="Arial" w:cs="Arial" w:eastAsia="Arial" w:hAnsi="Arial"/>
          <w:sz w:val="21"/>
          <w:szCs w:val="21"/>
          <w:color w:val="auto"/>
        </w:rPr>
      </w:pPr>
    </w:p>
    <w:p>
      <w:pPr>
        <w:jc w:val="both"/>
        <w:ind w:firstLine="656"/>
        <w:spacing w:after="0" w:line="312" w:lineRule="auto"/>
        <w:tabs>
          <w:tab w:leader="none" w:pos="97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 Rights to Continued Employment</w:t>
      </w:r>
      <w:r>
        <w:rPr>
          <w:rFonts w:ascii="Arial" w:cs="Arial" w:eastAsia="Arial" w:hAnsi="Arial"/>
          <w:sz w:val="19"/>
          <w:szCs w:val="19"/>
          <w:color w:val="auto"/>
        </w:rPr>
        <w:t>. This Agreement shall not confer upon the Participant any right to continuation of employment with the Company, its Subsidiaries or Affiliates, nor shall this Agreement interfere in any way with the Company’s (or its Subsidiaries’ or Affiliates’) right to terminate the Participant’s employment at any time with or without cause.</w:t>
      </w:r>
    </w:p>
    <w:p>
      <w:pPr>
        <w:spacing w:after="0" w:line="79" w:lineRule="exact"/>
        <w:rPr>
          <w:rFonts w:ascii="Arial" w:cs="Arial" w:eastAsia="Arial" w:hAnsi="Arial"/>
          <w:sz w:val="19"/>
          <w:szCs w:val="19"/>
          <w:color w:val="auto"/>
        </w:rPr>
      </w:pPr>
    </w:p>
    <w:p>
      <w:pPr>
        <w:jc w:val="both"/>
        <w:ind w:firstLine="656"/>
        <w:spacing w:after="0" w:line="265" w:lineRule="auto"/>
        <w:tabs>
          <w:tab w:leader="none" w:pos="99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121" w:lineRule="exact"/>
        <w:rPr>
          <w:rFonts w:ascii="Arial" w:cs="Arial" w:eastAsia="Arial" w:hAnsi="Arial"/>
          <w:sz w:val="21"/>
          <w:szCs w:val="21"/>
          <w:color w:val="auto"/>
        </w:rPr>
      </w:pPr>
    </w:p>
    <w:p>
      <w:pPr>
        <w:jc w:val="both"/>
        <w:ind w:firstLine="656"/>
        <w:spacing w:after="0" w:line="261" w:lineRule="auto"/>
        <w:tabs>
          <w:tab w:leader="none" w:pos="97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Agreement is made and/or to be performed.</w:t>
      </w:r>
    </w:p>
    <w:p>
      <w:pPr>
        <w:spacing w:after="0" w:line="125" w:lineRule="exact"/>
        <w:rPr>
          <w:rFonts w:ascii="Arial" w:cs="Arial" w:eastAsia="Arial" w:hAnsi="Arial"/>
          <w:sz w:val="21"/>
          <w:szCs w:val="21"/>
          <w:color w:val="auto"/>
        </w:rPr>
      </w:pPr>
    </w:p>
    <w:p>
      <w:pPr>
        <w:ind w:firstLine="656"/>
        <w:spacing w:after="0" w:line="263" w:lineRule="auto"/>
        <w:tabs>
          <w:tab w:leader="none" w:pos="97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Upon the approval of the Board in its sole discretion, the Board or the Committee may terminate, amend or modify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subject to Sections 3(d), 11 and</w:t>
      </w:r>
    </w:p>
    <w:p>
      <w:pPr>
        <w:sectPr>
          <w:pgSz w:w="11900" w:h="16838" w:orient="portrait"/>
          <w:cols w:equalWidth="0" w:num="1">
            <w:col w:w="11240"/>
          </w:cols>
          <w:pgMar w:left="320" w:top="901" w:right="339" w:bottom="1440" w:gutter="0" w:footer="0" w:header="0"/>
        </w:sectPr>
      </w:pPr>
    </w:p>
    <w:bookmarkStart w:id="37" w:name="page38"/>
    <w:bookmarkEnd w:id="37"/>
    <w:p>
      <w:pPr>
        <w:spacing w:after="0" w:line="263" w:lineRule="auto"/>
        <w:rPr>
          <w:sz w:val="20"/>
          <w:szCs w:val="20"/>
          <w:color w:val="auto"/>
        </w:rPr>
      </w:pPr>
      <w:r>
        <w:rPr>
          <w:rFonts w:ascii="Arial" w:cs="Arial" w:eastAsia="Arial" w:hAnsi="Arial"/>
          <w:sz w:val="22"/>
          <w:szCs w:val="22"/>
          <w:color w:val="auto"/>
        </w:rPr>
        <w:t>12 of this Agreement, no such amendment or modification of this Agreement may in any way adversely affect the Participant’s rights under this Agreement without the Participant’s written consent.</w:t>
      </w:r>
    </w:p>
    <w:p>
      <w:pPr>
        <w:spacing w:after="0" w:line="121" w:lineRule="exact"/>
        <w:rPr>
          <w:sz w:val="20"/>
          <w:szCs w:val="20"/>
          <w:color w:val="auto"/>
        </w:rPr>
      </w:pPr>
    </w:p>
    <w:p>
      <w:pPr>
        <w:ind w:firstLine="656"/>
        <w:spacing w:after="0" w:line="263" w:lineRule="auto"/>
        <w:tabs>
          <w:tab w:leader="none" w:pos="98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120" w:lineRule="exact"/>
        <w:rPr>
          <w:rFonts w:ascii="Arial" w:cs="Arial" w:eastAsia="Arial" w:hAnsi="Arial"/>
          <w:sz w:val="22"/>
          <w:szCs w:val="22"/>
          <w:color w:val="auto"/>
        </w:rPr>
      </w:pPr>
    </w:p>
    <w:p>
      <w:pPr>
        <w:ind w:firstLine="656"/>
        <w:spacing w:after="0" w:line="263" w:lineRule="auto"/>
        <w:tabs>
          <w:tab w:leader="none" w:pos="97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ectPr>
          <w:pgSz w:w="11900" w:h="16838" w:orient="portrait"/>
          <w:cols w:equalWidth="0" w:num="1">
            <w:col w:w="11240"/>
          </w:cols>
          <w:pgMar w:left="320" w:top="901" w:right="339" w:bottom="1440" w:gutter="0" w:footer="0" w:header="0"/>
        </w:sectPr>
      </w:pPr>
    </w:p>
    <w:bookmarkStart w:id="38" w:name="page39"/>
    <w:bookmarkEnd w:id="38"/>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ectPr>
          <w:pgSz w:w="11900" w:h="16838" w:orient="portrait"/>
          <w:cols w:equalWidth="0" w:num="1">
            <w:col w:w="9019"/>
          </w:cols>
          <w:pgMar w:left="1440" w:top="1440" w:right="1440"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This Agreement is being signed as of the Grant Date.</w:t>
      </w:r>
    </w:p>
    <w:p>
      <w:pPr>
        <w:sectPr>
          <w:pgSz w:w="11900" w:h="16838" w:orient="portrait"/>
          <w:cols w:equalWidth="0" w:num="1">
            <w:col w:w="10139"/>
          </w:cols>
          <w:pgMar w:left="320" w:top="1063" w:right="1440" w:bottom="1440" w:gutter="0" w:footer="0" w:header="0"/>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9"/>
          <w:szCs w:val="19"/>
          <w:color w:val="auto"/>
        </w:rPr>
        <w:t>AngioDynamics, Inc.</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ectPr>
          <w:pgSz w:w="11900" w:h="16838" w:orient="portrait"/>
          <w:cols w:equalWidth="0" w:num="2">
            <w:col w:w="4400" w:space="720"/>
            <w:col w:w="5019"/>
          </w:cols>
          <w:pgMar w:left="320" w:top="1063" w:right="1440" w:bottom="1440" w:gutter="0" w:footer="0" w:header="0"/>
          <w:type w:val="continuous"/>
        </w:sectPr>
      </w:pPr>
    </w:p>
    <w:bookmarkStart w:id="40" w:name="page41"/>
    <w:bookmarkEnd w:id="40"/>
    <w:p>
      <w:pPr>
        <w:ind w:right="1359" w:firstLine="2467"/>
        <w:spacing w:after="0" w:line="418" w:lineRule="auto"/>
        <w:rPr>
          <w:sz w:val="20"/>
          <w:szCs w:val="20"/>
          <w:color w:val="auto"/>
        </w:rPr>
      </w:pPr>
      <w:r>
        <w:rPr>
          <w:rFonts w:ascii="Arial" w:cs="Arial" w:eastAsia="Arial" w:hAnsi="Arial"/>
          <w:sz w:val="21"/>
          <w:szCs w:val="21"/>
          <w:b w:val="1"/>
          <w:bCs w:val="1"/>
          <w:u w:val="single" w:color="auto"/>
          <w:color w:val="auto"/>
        </w:rPr>
        <w:t xml:space="preserve">APPENDIX A – CERTAIN DEFINITIONS AND CALCULATIONS </w:t>
      </w:r>
      <w:r>
        <w:rPr>
          <w:rFonts w:ascii="Arial" w:cs="Arial" w:eastAsia="Arial" w:hAnsi="Arial"/>
          <w:sz w:val="21"/>
          <w:szCs w:val="21"/>
          <w:color w:val="auto"/>
        </w:rPr>
        <w:t>For purposes of this Agreement, the following terms have the meanings set forth below:</w:t>
      </w:r>
    </w:p>
    <w:p>
      <w:pPr>
        <w:spacing w:after="0" w:line="2"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Disability” means disability as determined by the Board in its sole discretion.</w:t>
      </w:r>
    </w:p>
    <w:p>
      <w:pPr>
        <w:spacing w:after="0" w:line="21" w:lineRule="exact"/>
        <w:rPr>
          <w:rFonts w:ascii="Arial" w:cs="Arial" w:eastAsia="Arial" w:hAnsi="Arial"/>
          <w:sz w:val="22"/>
          <w:szCs w:val="22"/>
          <w:color w:val="auto"/>
        </w:rPr>
      </w:pPr>
    </w:p>
    <w:p>
      <w:pPr>
        <w:ind w:left="640" w:hanging="308"/>
        <w:spacing w:after="0"/>
        <w:tabs>
          <w:tab w:leader="none" w:pos="6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Retirement” means retirement as determined by the Board in its sole discretion.</w:t>
      </w:r>
    </w:p>
    <w:p>
      <w:pPr>
        <w:sectPr>
          <w:pgSz w:w="11900" w:h="16838" w:orient="portrait"/>
          <w:cols w:equalWidth="0" w:num="1">
            <w:col w:w="10139"/>
          </w:cols>
          <w:pgMar w:left="320" w:top="130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[insert applicable Peer Group]</w:t>
      </w:r>
    </w:p>
    <w:p>
      <w:pPr>
        <w:sectPr>
          <w:pgSz w:w="11900" w:h="16838" w:orient="portrait"/>
          <w:cols w:equalWidth="0" w:num="1">
            <w:col w:w="9019"/>
          </w:cols>
          <w:pgMar w:left="1440" w:top="130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40" w:right="220" w:hanging="494"/>
        <w:spacing w:after="0" w:line="22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494"/>
        <w:spacing w:after="0" w:line="24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220" w:hanging="494"/>
        <w:spacing w:after="0" w:line="224"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180" w:hanging="494"/>
        <w:spacing w:after="0" w:line="22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40" w:right="960" w:hanging="494"/>
        <w:spacing w:after="0" w:line="264"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80" w:hanging="494"/>
        <w:spacing w:after="0" w:line="22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48"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60" w:hanging="494"/>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252" w:lineRule="exact"/>
        <w:rPr>
          <w:sz w:val="20"/>
          <w:szCs w:val="20"/>
          <w:color w:val="auto"/>
        </w:rPr>
      </w:pPr>
    </w:p>
    <w:p>
      <w:pPr>
        <w:ind w:right="9080" w:firstLine="8"/>
        <w:spacing w:after="0" w:line="340" w:lineRule="auto"/>
        <w:tabs>
          <w:tab w:leader="none" w:pos="95" w:val="left"/>
        </w:tabs>
        <w:numPr>
          <w:ilvl w:val="0"/>
          <w:numId w:val="3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S / JAMES C. CLEMMER </w:t>
      </w:r>
      <w:r>
        <w:rPr>
          <w:rFonts w:ascii="Arial" w:cs="Arial" w:eastAsia="Arial" w:hAnsi="Arial"/>
          <w:sz w:val="15"/>
          <w:szCs w:val="15"/>
          <w:color w:val="auto"/>
        </w:rPr>
        <w:t>James C. Clemmer, President, Chief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20" w:right="240" w:hanging="494"/>
        <w:spacing w:after="0" w:line="22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220" w:hanging="494"/>
        <w:spacing w:after="0" w:line="24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20" w:right="240" w:hanging="494"/>
        <w:spacing w:after="0" w:line="22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440" w:hanging="494"/>
        <w:spacing w:after="0" w:line="22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ind w:left="520" w:right="200" w:hanging="494"/>
        <w:spacing w:after="0" w:line="22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20" w:right="980" w:hanging="494"/>
        <w:spacing w:after="0" w:line="264"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100" w:hanging="494"/>
        <w:spacing w:after="0" w:line="22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4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20" w:right="400" w:hanging="494"/>
        <w:spacing w:after="0" w:line="23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20" w:right="380" w:hanging="494"/>
        <w:spacing w:after="0" w:line="23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ind w:left="340" w:right="2560"/>
        <w:spacing w:after="0" w:line="263"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38" w:lineRule="exact"/>
        <w:rPr>
          <w:sz w:val="20"/>
          <w:szCs w:val="20"/>
          <w:color w:val="auto"/>
        </w:rPr>
      </w:pPr>
    </w:p>
    <w:p>
      <w:pPr>
        <w:ind w:left="540" w:right="40" w:hanging="494"/>
        <w:spacing w:after="0" w:line="235"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2021 (the "Report") fully complies with the requirements of Section 13(a) or 15(d) of the Securities Exchange Act of 1934 (15 U.S.C. 78m or 78o(d)); and</w:t>
      </w:r>
    </w:p>
    <w:p>
      <w:pPr>
        <w:ind w:left="540" w:hanging="494"/>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29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James C. Clemmer, President,</w:t>
      </w:r>
    </w:p>
    <w:p>
      <w:pPr>
        <w:ind w:left="1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ind w:left="340" w:right="2580"/>
        <w:spacing w:after="0" w:line="263"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38" w:lineRule="exact"/>
        <w:rPr>
          <w:sz w:val="20"/>
          <w:szCs w:val="20"/>
          <w:color w:val="auto"/>
        </w:rPr>
      </w:pPr>
    </w:p>
    <w:p>
      <w:pPr>
        <w:ind w:left="540" w:right="40" w:hanging="494"/>
        <w:spacing w:after="0" w:line="23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August 31, 2021 (the "Report") fully complies with the requirements of Section 13(a) or 15(d) of the Securities Exchange Act of 1934 (15 U.S.C. 78m or 78o(d)); and</w:t>
      </w:r>
    </w:p>
    <w:p>
      <w:pPr>
        <w:ind w:left="540" w:hanging="494"/>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Stephen A. Trowbridge, Executive Vice President,</w:t>
      </w:r>
    </w:p>
    <w:p>
      <w:pPr>
        <w:ind w:left="1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
      <w:numFmt w:val="bullet"/>
      <w:start w:val="1"/>
    </w:lvl>
    <w:lvl w:ilvl="1">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4"/>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lvl w:ilvl="1">
      <w:lvlJc w:val="left"/>
      <w:lvlText w:val="(%2)"/>
      <w:numFmt w:val="lowerLetter"/>
      <w:start w:val="1"/>
    </w:lvl>
  </w:abstractNum>
  <w:abstractNum w:abstractNumId="24">
    <w:nsid w:val="614FD4A1"/>
    <w:multiLevelType w:val="hybridMultilevel"/>
    <w:lvl w:ilvl="0">
      <w:lvlJc w:val="left"/>
      <w:lvlText w:val="(%1)"/>
      <w:numFmt w:val="lowerLetter"/>
      <w:start w:val="3"/>
    </w:lvl>
  </w:abstractNum>
  <w:abstractNum w:abstractNumId="25">
    <w:nsid w:val="419AC241"/>
    <w:multiLevelType w:val="hybridMultilevel"/>
    <w:lvl w:ilvl="0">
      <w:lvlJc w:val="left"/>
      <w:lvlText w:val="%1."/>
      <w:numFmt w:val="decimal"/>
      <w:start w:val="4"/>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8"/>
    </w:lvl>
  </w:abstractNum>
  <w:abstractNum w:abstractNumId="28">
    <w:nsid w:val="5072367"/>
    <w:multiLevelType w:val="hybridMultilevel"/>
    <w:lvl w:ilvl="0">
      <w:lvlJc w:val="left"/>
      <w:lvlText w:val="%1."/>
      <w:numFmt w:val="decimal"/>
      <w:start w:val="10"/>
    </w:lvl>
    <w:lvl w:ilvl="1">
      <w:lvlJc w:val="left"/>
      <w:lvlText w:val="%2."/>
      <w:numFmt w:val="decimal"/>
      <w:start w:val="11"/>
    </w:lvl>
  </w:abstractNum>
  <w:abstractNum w:abstractNumId="29">
    <w:nsid w:val="3804823E"/>
    <w:multiLevelType w:val="hybridMultilevel"/>
    <w:lvl w:ilvl="0">
      <w:lvlJc w:val="left"/>
      <w:lvlText w:val="%1."/>
      <w:numFmt w:val="decimal"/>
      <w:start w:val="13"/>
    </w:lvl>
  </w:abstractNum>
  <w:abstractNum w:abstractNumId="30">
    <w:nsid w:val="77465F01"/>
    <w:multiLevelType w:val="hybridMultilevel"/>
    <w:lvl w:ilvl="0">
      <w:lvlJc w:val="left"/>
      <w:lvlText w:val="%1."/>
      <w:numFmt w:val="decimal"/>
      <w:start w:val="20"/>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2021-09-30T15:39:54Z</dcterms:created>
  <dcterms:modified xsi:type="dcterms:W3CDTF">2021-09-30T15:39:54Z</dcterms:modified>
</cp:coreProperties>
</file>