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48895</wp:posOffset>
            </wp:positionV>
            <wp:extent cx="24968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4140" w:right="2320" w:hanging="4135"/>
        <w:spacing w:after="0" w:line="223" w:lineRule="auto"/>
        <w:tabs>
          <w:tab w:leader="none" w:pos="681"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ANNUAL REPORT PURSUANT TO SECTION 13 OR 15(d) OF THE SECURITIES EXCHANGE ACT OF 1934 For the fiscal year ended May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-448310</wp:posOffset>
            </wp:positionV>
            <wp:extent cx="2496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87" w:lineRule="exact"/>
        <w:rPr>
          <w:sz w:val="24"/>
          <w:szCs w:val="24"/>
          <w:color w:val="auto"/>
        </w:rPr>
      </w:pPr>
    </w:p>
    <w:p>
      <w:pPr>
        <w:ind w:left="680" w:hanging="667"/>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2" w:lineRule="exact"/>
        <w:rPr>
          <w:sz w:val="24"/>
          <w:szCs w:val="24"/>
          <w:color w:val="auto"/>
        </w:rPr>
      </w:pPr>
    </w:p>
    <w:p>
      <w:pPr>
        <w:ind w:left="360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3775075</wp:posOffset>
            </wp:positionH>
            <wp:positionV relativeFrom="paragraph">
              <wp:posOffset>-8890</wp:posOffset>
            </wp:positionV>
            <wp:extent cx="1056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67310</wp:posOffset>
            </wp:positionV>
            <wp:extent cx="2496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AngioDynamics,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165100</wp:posOffset>
            </wp:positionV>
            <wp:extent cx="3583940" cy="543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3940" cy="543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300" w:type="dxa"/>
        <w:tblCellMar>
          <w:top w:w="0" w:type="dxa"/>
          <w:left w:w="0" w:type="dxa"/>
          <w:bottom w:w="0" w:type="dxa"/>
          <w:right w:w="0" w:type="dxa"/>
        </w:tblCellMar>
      </w:tblPr>
      <w:tr>
        <w:trPr>
          <w:trHeight w:val="223"/>
        </w:trPr>
        <w:tc>
          <w:tcPr>
            <w:tcW w:w="1360" w:type="dxa"/>
            <w:vAlign w:val="bottom"/>
          </w:tcPr>
          <w:p>
            <w:pPr>
              <w:spacing w:after="0"/>
              <w:rPr>
                <w:sz w:val="19"/>
                <w:szCs w:val="19"/>
                <w:color w:val="auto"/>
              </w:rPr>
            </w:pPr>
          </w:p>
        </w:tc>
        <w:tc>
          <w:tcPr>
            <w:tcW w:w="1760" w:type="dxa"/>
            <w:vAlign w:val="bottom"/>
            <w:gridSpan w:val="3"/>
          </w:tcPr>
          <w:p>
            <w:pPr>
              <w:jc w:val="center"/>
              <w:ind w:left="324"/>
              <w:spacing w:after="0"/>
              <w:rPr>
                <w:sz w:val="20"/>
                <w:szCs w:val="20"/>
                <w:color w:val="auto"/>
              </w:rPr>
            </w:pPr>
            <w:r>
              <w:rPr>
                <w:rFonts w:ascii="Arial" w:cs="Arial" w:eastAsia="Arial" w:hAnsi="Arial"/>
                <w:sz w:val="18"/>
                <w:szCs w:val="18"/>
                <w:b w:val="1"/>
                <w:bCs w:val="1"/>
                <w:color w:val="auto"/>
                <w:w w:val="91"/>
              </w:rPr>
              <w:t>Delaware</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7"/>
              </w:rPr>
              <w:t>11-3146460</w:t>
            </w:r>
          </w:p>
        </w:tc>
      </w:tr>
      <w:tr>
        <w:trPr>
          <w:trHeight w:val="147"/>
        </w:trPr>
        <w:tc>
          <w:tcPr>
            <w:tcW w:w="1360" w:type="dxa"/>
            <w:vAlign w:val="bottom"/>
          </w:tcPr>
          <w:p>
            <w:pPr>
              <w:spacing w:after="0"/>
              <w:rPr>
                <w:sz w:val="12"/>
                <w:szCs w:val="12"/>
                <w:color w:val="auto"/>
              </w:rPr>
            </w:pPr>
          </w:p>
        </w:tc>
        <w:tc>
          <w:tcPr>
            <w:tcW w:w="5380" w:type="dxa"/>
            <w:vAlign w:val="bottom"/>
            <w:gridSpan w:val="7"/>
          </w:tcPr>
          <w:p>
            <w:pPr>
              <w:jc w:val="center"/>
              <w:ind w:right="3200"/>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2"/>
          </w:tcPr>
          <w:p>
            <w:pPr>
              <w:jc w:val="center"/>
              <w:ind w:right="920"/>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5"/>
        </w:trPr>
        <w:tc>
          <w:tcPr>
            <w:tcW w:w="1360" w:type="dxa"/>
            <w:vAlign w:val="bottom"/>
          </w:tcPr>
          <w:p>
            <w:pPr>
              <w:spacing w:after="0"/>
              <w:rPr>
                <w:sz w:val="16"/>
                <w:szCs w:val="16"/>
                <w:color w:val="auto"/>
              </w:rPr>
            </w:pPr>
          </w:p>
        </w:tc>
        <w:tc>
          <w:tcPr>
            <w:tcW w:w="5380" w:type="dxa"/>
            <w:vAlign w:val="bottom"/>
            <w:gridSpan w:val="7"/>
          </w:tcPr>
          <w:p>
            <w:pPr>
              <w:jc w:val="center"/>
              <w:ind w:right="3200"/>
              <w:spacing w:after="0"/>
              <w:rPr>
                <w:sz w:val="20"/>
                <w:szCs w:val="20"/>
                <w:color w:val="auto"/>
              </w:rPr>
            </w:pPr>
            <w:r>
              <w:rPr>
                <w:rFonts w:ascii="Arial" w:cs="Arial" w:eastAsia="Arial" w:hAnsi="Arial"/>
                <w:sz w:val="14"/>
                <w:szCs w:val="14"/>
                <w:b w:val="1"/>
                <w:bCs w:val="1"/>
                <w:color w:val="auto"/>
                <w:w w:val="93"/>
              </w:rPr>
              <w:t>incorporation or organization)</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Identification No.)</w:t>
            </w:r>
          </w:p>
        </w:tc>
      </w:tr>
      <w:tr>
        <w:trPr>
          <w:trHeight w:val="537"/>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4"/>
          </w:tcPr>
          <w:p>
            <w:pPr>
              <w:jc w:val="center"/>
              <w:ind w:left="144"/>
              <w:spacing w:after="0"/>
              <w:rPr>
                <w:sz w:val="20"/>
                <w:szCs w:val="20"/>
                <w:color w:val="auto"/>
              </w:rPr>
            </w:pPr>
            <w:r>
              <w:rPr>
                <w:rFonts w:ascii="Arial" w:cs="Arial" w:eastAsia="Arial" w:hAnsi="Arial"/>
                <w:sz w:val="18"/>
                <w:szCs w:val="18"/>
                <w:b w:val="1"/>
                <w:bCs w:val="1"/>
                <w:color w:val="auto"/>
                <w:w w:val="91"/>
              </w:rPr>
              <w:t>14 Plaza Drive, Latham, New York 12110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5"/>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4"/>
          </w:tcPr>
          <w:p>
            <w:pPr>
              <w:jc w:val="center"/>
              <w:ind w:left="144"/>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17"/>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4"/>
          </w:tcPr>
          <w:p>
            <w:pPr>
              <w:jc w:val="center"/>
              <w:ind w:left="651"/>
              <w:spacing w:after="0"/>
              <w:rPr>
                <w:sz w:val="20"/>
                <w:szCs w:val="20"/>
                <w:color w:val="auto"/>
              </w:rPr>
            </w:pPr>
            <w:r>
              <w:rPr>
                <w:rFonts w:ascii="Arial" w:cs="Arial" w:eastAsia="Arial" w:hAnsi="Arial"/>
                <w:sz w:val="18"/>
                <w:szCs w:val="18"/>
                <w:b w:val="1"/>
                <w:bCs w:val="1"/>
                <w:color w:val="auto"/>
                <w:w w:val="90"/>
              </w:rPr>
              <w:t>(518) 795-1400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5"/>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4"/>
          </w:tcPr>
          <w:p>
            <w:pPr>
              <w:jc w:val="center"/>
              <w:ind w:left="144"/>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9"/>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r>
      <w:tr>
        <w:trPr>
          <w:trHeight w:val="366"/>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2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r>
      <w:tr>
        <w:trPr>
          <w:trHeight w:val="175"/>
        </w:trPr>
        <w:tc>
          <w:tcPr>
            <w:tcW w:w="1360" w:type="dxa"/>
            <w:vAlign w:val="bottom"/>
          </w:tcPr>
          <w:p>
            <w:pPr>
              <w:spacing w:after="0"/>
              <w:rPr>
                <w:sz w:val="15"/>
                <w:szCs w:val="15"/>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Title of each class</w:t>
            </w:r>
          </w:p>
        </w:tc>
        <w:tc>
          <w:tcPr>
            <w:tcW w:w="220" w:type="dxa"/>
            <w:vAlign w:val="bottom"/>
          </w:tcPr>
          <w:p>
            <w:pPr>
              <w:spacing w:after="0"/>
              <w:rPr>
                <w:sz w:val="15"/>
                <w:szCs w:val="15"/>
                <w:color w:val="auto"/>
              </w:rPr>
            </w:pPr>
          </w:p>
        </w:tc>
        <w:tc>
          <w:tcPr>
            <w:tcW w:w="340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2"/>
              </w:rPr>
              <w:t>Trading Symbol</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r>
      <w:tr>
        <w:trPr>
          <w:trHeight w:val="209"/>
        </w:trPr>
        <w:tc>
          <w:tcPr>
            <w:tcW w:w="3120" w:type="dxa"/>
            <w:vAlign w:val="bottom"/>
            <w:gridSpan w:val="4"/>
          </w:tcPr>
          <w:p>
            <w:pPr>
              <w:jc w:val="center"/>
              <w:ind w:left="589"/>
              <w:spacing w:after="0"/>
              <w:rPr>
                <w:sz w:val="20"/>
                <w:szCs w:val="20"/>
                <w:color w:val="auto"/>
              </w:rPr>
            </w:pPr>
            <w:r>
              <w:rPr>
                <w:rFonts w:ascii="Arial" w:cs="Arial" w:eastAsia="Arial" w:hAnsi="Arial"/>
                <w:sz w:val="14"/>
                <w:szCs w:val="14"/>
                <w:b w:val="1"/>
                <w:bCs w:val="1"/>
                <w:color w:val="auto"/>
                <w:w w:val="91"/>
              </w:rPr>
              <w:t>Common Stock, par value $.01 per share</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9"/>
              </w:rPr>
              <w:t>ANGO</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2"/>
          </w:tcPr>
          <w:p>
            <w:pPr>
              <w:ind w:left="340"/>
              <w:spacing w:after="0"/>
              <w:rPr>
                <w:sz w:val="20"/>
                <w:szCs w:val="20"/>
                <w:color w:val="auto"/>
              </w:rPr>
            </w:pPr>
            <w:r>
              <w:rPr>
                <w:rFonts w:ascii="Arial" w:cs="Arial" w:eastAsia="Arial" w:hAnsi="Arial"/>
                <w:sz w:val="14"/>
                <w:szCs w:val="14"/>
                <w:b w:val="1"/>
                <w:bCs w:val="1"/>
                <w:color w:val="auto"/>
              </w:rPr>
              <w:t>NASDAQ Global Select Market</w:t>
            </w:r>
          </w:p>
        </w:tc>
      </w:tr>
      <w:tr>
        <w:trPr>
          <w:trHeight w:val="515"/>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2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87"/>
              </w:rPr>
              <w:t>Securities registered pursuant to Section 12(g) of the Act:</w:t>
            </w:r>
          </w:p>
        </w:tc>
      </w:tr>
      <w:tr>
        <w:trPr>
          <w:trHeight w:val="210"/>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8"/>
              </w:rPr>
              <w:t>None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85"/>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(Title of Class)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52"/>
        </w:trPr>
        <w:tc>
          <w:tcPr>
            <w:tcW w:w="3340" w:type="dxa"/>
            <w:vAlign w:val="bottom"/>
            <w:gridSpan w:val="5"/>
          </w:tcPr>
          <w:p>
            <w:pPr>
              <w:spacing w:after="0"/>
              <w:rPr>
                <w:sz w:val="21"/>
                <w:szCs w:val="21"/>
                <w:color w:val="auto"/>
              </w:rPr>
            </w:pPr>
          </w:p>
        </w:tc>
        <w:tc>
          <w:tcPr>
            <w:tcW w:w="340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80" w:type="dxa"/>
            <w:vAlign w:val="bottom"/>
            <w:gridSpan w:val="3"/>
          </w:tcPr>
          <w:p>
            <w:pPr>
              <w:spacing w:after="0"/>
              <w:rPr>
                <w:sz w:val="21"/>
                <w:szCs w:val="21"/>
                <w:color w:val="auto"/>
              </w:rPr>
            </w:pPr>
          </w:p>
        </w:tc>
      </w:tr>
      <w:tr>
        <w:trPr>
          <w:trHeight w:val="338"/>
        </w:trPr>
        <w:tc>
          <w:tcPr>
            <w:tcW w:w="6740" w:type="dxa"/>
            <w:vAlign w:val="bottom"/>
            <w:gridSpan w:val="8"/>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300" w:type="dxa"/>
            <w:vAlign w:val="bottom"/>
          </w:tcPr>
          <w:p>
            <w:pPr>
              <w:ind w:left="100"/>
              <w:spacing w:after="0"/>
              <w:rPr>
                <w:sz w:val="20"/>
                <w:szCs w:val="20"/>
                <w:color w:val="auto"/>
              </w:rPr>
            </w:pPr>
            <w:r>
              <w:rPr>
                <w:rFonts w:ascii="Arial" w:cs="Arial" w:eastAsia="Arial" w:hAnsi="Arial"/>
                <w:sz w:val="14"/>
                <w:szCs w:val="14"/>
                <w:color w:val="auto"/>
                <w:w w:val="74"/>
              </w:rPr>
              <w:t>Yes</w:t>
            </w:r>
          </w:p>
        </w:tc>
        <w:tc>
          <w:tcPr>
            <w:tcW w:w="22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c>
          <w:tcPr>
            <w:tcW w:w="2780" w:type="dxa"/>
            <w:vAlign w:val="bottom"/>
            <w:gridSpan w:val="3"/>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1"/>
        </w:trPr>
        <w:tc>
          <w:tcPr>
            <w:tcW w:w="674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No</w:t>
            </w:r>
          </w:p>
        </w:tc>
        <w:tc>
          <w:tcPr>
            <w:tcW w:w="278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4" w:lineRule="exact"/>
        <w:rPr>
          <w:sz w:val="24"/>
          <w:szCs w:val="24"/>
          <w:color w:val="auto"/>
        </w:rPr>
      </w:pPr>
    </w:p>
    <w:p>
      <w:pPr>
        <w:ind w:left="300"/>
        <w:spacing w:after="0" w:line="19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 w:lineRule="exact"/>
        <w:rPr>
          <w:sz w:val="24"/>
          <w:szCs w:val="24"/>
          <w:color w:val="auto"/>
        </w:rPr>
      </w:pPr>
    </w:p>
    <w:p>
      <w:pPr>
        <w:ind w:left="300" w:right="40"/>
        <w:spacing w:after="0" w:line="195"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left="300" w:right="260"/>
        <w:spacing w:after="0" w:line="195"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6" w:lineRule="exact"/>
        <w:rPr>
          <w:sz w:val="24"/>
          <w:szCs w:val="24"/>
          <w:color w:val="auto"/>
        </w:rPr>
      </w:pPr>
    </w:p>
    <w:p>
      <w:pPr>
        <w:ind w:left="300" w:right="420"/>
        <w:spacing w:after="0" w:line="30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443230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861" w:right="339" w:bottom="1440" w:gutter="0" w:footer="0" w:header="0"/>
        </w:sectPr>
      </w:pPr>
    </w:p>
    <w:bookmarkStart w:id="1" w:name="page2"/>
    <w:bookmarkEnd w:id="1"/>
    <w:tbl>
      <w:tblPr>
        <w:tblLayout w:type="fixed"/>
        <w:tblInd w:w="1840" w:type="dxa"/>
        <w:tblCellMar>
          <w:top w:w="0" w:type="dxa"/>
          <w:left w:w="0" w:type="dxa"/>
          <w:bottom w:w="0" w:type="dxa"/>
          <w:right w:w="0" w:type="dxa"/>
        </w:tblCellMar>
      </w:tblPr>
      <w:tr>
        <w:trPr>
          <w:trHeight w:val="201"/>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6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7"/>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6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91" w:lineRule="exact"/>
        <w:rPr>
          <w:sz w:val="20"/>
          <w:szCs w:val="20"/>
          <w:color w:val="auto"/>
        </w:rPr>
      </w:pPr>
    </w:p>
    <w:p>
      <w:pPr>
        <w:ind w:right="120"/>
        <w:spacing w:after="0" w:line="19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0"/>
          <w:szCs w:val="20"/>
          <w:color w:val="auto"/>
        </w:rPr>
      </w:pPr>
    </w:p>
    <w:p>
      <w:pPr>
        <w:spacing w:after="0" w:line="161" w:lineRule="exact"/>
        <w:tabs>
          <w:tab w:leader="none" w:pos="6600" w:val="left"/>
          <w:tab w:leader="none" w:pos="71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82" w:lineRule="exact"/>
        <w:rPr>
          <w:sz w:val="20"/>
          <w:szCs w:val="20"/>
          <w:color w:val="auto"/>
        </w:rPr>
      </w:pPr>
    </w:p>
    <w:p>
      <w:pPr>
        <w:ind w:right="60"/>
        <w:spacing w:after="0" w:line="329" w:lineRule="auto"/>
        <w:rPr>
          <w:sz w:val="20"/>
          <w:szCs w:val="20"/>
          <w:color w:val="auto"/>
        </w:rPr>
      </w:pPr>
      <w:r>
        <w:rPr>
          <w:rFonts w:ascii="Arial" w:cs="Arial" w:eastAsia="Arial" w:hAnsi="Arial"/>
          <w:sz w:val="13"/>
          <w:szCs w:val="13"/>
          <w:color w:val="auto"/>
        </w:rPr>
        <w:t>As of November 30, 2022, the last business day of the registrant’s most recently completed second fiscal quarter, the aggregate market value of the registrant’s common stock held by non-affiliates was approximately $450,329,930 computed by reference to the last sale price of the common stock on that date as reported by The NASDAQ Global Select Market.</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As of August 2, 2023 there were 39,671,221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information required for Part III of this Annual Report on Form 10-K is incorporated by reference to the registrant’s Proxy Statement for its 2023 Annual Meeting of Stockholders to be filed within 120 days of the registrant's fiscal year ended 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457835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40"/>
          </w:cols>
          <w:pgMar w:left="640" w:top="768"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0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w w:val="88"/>
              </w:rPr>
              <w:t>AngioDynamics, Inc. and Subsidiaries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gridSpan w:val="6"/>
          </w:tcPr>
          <w:p>
            <w:pPr>
              <w:jc w:val="center"/>
              <w:ind w:right="4140"/>
              <w:spacing w:after="0"/>
              <w:rPr>
                <w:sz w:val="20"/>
                <w:szCs w:val="20"/>
                <w:color w:val="auto"/>
              </w:rPr>
            </w:pPr>
            <w:r>
              <w:rPr>
                <w:rFonts w:ascii="Arial" w:cs="Arial" w:eastAsia="Arial" w:hAnsi="Arial"/>
                <w:sz w:val="18"/>
                <w:szCs w:val="18"/>
                <w:b w:val="1"/>
                <w:bCs w:val="1"/>
                <w:color w:val="auto"/>
              </w:rPr>
              <w:t>INDEX</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gridSpan w:val="5"/>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1500" w:type="dxa"/>
            <w:vAlign w:val="bottom"/>
            <w:vMerge w:val="restart"/>
          </w:tcPr>
          <w:p>
            <w:pPr>
              <w:ind w:left="20"/>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5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tcPr>
          <w:p>
            <w:pPr>
              <w:ind w:left="460"/>
              <w:spacing w:after="0" w:line="202" w:lineRule="exact"/>
              <w:rPr>
                <w:sz w:val="20"/>
                <w:szCs w:val="20"/>
                <w:color w:val="auto"/>
              </w:rPr>
            </w:pPr>
            <w:r>
              <w:rPr>
                <w:rFonts w:ascii="Arial" w:cs="Arial" w:eastAsia="Arial" w:hAnsi="Arial"/>
                <w:sz w:val="18"/>
                <w:szCs w:val="18"/>
                <w:color w:val="auto"/>
              </w:rPr>
              <w:t>Item 1.</w:t>
            </w:r>
          </w:p>
        </w:tc>
        <w:tc>
          <w:tcPr>
            <w:tcW w:w="9120" w:type="dxa"/>
            <w:vAlign w:val="bottom"/>
            <w:gridSpan w:val="17"/>
          </w:tcPr>
          <w:p>
            <w:pPr>
              <w:spacing w:after="0" w:line="202" w:lineRule="exact"/>
              <w:rPr>
                <w:sz w:val="20"/>
                <w:szCs w:val="20"/>
                <w:color w:val="auto"/>
              </w:rPr>
            </w:pPr>
            <w:r>
              <w:rPr>
                <w:rFonts w:ascii="Arial" w:cs="Arial" w:eastAsia="Arial" w:hAnsi="Arial"/>
                <w:sz w:val="18"/>
                <w:szCs w:val="18"/>
                <w:color w:val="0000FF"/>
              </w:rPr>
              <w:t>Business</w:t>
            </w: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0000FF"/>
              </w:rPr>
              <w:t>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1A.</w:t>
            </w:r>
          </w:p>
        </w:tc>
        <w:tc>
          <w:tcPr>
            <w:tcW w:w="912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1B.</w:t>
            </w:r>
          </w:p>
        </w:tc>
        <w:tc>
          <w:tcPr>
            <w:tcW w:w="2020" w:type="dxa"/>
            <w:vAlign w:val="bottom"/>
            <w:gridSpan w:val="8"/>
          </w:tcPr>
          <w:p>
            <w:pPr>
              <w:spacing w:after="0"/>
              <w:rPr>
                <w:sz w:val="20"/>
                <w:szCs w:val="20"/>
                <w:color w:val="auto"/>
              </w:rPr>
            </w:pPr>
            <w:r>
              <w:rPr>
                <w:rFonts w:ascii="Arial" w:cs="Arial" w:eastAsia="Arial" w:hAnsi="Arial"/>
                <w:sz w:val="18"/>
                <w:szCs w:val="18"/>
                <w:color w:val="0000FF"/>
                <w:w w:val="88"/>
              </w:rPr>
              <w:t>Unresolved Staff Comments</w:t>
            </w:r>
          </w:p>
        </w:tc>
        <w:tc>
          <w:tcPr>
            <w:tcW w:w="710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ind w:left="460"/>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sz w:val="20"/>
                <w:szCs w:val="20"/>
                <w:color w:val="auto"/>
              </w:rPr>
            </w:pPr>
            <w:r>
              <w:rPr>
                <w:rFonts w:ascii="Arial" w:cs="Arial" w:eastAsia="Arial" w:hAnsi="Arial"/>
                <w:sz w:val="18"/>
                <w:szCs w:val="18"/>
                <w:color w:val="0000FF"/>
                <w:w w:val="85"/>
              </w:rPr>
              <w:t>Properties</w:t>
            </w:r>
          </w:p>
        </w:tc>
        <w:tc>
          <w:tcPr>
            <w:tcW w:w="1300" w:type="dxa"/>
            <w:vAlign w:val="bottom"/>
            <w:gridSpan w:val="6"/>
          </w:tcPr>
          <w:p>
            <w:pPr>
              <w:spacing w:after="0"/>
              <w:rPr>
                <w:sz w:val="19"/>
                <w:szCs w:val="19"/>
                <w:color w:val="auto"/>
              </w:rPr>
            </w:pPr>
          </w:p>
        </w:tc>
        <w:tc>
          <w:tcPr>
            <w:tcW w:w="7100" w:type="dxa"/>
            <w:vAlign w:val="bottom"/>
            <w:gridSpan w:val="9"/>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3.</w:t>
            </w:r>
          </w:p>
        </w:tc>
        <w:tc>
          <w:tcPr>
            <w:tcW w:w="1300" w:type="dxa"/>
            <w:vAlign w:val="bottom"/>
            <w:gridSpan w:val="5"/>
          </w:tcPr>
          <w:p>
            <w:pPr>
              <w:spacing w:after="0"/>
              <w:rPr>
                <w:sz w:val="20"/>
                <w:szCs w:val="20"/>
                <w:color w:val="auto"/>
              </w:rPr>
            </w:pPr>
            <w:r>
              <w:rPr>
                <w:rFonts w:ascii="Arial" w:cs="Arial" w:eastAsia="Arial" w:hAnsi="Arial"/>
                <w:sz w:val="18"/>
                <w:szCs w:val="18"/>
                <w:color w:val="0000FF"/>
                <w:w w:val="84"/>
              </w:rPr>
              <w:t>Legal Proceedings</w:t>
            </w:r>
          </w:p>
        </w:tc>
        <w:tc>
          <w:tcPr>
            <w:tcW w:w="782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4.</w:t>
            </w:r>
          </w:p>
        </w:tc>
        <w:tc>
          <w:tcPr>
            <w:tcW w:w="912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500" w:type="dxa"/>
            <w:vAlign w:val="bottom"/>
          </w:tcPr>
          <w:p>
            <w:pPr>
              <w:ind w:left="20"/>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460"/>
              <w:spacing w:after="0" w:line="189" w:lineRule="exact"/>
              <w:rPr>
                <w:sz w:val="20"/>
                <w:szCs w:val="20"/>
                <w:color w:val="auto"/>
              </w:rPr>
            </w:pPr>
            <w:r>
              <w:rPr>
                <w:rFonts w:ascii="Arial" w:cs="Arial" w:eastAsia="Arial" w:hAnsi="Arial"/>
                <w:sz w:val="18"/>
                <w:szCs w:val="18"/>
                <w:color w:val="auto"/>
              </w:rPr>
              <w:t>Item 5.</w:t>
            </w:r>
          </w:p>
        </w:tc>
        <w:tc>
          <w:tcPr>
            <w:tcW w:w="9120" w:type="dxa"/>
            <w:vAlign w:val="bottom"/>
            <w:gridSpan w:val="17"/>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6.</w:t>
            </w:r>
          </w:p>
        </w:tc>
        <w:tc>
          <w:tcPr>
            <w:tcW w:w="780" w:type="dxa"/>
            <w:vAlign w:val="bottom"/>
            <w:gridSpan w:val="3"/>
          </w:tcPr>
          <w:p>
            <w:pPr>
              <w:spacing w:after="0"/>
              <w:rPr>
                <w:sz w:val="20"/>
                <w:szCs w:val="20"/>
                <w:color w:val="auto"/>
              </w:rPr>
            </w:pPr>
            <w:r>
              <w:rPr>
                <w:rFonts w:ascii="Arial" w:cs="Arial" w:eastAsia="Arial" w:hAnsi="Arial"/>
                <w:sz w:val="18"/>
                <w:szCs w:val="18"/>
                <w:color w:val="0000FF"/>
                <w:w w:val="87"/>
              </w:rPr>
              <w:t>[Reserved]</w:t>
            </w:r>
          </w:p>
        </w:tc>
        <w:tc>
          <w:tcPr>
            <w:tcW w:w="6440" w:type="dxa"/>
            <w:vAlign w:val="bottom"/>
            <w:gridSpan w:val="13"/>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7.</w:t>
            </w:r>
          </w:p>
        </w:tc>
        <w:tc>
          <w:tcPr>
            <w:tcW w:w="6380" w:type="dxa"/>
            <w:vAlign w:val="bottom"/>
            <w:gridSpan w:val="15"/>
          </w:tcPr>
          <w:p>
            <w:pPr>
              <w:spacing w:after="0"/>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27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ind w:left="460"/>
              <w:spacing w:after="0"/>
              <w:rPr>
                <w:sz w:val="20"/>
                <w:szCs w:val="20"/>
                <w:color w:val="auto"/>
              </w:rPr>
            </w:pPr>
            <w:r>
              <w:rPr>
                <w:rFonts w:ascii="Arial" w:cs="Arial" w:eastAsia="Arial" w:hAnsi="Arial"/>
                <w:sz w:val="18"/>
                <w:szCs w:val="18"/>
                <w:color w:val="auto"/>
              </w:rPr>
              <w:t>Item 7A.</w:t>
            </w:r>
          </w:p>
        </w:tc>
        <w:tc>
          <w:tcPr>
            <w:tcW w:w="4300" w:type="dxa"/>
            <w:vAlign w:val="bottom"/>
            <w:gridSpan w:val="13"/>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2080" w:type="dxa"/>
            <w:vAlign w:val="bottom"/>
            <w:gridSpan w:val="2"/>
          </w:tcPr>
          <w:p>
            <w:pPr>
              <w:spacing w:after="0"/>
              <w:rPr>
                <w:sz w:val="19"/>
                <w:szCs w:val="19"/>
                <w:color w:val="auto"/>
              </w:rPr>
            </w:pPr>
          </w:p>
        </w:tc>
        <w:tc>
          <w:tcPr>
            <w:tcW w:w="274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8.</w:t>
            </w:r>
          </w:p>
        </w:tc>
        <w:tc>
          <w:tcPr>
            <w:tcW w:w="4300" w:type="dxa"/>
            <w:vAlign w:val="bottom"/>
            <w:gridSpan w:val="13"/>
          </w:tcPr>
          <w:p>
            <w:pPr>
              <w:spacing w:after="0"/>
              <w:rPr>
                <w:sz w:val="20"/>
                <w:szCs w:val="20"/>
                <w:color w:val="auto"/>
              </w:rPr>
            </w:pPr>
            <w:r>
              <w:rPr>
                <w:rFonts w:ascii="Arial" w:cs="Arial" w:eastAsia="Arial" w:hAnsi="Arial"/>
                <w:sz w:val="18"/>
                <w:szCs w:val="18"/>
                <w:color w:val="0000FF"/>
              </w:rPr>
              <w:t>Financial Statements and Supplementary Data</w:t>
            </w:r>
          </w:p>
        </w:tc>
        <w:tc>
          <w:tcPr>
            <w:tcW w:w="48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9.</w:t>
            </w:r>
          </w:p>
        </w:tc>
        <w:tc>
          <w:tcPr>
            <w:tcW w:w="9120" w:type="dxa"/>
            <w:vAlign w:val="bottom"/>
            <w:gridSpan w:val="17"/>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ind w:left="460"/>
              <w:spacing w:after="0"/>
              <w:rPr>
                <w:sz w:val="20"/>
                <w:szCs w:val="20"/>
                <w:color w:val="auto"/>
              </w:rPr>
            </w:pPr>
            <w:r>
              <w:rPr>
                <w:rFonts w:ascii="Arial" w:cs="Arial" w:eastAsia="Arial" w:hAnsi="Arial"/>
                <w:sz w:val="18"/>
                <w:szCs w:val="18"/>
                <w:color w:val="auto"/>
              </w:rPr>
              <w:t>Item 9A.</w:t>
            </w:r>
          </w:p>
        </w:tc>
        <w:tc>
          <w:tcPr>
            <w:tcW w:w="638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274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9B.</w:t>
            </w:r>
          </w:p>
        </w:tc>
        <w:tc>
          <w:tcPr>
            <w:tcW w:w="1300" w:type="dxa"/>
            <w:vAlign w:val="bottom"/>
            <w:gridSpan w:val="5"/>
          </w:tcPr>
          <w:p>
            <w:pPr>
              <w:spacing w:after="0"/>
              <w:rPr>
                <w:sz w:val="20"/>
                <w:szCs w:val="20"/>
                <w:color w:val="auto"/>
              </w:rPr>
            </w:pPr>
            <w:r>
              <w:rPr>
                <w:rFonts w:ascii="Arial" w:cs="Arial" w:eastAsia="Arial" w:hAnsi="Arial"/>
                <w:sz w:val="18"/>
                <w:szCs w:val="18"/>
                <w:color w:val="0000FF"/>
                <w:w w:val="89"/>
              </w:rPr>
              <w:t>Other Information</w:t>
            </w:r>
          </w:p>
        </w:tc>
        <w:tc>
          <w:tcPr>
            <w:tcW w:w="440" w:type="dxa"/>
            <w:vAlign w:val="bottom"/>
          </w:tcPr>
          <w:p>
            <w:pPr>
              <w:spacing w:after="0"/>
              <w:rPr>
                <w:sz w:val="18"/>
                <w:szCs w:val="18"/>
                <w:color w:val="auto"/>
              </w:rPr>
            </w:pPr>
          </w:p>
        </w:tc>
        <w:tc>
          <w:tcPr>
            <w:tcW w:w="7380" w:type="dxa"/>
            <w:vAlign w:val="bottom"/>
            <w:gridSpan w:val="11"/>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9C.</w:t>
            </w:r>
          </w:p>
        </w:tc>
        <w:tc>
          <w:tcPr>
            <w:tcW w:w="9120" w:type="dxa"/>
            <w:vAlign w:val="bottom"/>
            <w:gridSpan w:val="17"/>
          </w:tcPr>
          <w:p>
            <w:pPr>
              <w:spacing w:after="0"/>
              <w:rPr>
                <w:sz w:val="20"/>
                <w:szCs w:val="20"/>
                <w:color w:val="auto"/>
              </w:rPr>
            </w:pPr>
            <w:r>
              <w:rPr>
                <w:rFonts w:ascii="Arial" w:cs="Arial" w:eastAsia="Arial" w:hAnsi="Arial"/>
                <w:sz w:val="18"/>
                <w:szCs w:val="18"/>
                <w:color w:val="0000FF"/>
              </w:rPr>
              <w:t>Foreign Jurisdictions that Prevent Inspections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500" w:type="dxa"/>
            <w:vAlign w:val="bottom"/>
          </w:tcPr>
          <w:p>
            <w:pPr>
              <w:ind w:left="20"/>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460"/>
              <w:spacing w:after="0" w:line="189" w:lineRule="exact"/>
              <w:rPr>
                <w:sz w:val="20"/>
                <w:szCs w:val="20"/>
                <w:color w:val="auto"/>
              </w:rPr>
            </w:pPr>
            <w:r>
              <w:rPr>
                <w:rFonts w:ascii="Arial" w:cs="Arial" w:eastAsia="Arial" w:hAnsi="Arial"/>
                <w:sz w:val="18"/>
                <w:szCs w:val="18"/>
                <w:color w:val="auto"/>
              </w:rPr>
              <w:t>Item 10.</w:t>
            </w:r>
          </w:p>
        </w:tc>
        <w:tc>
          <w:tcPr>
            <w:tcW w:w="9120" w:type="dxa"/>
            <w:vAlign w:val="bottom"/>
            <w:gridSpan w:val="17"/>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11.</w:t>
            </w:r>
          </w:p>
        </w:tc>
        <w:tc>
          <w:tcPr>
            <w:tcW w:w="1780" w:type="dxa"/>
            <w:vAlign w:val="bottom"/>
            <w:gridSpan w:val="7"/>
          </w:tcPr>
          <w:p>
            <w:pPr>
              <w:spacing w:after="0"/>
              <w:rPr>
                <w:sz w:val="20"/>
                <w:szCs w:val="20"/>
                <w:color w:val="auto"/>
              </w:rPr>
            </w:pPr>
            <w:r>
              <w:rPr>
                <w:rFonts w:ascii="Arial" w:cs="Arial" w:eastAsia="Arial" w:hAnsi="Arial"/>
                <w:sz w:val="18"/>
                <w:szCs w:val="18"/>
                <w:color w:val="0000FF"/>
                <w:w w:val="88"/>
              </w:rPr>
              <w:t>Executive Compensation</w:t>
            </w:r>
          </w:p>
        </w:tc>
        <w:tc>
          <w:tcPr>
            <w:tcW w:w="2260" w:type="dxa"/>
            <w:vAlign w:val="bottom"/>
            <w:gridSpan w:val="5"/>
          </w:tcPr>
          <w:p>
            <w:pPr>
              <w:spacing w:after="0"/>
              <w:rPr>
                <w:sz w:val="18"/>
                <w:szCs w:val="18"/>
                <w:color w:val="auto"/>
              </w:rPr>
            </w:pPr>
          </w:p>
        </w:tc>
        <w:tc>
          <w:tcPr>
            <w:tcW w:w="50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ind w:left="460"/>
              <w:spacing w:after="0"/>
              <w:rPr>
                <w:sz w:val="20"/>
                <w:szCs w:val="20"/>
                <w:color w:val="auto"/>
              </w:rPr>
            </w:pPr>
            <w:r>
              <w:rPr>
                <w:rFonts w:ascii="Arial" w:cs="Arial" w:eastAsia="Arial" w:hAnsi="Arial"/>
                <w:sz w:val="18"/>
                <w:szCs w:val="18"/>
                <w:color w:val="auto"/>
              </w:rPr>
              <w:t>Item 12.</w:t>
            </w:r>
          </w:p>
        </w:tc>
        <w:tc>
          <w:tcPr>
            <w:tcW w:w="7220" w:type="dxa"/>
            <w:vAlign w:val="bottom"/>
            <w:gridSpan w:val="16"/>
          </w:tcPr>
          <w:p>
            <w:pPr>
              <w:spacing w:after="0"/>
              <w:rPr>
                <w:sz w:val="20"/>
                <w:szCs w:val="20"/>
                <w:color w:val="auto"/>
              </w:rPr>
            </w:pPr>
            <w:r>
              <w:rPr>
                <w:rFonts w:ascii="Arial" w:cs="Arial" w:eastAsia="Arial" w:hAnsi="Arial"/>
                <w:sz w:val="18"/>
                <w:szCs w:val="18"/>
                <w:color w:val="0000FF"/>
                <w:w w:val="89"/>
              </w:rPr>
              <w:t>Security Ownership of Certain Beneficial Owners and Management and Related Stockholder Matters</w:t>
            </w:r>
          </w:p>
        </w:tc>
        <w:tc>
          <w:tcPr>
            <w:tcW w:w="1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82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13.</w:t>
            </w:r>
          </w:p>
        </w:tc>
        <w:tc>
          <w:tcPr>
            <w:tcW w:w="7220" w:type="dxa"/>
            <w:vAlign w:val="bottom"/>
            <w:gridSpan w:val="16"/>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82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tcPr>
          <w:p>
            <w:pPr>
              <w:ind w:left="460"/>
              <w:spacing w:after="0"/>
              <w:rPr>
                <w:sz w:val="20"/>
                <w:szCs w:val="20"/>
                <w:color w:val="auto"/>
              </w:rPr>
            </w:pPr>
            <w:r>
              <w:rPr>
                <w:rFonts w:ascii="Arial" w:cs="Arial" w:eastAsia="Arial" w:hAnsi="Arial"/>
                <w:sz w:val="18"/>
                <w:szCs w:val="18"/>
                <w:color w:val="auto"/>
              </w:rPr>
              <w:t>Item 14.</w:t>
            </w:r>
          </w:p>
        </w:tc>
        <w:tc>
          <w:tcPr>
            <w:tcW w:w="5380" w:type="dxa"/>
            <w:vAlign w:val="bottom"/>
            <w:gridSpan w:val="14"/>
          </w:tcPr>
          <w:p>
            <w:pPr>
              <w:spacing w:after="0"/>
              <w:rPr>
                <w:sz w:val="20"/>
                <w:szCs w:val="20"/>
                <w:color w:val="auto"/>
              </w:rPr>
            </w:pPr>
            <w:r>
              <w:rPr>
                <w:rFonts w:ascii="Arial" w:cs="Arial" w:eastAsia="Arial" w:hAnsi="Arial"/>
                <w:sz w:val="18"/>
                <w:szCs w:val="18"/>
                <w:color w:val="0000FF"/>
              </w:rPr>
              <w:t>Principal Accounting Fees and Services</w:t>
            </w:r>
          </w:p>
        </w:tc>
        <w:tc>
          <w:tcPr>
            <w:tcW w:w="374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500" w:type="dxa"/>
            <w:vAlign w:val="bottom"/>
          </w:tcPr>
          <w:p>
            <w:pPr>
              <w:ind w:left="20"/>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460"/>
              <w:spacing w:after="0" w:line="189" w:lineRule="exact"/>
              <w:rPr>
                <w:sz w:val="20"/>
                <w:szCs w:val="20"/>
                <w:color w:val="auto"/>
              </w:rPr>
            </w:pPr>
            <w:r>
              <w:rPr>
                <w:rFonts w:ascii="Arial" w:cs="Arial" w:eastAsia="Arial" w:hAnsi="Arial"/>
                <w:sz w:val="18"/>
                <w:szCs w:val="18"/>
                <w:color w:val="auto"/>
              </w:rPr>
              <w:t>Item 15.</w:t>
            </w:r>
          </w:p>
        </w:tc>
        <w:tc>
          <w:tcPr>
            <w:tcW w:w="9120" w:type="dxa"/>
            <w:vAlign w:val="bottom"/>
            <w:gridSpan w:val="17"/>
          </w:tcPr>
          <w:p>
            <w:pPr>
              <w:spacing w:after="0" w:line="189" w:lineRule="exact"/>
              <w:rPr>
                <w:sz w:val="20"/>
                <w:szCs w:val="20"/>
                <w:color w:val="auto"/>
              </w:rPr>
            </w:pPr>
            <w:r>
              <w:rPr>
                <w:rFonts w:ascii="Arial" w:cs="Arial" w:eastAsia="Arial" w:hAnsi="Arial"/>
                <w:sz w:val="18"/>
                <w:szCs w:val="18"/>
                <w:color w:val="0000FF"/>
              </w:rPr>
              <w:t>Exhibits, Financial Statement Schedules</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8"/>
        </w:trPr>
        <w:tc>
          <w:tcPr>
            <w:tcW w:w="1500" w:type="dxa"/>
            <w:vAlign w:val="bottom"/>
          </w:tcPr>
          <w:p>
            <w:pPr>
              <w:spacing w:after="0"/>
              <w:rPr>
                <w:sz w:val="24"/>
                <w:szCs w:val="24"/>
                <w:color w:val="auto"/>
              </w:rPr>
            </w:pPr>
          </w:p>
        </w:tc>
        <w:tc>
          <w:tcPr>
            <w:tcW w:w="2860" w:type="dxa"/>
            <w:vAlign w:val="bottom"/>
            <w:tcBorders>
              <w:top w:val="single" w:sz="8" w:color="0000FF"/>
            </w:tcBorders>
            <w:gridSpan w:val="10"/>
          </w:tcPr>
          <w:p>
            <w:pPr>
              <w:spacing w:after="0"/>
              <w:rPr>
                <w:sz w:val="24"/>
                <w:szCs w:val="24"/>
                <w:color w:val="auto"/>
              </w:rPr>
            </w:pPr>
          </w:p>
        </w:tc>
        <w:tc>
          <w:tcPr>
            <w:tcW w:w="1440" w:type="dxa"/>
            <w:vAlign w:val="bottom"/>
            <w:gridSpan w:val="3"/>
          </w:tcPr>
          <w:p>
            <w:pPr>
              <w:jc w:val="center"/>
              <w:ind w:left="991"/>
              <w:spacing w:after="0"/>
              <w:rPr>
                <w:sz w:val="20"/>
                <w:szCs w:val="20"/>
                <w:color w:val="auto"/>
              </w:rPr>
            </w:pPr>
            <w:r>
              <w:rPr>
                <w:rFonts w:ascii="Arial" w:cs="Arial" w:eastAsia="Arial" w:hAnsi="Arial"/>
                <w:sz w:val="18"/>
                <w:szCs w:val="18"/>
                <w:color w:val="auto"/>
                <w:w w:val="79"/>
              </w:rPr>
              <w:t>1</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i w:val="1"/>
          <w:iCs w:val="1"/>
          <w:color w:val="auto"/>
        </w:rPr>
        <w:t>Unless otherwise indicated in this report, "AngioDynamics," the "Company," "we," "our" or "us" refers to AngioDynamics, Inc and our consolidated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58" w:lineRule="exact"/>
        <w:rPr>
          <w:sz w:val="20"/>
          <w:szCs w:val="20"/>
          <w:color w:val="auto"/>
        </w:rPr>
      </w:pPr>
    </w:p>
    <w:p>
      <w:pPr>
        <w:ind w:firstLine="401"/>
        <w:spacing w:after="0" w:line="263" w:lineRule="auto"/>
        <w:rPr>
          <w:sz w:val="20"/>
          <w:szCs w:val="20"/>
          <w:color w:val="auto"/>
        </w:rPr>
      </w:pPr>
      <w:r>
        <w:rPr>
          <w:rFonts w:ascii="Arial" w:cs="Arial" w:eastAsia="Arial" w:hAnsi="Arial"/>
          <w:sz w:val="16"/>
          <w:szCs w:val="16"/>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223" w:lineRule="exact"/>
        <w:rPr>
          <w:sz w:val="20"/>
          <w:szCs w:val="20"/>
          <w:color w:val="auto"/>
        </w:rPr>
      </w:pPr>
    </w:p>
    <w:p>
      <w:pPr>
        <w:ind w:right="60" w:firstLine="401"/>
        <w:spacing w:after="0" w:line="269"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does not assume any obligation to publicly update or revise any forward-looking statements for any reason.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Trademarks</w:t>
      </w:r>
    </w:p>
    <w:p>
      <w:pPr>
        <w:spacing w:after="0" w:line="171" w:lineRule="exact"/>
        <w:rPr>
          <w:sz w:val="20"/>
          <w:szCs w:val="20"/>
          <w:color w:val="auto"/>
        </w:rPr>
      </w:pPr>
    </w:p>
    <w:p>
      <w:pPr>
        <w:ind w:right="60" w:firstLine="401"/>
        <w:spacing w:after="0" w:line="255" w:lineRule="auto"/>
        <w:rPr>
          <w:sz w:val="20"/>
          <w:szCs w:val="20"/>
          <w:color w:val="auto"/>
        </w:rPr>
      </w:pPr>
      <w:r>
        <w:rPr>
          <w:rFonts w:ascii="Arial" w:cs="Arial" w:eastAsia="Arial" w:hAnsi="Arial"/>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20" w:firstLine="385"/>
        <w:spacing w:after="0" w:line="271" w:lineRule="auto"/>
        <w:rPr>
          <w:sz w:val="20"/>
          <w:szCs w:val="20"/>
          <w:color w:val="auto"/>
        </w:rPr>
      </w:pPr>
      <w:r>
        <w:rPr>
          <w:rFonts w:ascii="Arial" w:cs="Arial" w:eastAsia="Arial" w:hAnsi="Arial"/>
          <w:sz w:val="18"/>
          <w:szCs w:val="18"/>
          <w:color w:val="auto"/>
        </w:rPr>
        <w:t>AngioDynamics is a leading and transformative medical technology company focused on restoring healthy blood flow in the body's vascular system, expanding cancer treatment options and improving quality of life for patients.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71" w:lineRule="exact"/>
        <w:rPr>
          <w:sz w:val="20"/>
          <w:szCs w:val="20"/>
          <w:color w:val="auto"/>
        </w:rPr>
      </w:pPr>
    </w:p>
    <w:p>
      <w:pPr>
        <w:ind w:right="60" w:firstLine="385"/>
        <w:spacing w:after="0" w:line="255" w:lineRule="auto"/>
        <w:rPr>
          <w:sz w:val="20"/>
          <w:szCs w:val="20"/>
          <w:color w:val="auto"/>
        </w:rPr>
      </w:pPr>
      <w:r>
        <w:rPr>
          <w:rFonts w:ascii="Arial" w:cs="Arial" w:eastAsia="Arial" w:hAnsi="Arial"/>
          <w:sz w:val="18"/>
          <w:szCs w:val="18"/>
          <w:color w:val="auto"/>
        </w:rPr>
        <w:t>AngioDynamics was founded in Queensbury, N.Y., U.S., in 1988 and began manufacturing and shipping product in the early 1990s. The Company is headquartered in Latham, N.Y., with manufacturing primarily out of the Queensbury facility. Initially dedicated to the research and development of products used in interventional radiology, the Company soon became well established as a producer of diagnostic catheters for non-coronary angiography and thrombolytic delivery systems.</w:t>
      </w:r>
    </w:p>
    <w:p>
      <w:pPr>
        <w:spacing w:after="0" w:line="137" w:lineRule="exact"/>
        <w:rPr>
          <w:sz w:val="20"/>
          <w:szCs w:val="20"/>
          <w:color w:val="auto"/>
        </w:rPr>
      </w:pPr>
    </w:p>
    <w:p>
      <w:pPr>
        <w:jc w:val="both"/>
        <w:ind w:right="60" w:firstLine="385"/>
        <w:spacing w:after="0" w:line="259" w:lineRule="auto"/>
        <w:rPr>
          <w:sz w:val="20"/>
          <w:szCs w:val="20"/>
          <w:color w:val="auto"/>
        </w:rPr>
      </w:pPr>
      <w:r>
        <w:rPr>
          <w:rFonts w:ascii="Arial" w:cs="Arial" w:eastAsia="Arial" w:hAnsi="Arial"/>
          <w:sz w:val="18"/>
          <w:szCs w:val="18"/>
          <w:color w:val="auto"/>
        </w:rPr>
        <w:t>The Company grew over the following years as a result of acquisitions of companies including RITA Medical Systems in January 2007, Oncobionic in May 2008, the assets of Diomed in June 2008, Vortex Medical, Inc. in October 2012, the assets of Microsulis Medical Limited in January 2013, and Clinical Devices in August 2013. These acquisitions added product lines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83" w:right="359" w:bottom="1440" w:gutter="0" w:footer="0" w:header="0"/>
        </w:sectPr>
      </w:pPr>
    </w:p>
    <w:bookmarkStart w:id="4" w:name="page5"/>
    <w:bookmarkEnd w:id="4"/>
    <w:p>
      <w:pPr>
        <w:ind w:right="180"/>
        <w:spacing w:after="0" w:line="259" w:lineRule="auto"/>
        <w:rPr>
          <w:sz w:val="20"/>
          <w:szCs w:val="20"/>
          <w:color w:val="auto"/>
        </w:rPr>
      </w:pPr>
      <w:r>
        <w:rPr>
          <w:rFonts w:ascii="Arial" w:cs="Arial" w:eastAsia="Arial" w:hAnsi="Arial"/>
          <w:sz w:val="18"/>
          <w:szCs w:val="18"/>
          <w:color w:val="auto"/>
        </w:rPr>
        <w:t>including ablation and NanoKnife systems, vascular access products, angiographic products and accessories, dialysis products, drainage products, thrombolytic products, embolization products and venous products. In May 2012, the Company acquired Navilyst Medical's Fluid Management business, which the Company sold in May 2019 to Medline Industries, Inc. pursuant to an asset purchase agreement.</w:t>
      </w:r>
    </w:p>
    <w:p>
      <w:pPr>
        <w:spacing w:after="0" w:line="132" w:lineRule="exact"/>
        <w:rPr>
          <w:sz w:val="20"/>
          <w:szCs w:val="20"/>
          <w:color w:val="auto"/>
        </w:rPr>
      </w:pPr>
    </w:p>
    <w:p>
      <w:pPr>
        <w:ind w:right="100" w:firstLine="385"/>
        <w:spacing w:after="0" w:line="253" w:lineRule="auto"/>
        <w:rPr>
          <w:sz w:val="20"/>
          <w:szCs w:val="20"/>
          <w:color w:val="auto"/>
        </w:rPr>
      </w:pPr>
      <w:r>
        <w:rPr>
          <w:rFonts w:ascii="Arial" w:cs="Arial" w:eastAsia="Arial" w:hAnsi="Arial"/>
          <w:sz w:val="18"/>
          <w:szCs w:val="18"/>
          <w:color w:val="auto"/>
        </w:rPr>
        <w:t>In August 2018, the Company acquired the BioSentry product line from Surgical Specialties, LLC. In September 2018, the Company acquired RadiaDyne, which included endorectal and vaginal balloons. On October 2, 2019, the Company acquired Eximo Medical, Ltd., a pre-commercial stage medical device company and its proprietary 355nm laser atherectomy technology (now called Auryon), which treats Peripheral Artery Disease. On December 17, 2019, the Company acquired the C3 Wave tip location asset from Medical Components Inc. On July 27, 2021, AngioDynamics acquired the Camaro Support Catheter asset from QX Medical, LLC.</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AngioDynamics is publicly traded on the NASDAQ stock exchange under the symbol ANGO.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58" w:lineRule="exact"/>
        <w:rPr>
          <w:sz w:val="20"/>
          <w:szCs w:val="20"/>
          <w:color w:val="auto"/>
        </w:rPr>
      </w:pPr>
    </w:p>
    <w:p>
      <w:pPr>
        <w:ind w:right="320" w:firstLine="385"/>
        <w:spacing w:after="0" w:line="255" w:lineRule="auto"/>
        <w:rPr>
          <w:sz w:val="20"/>
          <w:szCs w:val="20"/>
          <w:color w:val="auto"/>
        </w:rPr>
      </w:pPr>
      <w:r>
        <w:rPr>
          <w:rFonts w:ascii="Arial" w:cs="Arial" w:eastAsia="Arial" w:hAnsi="Arial"/>
          <w:sz w:val="18"/>
          <w:szCs w:val="18"/>
          <w:color w:val="auto"/>
        </w:rPr>
        <w:t>Our product offerings fall within two segments, Med Tech and Med Device. All products discussed below have been cleared for sale in the United States by the Food and Drug Administration. International regulatory clearances vary by product and jurisdiction.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 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Auryon</w:t>
      </w:r>
    </w:p>
    <w:p>
      <w:pPr>
        <w:spacing w:after="0" w:line="167" w:lineRule="exact"/>
        <w:rPr>
          <w:sz w:val="20"/>
          <w:szCs w:val="20"/>
          <w:color w:val="auto"/>
        </w:rPr>
      </w:pPr>
    </w:p>
    <w:p>
      <w:pPr>
        <w:ind w:right="5760" w:firstLine="385"/>
        <w:spacing w:after="0" w:line="285" w:lineRule="auto"/>
        <w:rPr>
          <w:sz w:val="20"/>
          <w:szCs w:val="20"/>
          <w:color w:val="auto"/>
        </w:rPr>
      </w:pPr>
      <w:r>
        <w:rPr>
          <w:rFonts w:ascii="Arial" w:cs="Arial" w:eastAsia="Arial" w:hAnsi="Arial"/>
          <w:sz w:val="16"/>
          <w:szCs w:val="16"/>
          <w:color w:val="auto"/>
        </w:rPr>
        <w:t>The Auryon Atherectomy System is one of our latest advancements in peripheral arterial disease. The Auryon system is designed to deliver an optimized wavelength, pulse width, and amplitude to remove lesions while preserving vessel wall endothelium. Additionally, the Auryon system includes aspiration which enhances the safety of the procedure. Regardless of lesion type, the Auryon system provides safety and efficacy. The Auryon system is indicated for use in the treatment, including atherectomy, of infrainguinal stenoses and occlusions, including in-stent restenosis (ISR), and to aspirate thrombus adjacent to stenoses in native and stented infrainguinal arteries.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-1377315</wp:posOffset>
            </wp:positionV>
            <wp:extent cx="2411730" cy="1553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11730" cy="15538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Thrombectomy</w:t>
      </w:r>
    </w:p>
    <w:p>
      <w:pPr>
        <w:spacing w:after="0" w:line="234" w:lineRule="exact"/>
        <w:rPr>
          <w:sz w:val="20"/>
          <w:szCs w:val="20"/>
          <w:color w:val="auto"/>
        </w:rPr>
      </w:pPr>
    </w:p>
    <w:p>
      <w:pPr>
        <w:ind w:right="200" w:firstLine="385"/>
        <w:spacing w:after="0" w:line="265" w:lineRule="auto"/>
        <w:rPr>
          <w:sz w:val="20"/>
          <w:szCs w:val="20"/>
          <w:color w:val="auto"/>
        </w:rPr>
      </w:pPr>
      <w:r>
        <w:rPr>
          <w:rFonts w:ascii="Arial" w:cs="Arial" w:eastAsia="Arial" w:hAnsi="Arial"/>
          <w:sz w:val="17"/>
          <w:szCs w:val="17"/>
          <w:color w:val="auto"/>
        </w:rPr>
        <w:t>Our Thrombus Management portfolio includes the AlphaVac Mechanical Thrombectomy System, AngioVac venous drainage cannula and circuit, as well as catheter directed thrombolytic devices, including the Uni-Fuse system, the Uni-Fuse+ system, the Pulse Spray system and SpeedLyser infusion catheters. AngioDynamics offers a range of options when treating thrombus and removing fresh, soft thrombi or emboli.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AngioVac</w:t>
      </w:r>
    </w:p>
    <w:p>
      <w:pPr>
        <w:spacing w:after="0" w:line="114" w:lineRule="exact"/>
        <w:rPr>
          <w:sz w:val="20"/>
          <w:szCs w:val="20"/>
          <w:color w:val="auto"/>
        </w:rPr>
      </w:pPr>
    </w:p>
    <w:p>
      <w:pPr>
        <w:ind w:right="6080" w:firstLine="385"/>
        <w:spacing w:after="0" w:line="267" w:lineRule="auto"/>
        <w:rPr>
          <w:sz w:val="20"/>
          <w:szCs w:val="20"/>
          <w:color w:val="auto"/>
        </w:rPr>
      </w:pPr>
      <w:r>
        <w:rPr>
          <w:rFonts w:ascii="Arial" w:cs="Arial" w:eastAsia="Arial" w:hAnsi="Arial"/>
          <w:sz w:val="17"/>
          <w:szCs w:val="17"/>
          <w:color w:val="auto"/>
        </w:rPr>
        <w:t>Our AngioVac venous drainage system includes a Venous Drainage Cannula and Extracorporeal Circuit. The cannula is indicated for use as a venous drainage cannula and for removal of fresh, soft thrombi or emboli during extracorporeal bypass. The AngioVac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-1233170</wp:posOffset>
            </wp:positionV>
            <wp:extent cx="1774825" cy="1528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82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85"/>
        <w:spacing w:after="0" w:line="281" w:lineRule="auto"/>
        <w:rPr>
          <w:sz w:val="20"/>
          <w:szCs w:val="20"/>
          <w:color w:val="auto"/>
        </w:rPr>
      </w:pPr>
      <w:r>
        <w:rPr>
          <w:rFonts w:ascii="Arial" w:cs="Arial" w:eastAsia="Arial" w:hAnsi="Arial"/>
          <w:sz w:val="17"/>
          <w:szCs w:val="17"/>
          <w:color w:val="auto"/>
        </w:rPr>
        <w:t>The AngioVac venous drainage cannula is a 22 French flat coil-reinforced cannula designed with a proprietary self-expanding nitinol reinforced funnel shaped distal tip. The funnel shaped tip enhances venous drainage flow when the distal tip is exposed by retracting the sheath, helps prevent clogging of the cannula with commonly encountered undesirable intravascular material, and facilitates embolic removal of such extraneous material.</w:t>
      </w: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687"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AlphaVac</w:t>
      </w:r>
    </w:p>
    <w:p>
      <w:pPr>
        <w:spacing w:after="0" w:line="248" w:lineRule="exact"/>
        <w:rPr>
          <w:sz w:val="20"/>
          <w:szCs w:val="20"/>
          <w:color w:val="auto"/>
        </w:rPr>
      </w:pPr>
    </w:p>
    <w:p>
      <w:pPr>
        <w:ind w:right="5840" w:firstLine="385"/>
        <w:spacing w:after="0" w:line="286" w:lineRule="auto"/>
        <w:rPr>
          <w:sz w:val="20"/>
          <w:szCs w:val="20"/>
          <w:color w:val="auto"/>
        </w:rPr>
      </w:pPr>
      <w:r>
        <w:rPr>
          <w:rFonts w:ascii="Arial" w:cs="Arial" w:eastAsia="Arial" w:hAnsi="Arial"/>
          <w:sz w:val="16"/>
          <w:szCs w:val="16"/>
          <w:color w:val="auto"/>
        </w:rPr>
        <w:t>The AlphaVac System is an emergent mechanical aspiration device that eliminates the need for perfusionist support. AlphaVac is offered in both a 22 French flat coil-reinforced cannula and an 18 French braided reinforced cannula each designed with a proprietary self-expanding nitinol reinforced funnel shaped distal tip. AlphaVac is indicated for the non-surgical removal of thrombi or emboli from vasculature as well as aspiration of contrast media and other fluids from the vasculature. The cannula is intended for use in the venous system. The handle is indicated as a vacuum source for the AlphaVac MMA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-1141095</wp:posOffset>
            </wp:positionV>
            <wp:extent cx="1825625" cy="1825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562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Thrombolytic Catheters</w:t>
      </w:r>
    </w:p>
    <w:p>
      <w:pPr>
        <w:spacing w:after="0" w:line="167" w:lineRule="exact"/>
        <w:rPr>
          <w:sz w:val="20"/>
          <w:szCs w:val="20"/>
          <w:color w:val="auto"/>
        </w:rPr>
      </w:pPr>
    </w:p>
    <w:p>
      <w:pPr>
        <w:ind w:right="160" w:firstLine="385"/>
        <w:spacing w:after="0" w:line="255" w:lineRule="auto"/>
        <w:rPr>
          <w:sz w:val="20"/>
          <w:szCs w:val="20"/>
          <w:color w:val="auto"/>
        </w:rPr>
      </w:pPr>
      <w:r>
        <w:rPr>
          <w:rFonts w:ascii="Arial" w:cs="Arial" w:eastAsia="Arial" w:hAnsi="Arial"/>
          <w:sz w:val="18"/>
          <w:szCs w:val="18"/>
          <w:color w:val="auto"/>
        </w:rPr>
        <w:t>Thrombolytic catheters are used to deliver thrombolytic agents, which are drugs that dissolve blood clots in hemodialysis access grafts, arteries, veins and surgical bypass grafts. AngioDynamics’ Uni-Fuse infusion catheter features pressure response outlets, a proprietary slit technology that provides a consistent, even distribution of fluid volume along the entire length of the infusion pattern, designed to provide an advantage over standard side-hole catheters.</w:t>
      </w:r>
    </w:p>
    <w:p>
      <w:pPr>
        <w:spacing w:after="0" w:line="137" w:lineRule="exact"/>
        <w:rPr>
          <w:sz w:val="20"/>
          <w:szCs w:val="20"/>
          <w:color w:val="auto"/>
        </w:rPr>
      </w:pPr>
    </w:p>
    <w:p>
      <w:pPr>
        <w:ind w:right="60" w:firstLine="385"/>
        <w:spacing w:after="0" w:line="271" w:lineRule="auto"/>
        <w:rPr>
          <w:sz w:val="20"/>
          <w:szCs w:val="20"/>
          <w:color w:val="auto"/>
        </w:rPr>
      </w:pPr>
      <w:r>
        <w:rPr>
          <w:rFonts w:ascii="Arial" w:cs="Arial" w:eastAsia="Arial" w:hAnsi="Arial"/>
          <w:sz w:val="18"/>
          <w:szCs w:val="18"/>
          <w:color w:val="auto"/>
        </w:rPr>
        <w:t>We also offer the Pulse-Spray infusion system for high pressure, pulsed delivery of lytic agents designed to shorten treatment time, and the SpeedLyser infusion system built for dialysis grafts and fistulas.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NanoKnife</w:t>
      </w:r>
    </w:p>
    <w:p>
      <w:pPr>
        <w:spacing w:after="0" w:line="167" w:lineRule="exact"/>
        <w:rPr>
          <w:sz w:val="20"/>
          <w:szCs w:val="20"/>
          <w:color w:val="auto"/>
        </w:rPr>
      </w:pPr>
    </w:p>
    <w:p>
      <w:pPr>
        <w:ind w:right="5900" w:firstLine="385"/>
        <w:spacing w:after="0" w:line="286" w:lineRule="auto"/>
        <w:rPr>
          <w:sz w:val="20"/>
          <w:szCs w:val="20"/>
          <w:color w:val="auto"/>
        </w:rPr>
      </w:pPr>
      <w:r>
        <w:rPr>
          <w:rFonts w:ascii="Arial" w:cs="Arial" w:eastAsia="Arial" w:hAnsi="Arial"/>
          <w:sz w:val="16"/>
          <w:szCs w:val="16"/>
          <w:color w:val="auto"/>
        </w:rPr>
        <w:t>The NanoKnife IRE Ablation System is an alternative to traditional thermal ablation that received 510(k) clearance from the Food and Drug Administration for the surgical ablation of soft tissue. The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the NanoKnife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-1141095</wp:posOffset>
            </wp:positionV>
            <wp:extent cx="2794000" cy="1392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000"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85"/>
        <w:spacing w:after="0" w:line="297" w:lineRule="auto"/>
        <w:rPr>
          <w:sz w:val="20"/>
          <w:szCs w:val="20"/>
          <w:color w:val="auto"/>
        </w:rPr>
      </w:pPr>
      <w:r>
        <w:rPr>
          <w:rFonts w:ascii="Arial" w:cs="Arial" w:eastAsia="Arial" w:hAnsi="Arial"/>
          <w:sz w:val="16"/>
          <w:szCs w:val="16"/>
          <w:color w:val="auto"/>
        </w:rPr>
        <w:t>The NanoKnife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2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Med Device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Products (Core)</w:t>
      </w:r>
    </w:p>
    <w:p>
      <w:pPr>
        <w:spacing w:after="0" w:line="167" w:lineRule="exact"/>
        <w:rPr>
          <w:sz w:val="20"/>
          <w:szCs w:val="20"/>
          <w:color w:val="auto"/>
        </w:rPr>
      </w:pPr>
    </w:p>
    <w:p>
      <w:pPr>
        <w:ind w:right="120" w:firstLine="385"/>
        <w:spacing w:after="0" w:line="271" w:lineRule="auto"/>
        <w:rPr>
          <w:sz w:val="20"/>
          <w:szCs w:val="20"/>
          <w:color w:val="auto"/>
        </w:rPr>
      </w:pPr>
      <w:r>
        <w:rPr>
          <w:rFonts w:ascii="Arial" w:cs="Arial" w:eastAsia="Arial" w:hAnsi="Arial"/>
          <w:sz w:val="18"/>
          <w:szCs w:val="18"/>
          <w:color w:val="auto"/>
        </w:rPr>
        <w:t>We offer a comprehensive portfolio for minimally invasive peripheral products. Product categories include an extensive line of angiographic catheters and diagnostic and interventional guidewires, percutaneous drainage catheters and coaxial micro-introducer kits.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Angiographic Products and Accessories</w:t>
      </w:r>
    </w:p>
    <w:p>
      <w:pPr>
        <w:spacing w:after="0" w:line="167" w:lineRule="exact"/>
        <w:rPr>
          <w:sz w:val="20"/>
          <w:szCs w:val="20"/>
          <w:color w:val="auto"/>
        </w:rPr>
      </w:pPr>
    </w:p>
    <w:p>
      <w:pPr>
        <w:ind w:right="100" w:firstLine="385"/>
        <w:spacing w:after="0" w:line="259" w:lineRule="auto"/>
        <w:rPr>
          <w:sz w:val="20"/>
          <w:szCs w:val="20"/>
          <w:color w:val="auto"/>
        </w:rPr>
      </w:pPr>
      <w:r>
        <w:rPr>
          <w:rFonts w:ascii="Arial" w:cs="Arial" w:eastAsia="Arial" w:hAnsi="Arial"/>
          <w:sz w:val="18"/>
          <w:szCs w:val="18"/>
          <w:color w:val="auto"/>
        </w:rPr>
        <w:t>Angiographic products and accessories are used during peripheral diagnostic and interventional procedures. These products permit physicians to reach targeted locations to deliver contrast media for visualization purposes and therapeutic agents and devices, such as percutaneous transluminal angioplasty (PTA) balloons. Angiographic products consist of angiographic catheters and guidewires.</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angiographic catheter line includes the following brands, all with radiopaque tips to assure excellent visibility under fluoroscopy:</w:t>
      </w:r>
    </w:p>
    <w:p>
      <w:pPr>
        <w:spacing w:after="0" w:line="167" w:lineRule="exact"/>
        <w:rPr>
          <w:sz w:val="20"/>
          <w:szCs w:val="20"/>
          <w:color w:val="auto"/>
        </w:rPr>
      </w:pPr>
    </w:p>
    <w:p>
      <w:pPr>
        <w:ind w:left="640" w:right="20" w:hanging="312"/>
        <w:spacing w:after="0" w:line="28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Soft-Vu flush catheters are available in flush and selective varieties. Flush catheters are used in procedures where a high flow of contrast is required for “big picture” diagnostics. Anomalies discovered through a flush angiogram may require further investigation into a vessel of interest. Soft-Vu selective catheters are used to gain access to smaller or more distal vessels and advance the catheter or wire into the diseased section.</w:t>
      </w:r>
    </w:p>
    <w:p>
      <w:pPr>
        <w:spacing w:after="0" w:line="1" w:lineRule="exact"/>
        <w:rPr>
          <w:rFonts w:ascii="Arial" w:cs="Arial" w:eastAsia="Arial" w:hAnsi="Arial"/>
          <w:sz w:val="16"/>
          <w:szCs w:val="16"/>
          <w:color w:val="auto"/>
        </w:rPr>
      </w:pPr>
    </w:p>
    <w:p>
      <w:pPr>
        <w:ind w:left="640" w:right="42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Accu-Vu sizing catheters feature radiopaque marker bands at the distal portion of the catheter to provide a highly accurate measurement of the patient’s anatomy. This enables precise measurement for interventional devices such as stents.</w:t>
      </w:r>
    </w:p>
    <w:p>
      <w:pPr>
        <w:ind w:left="640" w:right="300" w:hanging="312"/>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Mariner catheters have a hydrophilic coating that, when combined with water, reduces friction. This makes insertion potentially easier and more comfortable for the patient, and can also be used for advancing through tortuous anatomy.</w:t>
      </w:r>
    </w:p>
    <w:p>
      <w:pPr>
        <w:spacing w:after="0" w:line="134" w:lineRule="exact"/>
        <w:rPr>
          <w:sz w:val="20"/>
          <w:szCs w:val="20"/>
          <w:color w:val="auto"/>
        </w:rPr>
      </w:pPr>
    </w:p>
    <w:p>
      <w:pPr>
        <w:ind w:right="140" w:firstLine="385"/>
        <w:spacing w:after="0" w:line="271" w:lineRule="auto"/>
        <w:rPr>
          <w:sz w:val="20"/>
          <w:szCs w:val="20"/>
          <w:color w:val="auto"/>
        </w:rPr>
      </w:pPr>
      <w:r>
        <w:rPr>
          <w:rFonts w:ascii="Arial" w:cs="Arial" w:eastAsia="Arial" w:hAnsi="Arial"/>
          <w:sz w:val="18"/>
          <w:szCs w:val="18"/>
          <w:color w:val="auto"/>
        </w:rPr>
        <w:t>AngioDynamics guidewires include Nit-Vu (featuring a kink-resistant NiTi alloy core facilitating smooth navigation through tortuous vasculature and accurate wire control) and Polytetrafluoroethylene (PTFE) Coated diagnostic guidewires (fixed core and movable core).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AngioDynamics catheters and guidewires are available in more than 500 tip configurations and lengths.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Drainage Products</w:t>
      </w:r>
    </w:p>
    <w:p>
      <w:pPr>
        <w:spacing w:after="0" w:line="167" w:lineRule="exact"/>
        <w:rPr>
          <w:sz w:val="20"/>
          <w:szCs w:val="20"/>
          <w:color w:val="auto"/>
        </w:rPr>
      </w:pPr>
    </w:p>
    <w:p>
      <w:pPr>
        <w:ind w:right="320" w:firstLine="385"/>
        <w:spacing w:after="0" w:line="281" w:lineRule="auto"/>
        <w:rPr>
          <w:sz w:val="20"/>
          <w:szCs w:val="20"/>
          <w:color w:val="auto"/>
        </w:rPr>
      </w:pPr>
      <w:r>
        <w:rPr>
          <w:rFonts w:ascii="Arial" w:cs="Arial" w:eastAsia="Arial" w:hAnsi="Arial"/>
          <w:sz w:val="17"/>
          <w:szCs w:val="17"/>
          <w:color w:val="auto"/>
        </w:rPr>
        <w:t>Drainage products percutaneously drain abscesses and other fluid pockets. An abscess is a tender inflamed mass that typically must be drained by a physician. AngioDynamics offers two brands of drainage catheters for multi-purpose/general, nephrostomy and biliary drainage: Total Abscession and Exodus. Each offer features and benefits depending on case presentation and physician preferences.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 Access Kits</w:t>
      </w:r>
    </w:p>
    <w:p>
      <w:pPr>
        <w:spacing w:after="0" w:line="167" w:lineRule="exact"/>
        <w:rPr>
          <w:sz w:val="20"/>
          <w:szCs w:val="20"/>
          <w:color w:val="auto"/>
        </w:rPr>
      </w:pPr>
    </w:p>
    <w:p>
      <w:pPr>
        <w:ind w:firstLine="385"/>
        <w:spacing w:after="0" w:line="307" w:lineRule="auto"/>
        <w:rPr>
          <w:sz w:val="20"/>
          <w:szCs w:val="20"/>
          <w:color w:val="auto"/>
        </w:rPr>
      </w:pPr>
      <w:r>
        <w:rPr>
          <w:rFonts w:ascii="Arial" w:cs="Arial" w:eastAsia="Arial" w:hAnsi="Arial"/>
          <w:sz w:val="16"/>
          <w:szCs w:val="16"/>
          <w:color w:val="auto"/>
        </w:rPr>
        <w:t>Our Micro Access kits provide interventional physicians a smaller introducer system for minimally-invasive procedures. Our Micro Access product line provides physicians with the means to choose from the wide selection of configurations, including guidewire, needle and introducer options. Two lines are available in stiff/standard, 10cm or 15cm and echogenic for visibility under ultrasound guidance: Micro Introducer Kit and Ministick 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8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BioFlo</w:t>
      </w:r>
    </w:p>
    <w:p>
      <w:pPr>
        <w:spacing w:after="0" w:line="274" w:lineRule="exact"/>
        <w:rPr>
          <w:sz w:val="20"/>
          <w:szCs w:val="20"/>
          <w:color w:val="auto"/>
        </w:rPr>
      </w:pPr>
    </w:p>
    <w:p>
      <w:pPr>
        <w:ind w:right="5820" w:firstLine="385"/>
        <w:spacing w:after="0" w:line="266" w:lineRule="auto"/>
        <w:rPr>
          <w:sz w:val="20"/>
          <w:szCs w:val="20"/>
          <w:color w:val="auto"/>
        </w:rPr>
      </w:pPr>
      <w:r>
        <w:rPr>
          <w:rFonts w:ascii="Arial" w:cs="Arial" w:eastAsia="Arial" w:hAnsi="Arial"/>
          <w:sz w:val="17"/>
          <w:szCs w:val="17"/>
          <w:color w:val="auto"/>
        </w:rPr>
        <w:t>AngioDynamics offers the BioFlo catheter, the only catheter on the market with Endexo Technology, a material more resistant to 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The BioFlo catheter’s long-term durability and efficacy is intended to provide clinicians a high degree of safety and confidence in providing better patient care and improved patient outcomes. BioFlo catheters are available across the Vascular Access family of products, including PICCs, midlines, ports and dialysis catheters.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-1539240</wp:posOffset>
            </wp:positionV>
            <wp:extent cx="2794000" cy="139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000" cy="13925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Midlines</w:t>
      </w:r>
    </w:p>
    <w:p>
      <w:pPr>
        <w:spacing w:after="0" w:line="167" w:lineRule="exact"/>
        <w:rPr>
          <w:sz w:val="20"/>
          <w:szCs w:val="20"/>
          <w:color w:val="auto"/>
        </w:rPr>
      </w:pPr>
    </w:p>
    <w:p>
      <w:pPr>
        <w:ind w:firstLine="385"/>
        <w:spacing w:after="0" w:line="255" w:lineRule="auto"/>
        <w:rPr>
          <w:sz w:val="20"/>
          <w:szCs w:val="20"/>
          <w:color w:val="auto"/>
        </w:rPr>
      </w:pPr>
      <w:r>
        <w:rPr>
          <w:rFonts w:ascii="Arial" w:cs="Arial" w:eastAsia="Arial" w:hAnsi="Arial"/>
          <w:sz w:val="18"/>
          <w:szCs w:val="18"/>
          <w:color w:val="auto"/>
        </w:rPr>
        <w:t>Midline catheters are inserted via the same veins used for PICC placement in the middle third of the upper arm; however, the midline catheter is advanced and placed so that the catheter tip is level or near the level of the axilla and distal to the shoulder. Our Midline product is a BioFlo Midline Catheter which incorporates Endexo Technology and is an effective solution to preserving a patient’s peripheral access. It provides a cost-effective alternative to multiple IV site rotations for patients who need short-term venous access.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PICCs</w:t>
      </w:r>
    </w:p>
    <w:p>
      <w:pPr>
        <w:spacing w:after="0" w:line="167" w:lineRule="exact"/>
        <w:rPr>
          <w:sz w:val="20"/>
          <w:szCs w:val="20"/>
          <w:color w:val="auto"/>
        </w:rPr>
      </w:pPr>
    </w:p>
    <w:p>
      <w:pPr>
        <w:jc w:val="both"/>
        <w:ind w:right="140" w:firstLine="385"/>
        <w:spacing w:after="0" w:line="259" w:lineRule="auto"/>
        <w:rPr>
          <w:sz w:val="20"/>
          <w:szCs w:val="20"/>
          <w:color w:val="auto"/>
        </w:rPr>
      </w:pPr>
      <w:r>
        <w:rPr>
          <w:rFonts w:ascii="Arial" w:cs="Arial" w:eastAsia="Arial" w:hAnsi="Arial"/>
          <w:sz w:val="18"/>
          <w:szCs w:val="18"/>
          <w:color w:val="auto"/>
        </w:rPr>
        <w:t>A peripherally inserted central catheter, or PICC, is a long thin catheter that is inserted into a peripheral vein, typically in the upper arm, and advanced until the catheter tip terminates in a large vein in the chest near the heart to obtain intravenous access. PICCs can typically be used for prolonged periods of time and provide an alternative to central venous catheters. Our PICC product offerings include:</w:t>
      </w:r>
    </w:p>
    <w:p>
      <w:pPr>
        <w:spacing w:after="0" w:line="132" w:lineRule="exact"/>
        <w:rPr>
          <w:sz w:val="20"/>
          <w:szCs w:val="20"/>
          <w:color w:val="auto"/>
        </w:rPr>
      </w:pPr>
    </w:p>
    <w:p>
      <w:pPr>
        <w:ind w:left="640" w:hanging="312"/>
        <w:spacing w:after="0" w:line="267"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BioFlo PICC</w:t>
      </w:r>
      <w:r>
        <w:rPr>
          <w:rFonts w:ascii="Arial" w:cs="Arial" w:eastAsia="Arial" w:hAnsi="Arial"/>
          <w:sz w:val="17"/>
          <w:szCs w:val="17"/>
          <w:color w:val="auto"/>
        </w:rPr>
        <w:t>: Our BioFlo PICC line is the only power injectable PICC available that incorporates Endexo Technology into the manufacturing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design of the catheter. Advanced features such as large lumen diameters allow the BioFlo PICC to deliver the power injection flow rates required for contrast-enhanced Computed Tomography (CT) scans compatible with up to 325 psi CT injections.</w:t>
      </w:r>
    </w:p>
    <w:p>
      <w:pPr>
        <w:spacing w:after="0" w:line="2" w:lineRule="exact"/>
        <w:rPr>
          <w:rFonts w:ascii="Arial" w:cs="Arial" w:eastAsia="Arial" w:hAnsi="Arial"/>
          <w:sz w:val="17"/>
          <w:szCs w:val="17"/>
          <w:color w:val="auto"/>
        </w:rPr>
      </w:pPr>
    </w:p>
    <w:p>
      <w:pPr>
        <w:ind w:left="640" w:right="4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Xcela PICC</w:t>
      </w:r>
      <w:r>
        <w:rPr>
          <w:rFonts w:ascii="Arial" w:cs="Arial" w:eastAsia="Arial" w:hAnsi="Arial"/>
          <w:sz w:val="18"/>
          <w:szCs w:val="18"/>
          <w:color w:val="auto"/>
        </w:rPr>
        <w:t>: The Xcela PICC line is designed to provide a high degree of safety, ease and confidence in patient care. Advanced features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large lumen diameters allow the Xcela PICC to deliver the power injection flow rates required for contrast-enhanced CTs compatible with up to 325 psi CT injections.</w:t>
      </w:r>
    </w:p>
    <w:p>
      <w:pPr>
        <w:ind w:left="640" w:right="180" w:hanging="312"/>
        <w:spacing w:after="0" w:line="25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PASV Valve Technology: </w:t>
      </w:r>
      <w:r>
        <w:rPr>
          <w:rFonts w:ascii="Arial" w:cs="Arial" w:eastAsia="Arial" w:hAnsi="Arial"/>
          <w:sz w:val="18"/>
          <w:szCs w:val="18"/>
          <w:color w:val="auto"/>
        </w:rPr>
        <w:t>The PASV Valve Technology is available in both BioFlo and Xcela lines and is designed to automatically resist backflow</w:t>
      </w:r>
      <w:r>
        <w:rPr>
          <w:rFonts w:ascii="Arial" w:cs="Arial" w:eastAsia="Arial" w:hAnsi="Arial"/>
          <w:sz w:val="18"/>
          <w:szCs w:val="18"/>
          <w:i w:val="1"/>
          <w:iCs w:val="1"/>
          <w:color w:val="auto"/>
        </w:rPr>
        <w:t xml:space="preserve"> </w:t>
      </w:r>
      <w:r>
        <w:rPr>
          <w:rFonts w:ascii="Arial" w:cs="Arial" w:eastAsia="Arial" w:hAnsi="Arial"/>
          <w:sz w:val="18"/>
          <w:szCs w:val="18"/>
          <w:color w:val="auto"/>
        </w:rPr>
        <w:t>and reduce blood reflux that could lead to catheter-related complications.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C3 Wave PICC tip location system</w:t>
      </w:r>
    </w:p>
    <w:p>
      <w:pPr>
        <w:spacing w:after="0" w:line="167" w:lineRule="exact"/>
        <w:rPr>
          <w:sz w:val="20"/>
          <w:szCs w:val="20"/>
          <w:color w:val="auto"/>
        </w:rPr>
      </w:pPr>
    </w:p>
    <w:p>
      <w:pPr>
        <w:ind w:right="720" w:firstLine="385"/>
        <w:spacing w:after="0" w:line="271" w:lineRule="auto"/>
        <w:rPr>
          <w:sz w:val="20"/>
          <w:szCs w:val="20"/>
          <w:color w:val="auto"/>
        </w:rPr>
      </w:pPr>
      <w:r>
        <w:rPr>
          <w:rFonts w:ascii="Arial" w:cs="Arial" w:eastAsia="Arial" w:hAnsi="Arial"/>
          <w:sz w:val="18"/>
          <w:szCs w:val="18"/>
          <w:color w:val="auto"/>
        </w:rPr>
        <w:t>The C3 Wave system is our innovative, wireless, app-based ECG system which eliminates the need for a confirmatory chest x-ray of PICC tip placement, allowing greater patient access to the Company’s proprietary BioFlo PICCs.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Ports</w:t>
      </w:r>
    </w:p>
    <w:p>
      <w:pPr>
        <w:spacing w:after="0" w:line="167" w:lineRule="exact"/>
        <w:rPr>
          <w:sz w:val="20"/>
          <w:szCs w:val="20"/>
          <w:color w:val="auto"/>
        </w:rPr>
      </w:pPr>
    </w:p>
    <w:p>
      <w:pPr>
        <w:ind w:right="140" w:firstLine="385"/>
        <w:spacing w:after="0" w:line="270" w:lineRule="auto"/>
        <w:rPr>
          <w:sz w:val="20"/>
          <w:szCs w:val="20"/>
          <w:color w:val="auto"/>
        </w:rPr>
      </w:pPr>
      <w:r>
        <w:rPr>
          <w:rFonts w:ascii="Arial" w:cs="Arial" w:eastAsia="Arial" w:hAnsi="Arial"/>
          <w:sz w:val="17"/>
          <w:szCs w:val="17"/>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25" w:lineRule="exact"/>
        <w:rPr>
          <w:sz w:val="20"/>
          <w:szCs w:val="20"/>
          <w:color w:val="auto"/>
        </w:rPr>
      </w:pPr>
    </w:p>
    <w:p>
      <w:pPr>
        <w:ind w:left="640" w:right="100" w:hanging="312"/>
        <w:spacing w:after="0" w:line="25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BioFlo Port</w:t>
      </w:r>
      <w:r>
        <w:rPr>
          <w:rFonts w:ascii="Arial" w:cs="Arial" w:eastAsia="Arial" w:hAnsi="Arial"/>
          <w:sz w:val="18"/>
          <w:szCs w:val="18"/>
          <w:color w:val="auto"/>
        </w:rPr>
        <w:t>: Our BioFlo Port was the first port available featuring a catheter with Endexo Technology. Advanced features of the BioFlo Port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multiple profile and catheter options, a large septum area for ease of access and the ability to administer contrast through a CT injection for purposes of imaging.</w:t>
      </w:r>
    </w:p>
    <w:p>
      <w:pPr>
        <w:ind w:left="640" w:right="40" w:hanging="312"/>
        <w:spacing w:after="0" w:line="25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SmartPort, SmartPort+, SmartPort Plastic</w:t>
      </w:r>
      <w:r>
        <w:rPr>
          <w:rFonts w:ascii="Arial" w:cs="Arial" w:eastAsia="Arial" w:hAnsi="Arial"/>
          <w:sz w:val="18"/>
          <w:szCs w:val="18"/>
          <w:color w:val="auto"/>
        </w:rPr>
        <w:t>: The SmartPort power-injectable port with Vortex technology offers the ability for a clinician to access a</w:t>
      </w:r>
      <w:r>
        <w:rPr>
          <w:rFonts w:ascii="Arial" w:cs="Arial" w:eastAsia="Arial" w:hAnsi="Arial"/>
          <w:sz w:val="18"/>
          <w:szCs w:val="18"/>
          <w:i w:val="1"/>
          <w:iCs w:val="1"/>
          <w:color w:val="auto"/>
        </w:rPr>
        <w:t xml:space="preserve"> </w:t>
      </w:r>
      <w:r>
        <w:rPr>
          <w:rFonts w:ascii="Arial" w:cs="Arial" w:eastAsia="Arial" w:hAnsi="Arial"/>
          <w:sz w:val="18"/>
          <w:szCs w:val="18"/>
          <w:color w:val="auto"/>
        </w:rPr>
        <w:t>vein for both the delivery of medications or fluids and for administering power-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8" w:name="page9"/>
    <w:bookmarkEnd w:id="8"/>
    <w:p>
      <w:pPr>
        <w:ind w:left="640" w:right="200"/>
        <w:spacing w:after="0" w:line="283" w:lineRule="auto"/>
        <w:rPr>
          <w:sz w:val="20"/>
          <w:szCs w:val="20"/>
          <w:color w:val="auto"/>
        </w:rPr>
      </w:pPr>
      <w:r>
        <w:rPr>
          <w:rFonts w:ascii="Arial" w:cs="Arial" w:eastAsia="Arial" w:hAnsi="Arial"/>
          <w:sz w:val="16"/>
          <w:szCs w:val="16"/>
          <w:color w:val="auto"/>
        </w:rPr>
        <w:t>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SmartPort port line is available in standard, mini and low-profiles to accommodate more patient anatomies. The SmartPort+ port line combines Vortex technology with BioFlo catheters. In addition to the three titanium port body sizes, there is a plastic port body.</w:t>
      </w:r>
    </w:p>
    <w:p>
      <w:pPr>
        <w:spacing w:after="0" w:line="1" w:lineRule="exact"/>
        <w:rPr>
          <w:sz w:val="20"/>
          <w:szCs w:val="20"/>
          <w:color w:val="auto"/>
        </w:rPr>
      </w:pPr>
    </w:p>
    <w:p>
      <w:pPr>
        <w:ind w:left="640" w:right="40" w:hanging="312"/>
        <w:spacing w:after="0" w:line="24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Vortex: </w:t>
      </w:r>
      <w:r>
        <w:rPr>
          <w:rFonts w:ascii="Arial" w:cs="Arial" w:eastAsia="Arial" w:hAnsi="Arial"/>
          <w:sz w:val="18"/>
          <w:szCs w:val="18"/>
          <w:color w:val="auto"/>
        </w:rPr>
        <w:t>Our Vortex port technology line of ports features a clear-flow port technology that, we believe, revolutionized port design. With its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chamber, the Vortex port is designed to have no sludge-harboring corners or dead spaces. This product line consists of titanium, plastic and dual-lumen offerings.</w:t>
      </w:r>
    </w:p>
    <w:p>
      <w:pPr>
        <w:ind w:left="640" w:right="500" w:hanging="312"/>
        <w:spacing w:after="0" w:line="256"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PASV Valve Technology: </w:t>
      </w:r>
      <w:r>
        <w:rPr>
          <w:rFonts w:ascii="Arial" w:cs="Arial" w:eastAsia="Arial" w:hAnsi="Arial"/>
          <w:sz w:val="18"/>
          <w:szCs w:val="18"/>
          <w:color w:val="auto"/>
        </w:rPr>
        <w:t>The PASV Valve Technology is designed to automatically resist backflow and reduce blood reflux that could lead to</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catheter-related complications.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Dialysis Products</w:t>
      </w:r>
    </w:p>
    <w:p>
      <w:pPr>
        <w:spacing w:after="0" w:line="167"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We market an extensive line of dialysis products that provide short and long-term vascular access for dialysis patients. Dialysis, or cleaning of the blood, is necessary in conditions such as acute renal failure, chronic renal failure and end-stage renal disease (ESRD). We currently offer a variety of dialysis catheters, including:</w:t>
      </w:r>
    </w:p>
    <w:p>
      <w:pPr>
        <w:spacing w:after="0" w:line="132" w:lineRule="exact"/>
        <w:rPr>
          <w:sz w:val="20"/>
          <w:szCs w:val="20"/>
          <w:color w:val="auto"/>
        </w:rPr>
      </w:pPr>
    </w:p>
    <w:p>
      <w:pPr>
        <w:ind w:left="640" w:right="100" w:hanging="312"/>
        <w:spacing w:after="0" w:line="267"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BioFlo DuraMax</w:t>
      </w:r>
      <w:r>
        <w:rPr>
          <w:rFonts w:ascii="Arial" w:cs="Arial" w:eastAsia="Arial" w:hAnsi="Arial"/>
          <w:sz w:val="17"/>
          <w:szCs w:val="17"/>
          <w:color w:val="auto"/>
        </w:rPr>
        <w:t>: Our BioFlo DuraMax dialysis catheter is the only dialysis catheter with Endexo Technology. Advanced features of the BioFlo</w:t>
      </w:r>
      <w:r>
        <w:rPr>
          <w:rFonts w:ascii="Arial" w:cs="Arial" w:eastAsia="Arial" w:hAnsi="Arial"/>
          <w:sz w:val="17"/>
          <w:szCs w:val="17"/>
          <w:i w:val="1"/>
          <w:iCs w:val="1"/>
          <w:color w:val="auto"/>
        </w:rPr>
        <w:t xml:space="preserve"> </w:t>
      </w:r>
      <w:r>
        <w:rPr>
          <w:rFonts w:ascii="Arial" w:cs="Arial" w:eastAsia="Arial" w:hAnsi="Arial"/>
          <w:sz w:val="17"/>
          <w:szCs w:val="17"/>
          <w:color w:val="auto"/>
        </w:rPr>
        <w:t>DuraMax dialysis catheter include large inner diameter lumens designed for long term patency, a proprietary guidewire lumen to facilitate catheter exchanges and Curved Tip Technology that allows the catheter to self-center in the Superior Vena Cava (SVC).</w:t>
      </w:r>
    </w:p>
    <w:p>
      <w:pPr>
        <w:spacing w:after="0" w:line="2" w:lineRule="exact"/>
        <w:rPr>
          <w:rFonts w:ascii="Arial" w:cs="Arial" w:eastAsia="Arial" w:hAnsi="Arial"/>
          <w:sz w:val="17"/>
          <w:szCs w:val="17"/>
          <w:color w:val="auto"/>
        </w:rPr>
      </w:pPr>
    </w:p>
    <w:p>
      <w:pPr>
        <w:ind w:left="640" w:hanging="312"/>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DuraMax: </w:t>
      </w:r>
      <w:r>
        <w:rPr>
          <w:rFonts w:ascii="Arial" w:cs="Arial" w:eastAsia="Arial" w:hAnsi="Arial"/>
          <w:sz w:val="17"/>
          <w:szCs w:val="17"/>
          <w:color w:val="auto"/>
        </w:rPr>
        <w:t>The DuraMax catheter is a stepped-tip catheter designed to improve ease of use, dialysis efficiency and overall patient outcomes.</w:t>
      </w:r>
    </w:p>
    <w:p>
      <w:pPr>
        <w:spacing w:after="0" w:line="166" w:lineRule="exact"/>
        <w:rPr>
          <w:sz w:val="20"/>
          <w:szCs w:val="20"/>
          <w:color w:val="auto"/>
        </w:rPr>
      </w:pPr>
    </w:p>
    <w:p>
      <w:pPr>
        <w:ind w:right="580" w:firstLine="385"/>
        <w:spacing w:after="0" w:line="335" w:lineRule="auto"/>
        <w:rPr>
          <w:sz w:val="20"/>
          <w:szCs w:val="20"/>
          <w:color w:val="auto"/>
        </w:rPr>
      </w:pPr>
      <w:r>
        <w:rPr>
          <w:rFonts w:ascii="Arial" w:cs="Arial" w:eastAsia="Arial" w:hAnsi="Arial"/>
          <w:sz w:val="16"/>
          <w:szCs w:val="16"/>
          <w:color w:val="auto"/>
        </w:rPr>
        <w:t>In addition, AngioDynamics also offers other renal therapies, including our DuraFlow Chronic Hemodialysis Catheter, Acute Dialysis Catheter, EVENMORE Chronic Hemodialysis Catheter, EMBOSAFE Valved Splitable Sheath Dilator and Perchik Button Suture Retention Device.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Venous Insufficiency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VenaCure EVLT laser system</w:t>
      </w:r>
    </w:p>
    <w:p>
      <w:pPr>
        <w:spacing w:after="0" w:line="167" w:lineRule="exact"/>
        <w:rPr>
          <w:sz w:val="20"/>
          <w:szCs w:val="20"/>
          <w:color w:val="auto"/>
        </w:rPr>
      </w:pPr>
    </w:p>
    <w:p>
      <w:pPr>
        <w:ind w:right="5800" w:firstLine="385"/>
        <w:spacing w:after="0" w:line="268" w:lineRule="auto"/>
        <w:rPr>
          <w:sz w:val="20"/>
          <w:szCs w:val="20"/>
          <w:color w:val="auto"/>
        </w:rPr>
      </w:pPr>
      <w:r>
        <w:rPr>
          <w:rFonts w:ascii="Arial" w:cs="Arial" w:eastAsia="Arial" w:hAnsi="Arial"/>
          <w:sz w:val="17"/>
          <w:szCs w:val="17"/>
          <w:color w:val="auto"/>
        </w:rPr>
        <w:t>Our VenaCure EVLT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The VenaCure EVLT system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-1099185</wp:posOffset>
            </wp:positionV>
            <wp:extent cx="2734310" cy="1341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34310"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procedure is minimally invasive and generally takes less than an hour, typically allowing the patient to quickly return to normal activities.</w:t>
      </w:r>
    </w:p>
    <w:p>
      <w:pPr>
        <w:spacing w:after="0" w:line="179" w:lineRule="exact"/>
        <w:rPr>
          <w:sz w:val="20"/>
          <w:szCs w:val="20"/>
          <w:color w:val="auto"/>
        </w:rPr>
      </w:pPr>
    </w:p>
    <w:p>
      <w:pPr>
        <w:ind w:firstLine="385"/>
        <w:spacing w:after="0" w:line="252" w:lineRule="auto"/>
        <w:rPr>
          <w:sz w:val="20"/>
          <w:szCs w:val="20"/>
          <w:color w:val="auto"/>
        </w:rPr>
      </w:pPr>
      <w:r>
        <w:rPr>
          <w:rFonts w:ascii="Arial" w:cs="Arial" w:eastAsia="Arial" w:hAnsi="Arial"/>
          <w:sz w:val="18"/>
          <w:szCs w:val="18"/>
          <w:color w:val="auto"/>
        </w:rPr>
        <w:t>The VenaCure EVLT system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VenaCure EVLT system comes with a comprehensive physician training program and extensive marketing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87"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Microwave Ablation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Solero Microwave Tissue Ablation (MTA) System</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Solero MTA System features the Solero Microwave (MW)</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Generator and the specially designed Solero MW Applicators. The solid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state Solero MW Generator with a 2.45 GHz operating frequency can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power up to 140W for optimized power delivery and fast ablations.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Solero MW Applicator’s optimized ceramic tip diffuses MW energy nearly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spherically, and its patented cooling channel with thermocouple provides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real-time monitoring to help protect non-targeted tissue during the ablation.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Solero MTA System offers physicians scalability with 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single applicator designed for multiple, predictable ablation volumes by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varying time and wattage. Solero is a single applicator system able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complete up to a 5 cm ablation in six (6) minutes at maximum power.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firstLine="385"/>
        <w:spacing w:after="0" w:line="271" w:lineRule="auto"/>
        <w:rPr>
          <w:sz w:val="20"/>
          <w:szCs w:val="20"/>
          <w:color w:val="auto"/>
        </w:rPr>
      </w:pPr>
      <w:r>
        <w:rPr>
          <w:rFonts w:ascii="Arial" w:cs="Arial" w:eastAsia="Arial" w:hAnsi="Arial"/>
          <w:sz w:val="18"/>
          <w:szCs w:val="18"/>
          <w:color w:val="auto"/>
        </w:rPr>
        <w:t>The Solero MTA System and Accessories are indicated for the ablation of soft tissue during open procedures. The Solero MTA System is not intended for cardiac use.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Radiofrequency Ablation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StarBurst Radiofrequency Ablation Devices</w:t>
      </w:r>
    </w:p>
    <w:p>
      <w:pPr>
        <w:spacing w:after="0" w:line="167" w:lineRule="exact"/>
        <w:rPr>
          <w:sz w:val="20"/>
          <w:szCs w:val="20"/>
          <w:color w:val="auto"/>
        </w:rPr>
      </w:pPr>
    </w:p>
    <w:p>
      <w:pPr>
        <w:ind w:right="200" w:firstLine="385"/>
        <w:spacing w:after="0" w:line="255" w:lineRule="auto"/>
        <w:rPr>
          <w:sz w:val="20"/>
          <w:szCs w:val="20"/>
          <w:color w:val="auto"/>
        </w:rPr>
      </w:pPr>
      <w:r>
        <w:rPr>
          <w:rFonts w:ascii="Arial" w:cs="Arial" w:eastAsia="Arial" w:hAnsi="Arial"/>
          <w:sz w:val="18"/>
          <w:szCs w:val="18"/>
          <w:color w:val="auto"/>
        </w:rPr>
        <w:t>Radiofrequency Ablation (RFA) products use radiofrequency energy to provide a minimally invasive approach to ablating solid cancerous or benign tumors. Our StarBurst Radiofrequency Ablation devices deliver radiofrequency energy to raise the temperature of cells above 45-50°C, causing cellular death. The physician inserts the disposable needle electrode device into the targeted body tissue, typically under ultrasound, CT or Magnetic Resonance Imaging (MRI) guidance.</w:t>
      </w:r>
    </w:p>
    <w:p>
      <w:pPr>
        <w:spacing w:after="0" w:line="137" w:lineRule="exact"/>
        <w:rPr>
          <w:sz w:val="20"/>
          <w:szCs w:val="20"/>
          <w:color w:val="auto"/>
        </w:rPr>
      </w:pPr>
    </w:p>
    <w:p>
      <w:pPr>
        <w:ind w:right="140" w:firstLine="385"/>
        <w:spacing w:after="0" w:line="281" w:lineRule="auto"/>
        <w:rPr>
          <w:sz w:val="20"/>
          <w:szCs w:val="20"/>
          <w:color w:val="auto"/>
        </w:rPr>
      </w:pPr>
      <w:r>
        <w:rPr>
          <w:rFonts w:ascii="Arial" w:cs="Arial" w:eastAsia="Arial" w:hAnsi="Arial"/>
          <w:sz w:val="17"/>
          <w:szCs w:val="17"/>
          <w:color w:val="auto"/>
        </w:rPr>
        <w:t>During the procedure, our system automatically adjusts the amount of energy delivered in order to maintain the temperature necessary to ablate the targeted tissue. For a typical 5 cm ablation using our StarBurst Xli-enhanced disposable device, the ablation process takes approximately ten (10) minutes. The RFA system consists of a radiofrequency generator and a family of disposable devices.</w:t>
      </w:r>
    </w:p>
    <w:p>
      <w:pPr>
        <w:spacing w:after="0" w:line="116" w:lineRule="exact"/>
        <w:rPr>
          <w:sz w:val="20"/>
          <w:szCs w:val="20"/>
          <w:color w:val="auto"/>
        </w:rPr>
      </w:pPr>
    </w:p>
    <w:p>
      <w:pPr>
        <w:ind w:right="40" w:firstLine="385"/>
        <w:spacing w:after="0" w:line="307" w:lineRule="auto"/>
        <w:rPr>
          <w:sz w:val="20"/>
          <w:szCs w:val="20"/>
          <w:color w:val="auto"/>
        </w:rPr>
      </w:pPr>
      <w:r>
        <w:rPr>
          <w:rFonts w:ascii="Arial" w:cs="Arial" w:eastAsia="Arial" w:hAnsi="Arial"/>
          <w:sz w:val="16"/>
          <w:szCs w:val="16"/>
          <w:color w:val="auto"/>
        </w:rPr>
        <w:t>In addition to thermal ablation systems and the NanoKnife Ablation System, AngioDynamics also offers Habib 4X Surgical Resection devices that are used in minimally invasive laparoscopic surgery procedures in surgical specialties such as Hepato-Biliary, GI, Surgical Oncology, Transplant Surgery and Urology (Partial Nephrectomy Resections). It is clinically indicated to assist in coagulation of tissue during intraoperative and laparoscopic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BioSentry Tract Sealant System</w:t>
      </w:r>
    </w:p>
    <w:p>
      <w:pPr>
        <w:spacing w:after="0" w:line="167" w:lineRule="exact"/>
        <w:rPr>
          <w:sz w:val="20"/>
          <w:szCs w:val="20"/>
          <w:color w:val="auto"/>
        </w:rPr>
      </w:pPr>
    </w:p>
    <w:p>
      <w:pPr>
        <w:ind w:right="40" w:firstLine="385"/>
        <w:spacing w:after="0" w:line="290" w:lineRule="auto"/>
        <w:rPr>
          <w:sz w:val="20"/>
          <w:szCs w:val="20"/>
          <w:color w:val="auto"/>
        </w:rPr>
      </w:pPr>
      <w:r>
        <w:rPr>
          <w:rFonts w:ascii="Arial" w:cs="Arial" w:eastAsia="Arial" w:hAnsi="Arial"/>
          <w:sz w:val="16"/>
          <w:szCs w:val="16"/>
          <w:color w:val="auto"/>
        </w:rPr>
        <w:t>The BioSentry Tract Sealant System deploys a self-expanding hydrogel plug into the pleural space following a percutaneous lung biopsy, creating an airtight seal that closes the pleural puncture. Depth markings provide accurate and consistent placement based on CT-guided measurements, while the depth adjustment wheel and locking mechanisms ensure proper plug deployment. The hydrogel plug is made from a synthetic tissue-friendly polymer that fully reabsorbs into the body and the coaxial adapter mates with a coaxial needle to ensure a proper fit and delivery of the plug. The BioSentry Tract Sealant System is indicated for sealing pleural punctures to significantly reduce the risk of pneumothoraxes (air leaks) associated with percutaneous, transthoracic needle lung biopsies and to provide accuracy in marking a biopsy location for visualization during surgical resection.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IsoLoc Endorectal Balloon</w:t>
      </w:r>
    </w:p>
    <w:p>
      <w:pPr>
        <w:spacing w:after="0" w:line="167" w:lineRule="exact"/>
        <w:rPr>
          <w:sz w:val="20"/>
          <w:szCs w:val="20"/>
          <w:color w:val="auto"/>
        </w:rPr>
      </w:pPr>
    </w:p>
    <w:p>
      <w:pPr>
        <w:ind w:right="140" w:firstLine="385"/>
        <w:spacing w:after="0" w:line="271" w:lineRule="auto"/>
        <w:rPr>
          <w:sz w:val="20"/>
          <w:szCs w:val="20"/>
          <w:color w:val="auto"/>
        </w:rPr>
      </w:pPr>
      <w:r>
        <w:rPr>
          <w:rFonts w:ascii="Arial" w:cs="Arial" w:eastAsia="Arial" w:hAnsi="Arial"/>
          <w:sz w:val="18"/>
          <w:szCs w:val="18"/>
          <w:color w:val="auto"/>
        </w:rPr>
        <w:t>The IsoLoc Endorectal Balloon's unique, customer-driven design is the result of collaborations with Radiation Oncologists, Therapists and Physicists with one goal in mind, to create a new standard for endorectal balloons (ERB) in the oncology space.</w:t>
      </w:r>
    </w:p>
    <w:p>
      <w:pPr>
        <w:spacing w:after="0" w:line="121" w:lineRule="exact"/>
        <w:rPr>
          <w:sz w:val="20"/>
          <w:szCs w:val="20"/>
          <w:color w:val="auto"/>
        </w:rPr>
      </w:pPr>
    </w:p>
    <w:p>
      <w:pPr>
        <w:ind w:firstLine="385"/>
        <w:spacing w:after="0" w:line="255" w:lineRule="auto"/>
        <w:rPr>
          <w:sz w:val="20"/>
          <w:szCs w:val="20"/>
          <w:color w:val="auto"/>
        </w:rPr>
      </w:pPr>
      <w:r>
        <w:rPr>
          <w:rFonts w:ascii="Arial" w:cs="Arial" w:eastAsia="Arial" w:hAnsi="Arial"/>
          <w:sz w:val="18"/>
          <w:szCs w:val="18"/>
          <w:color w:val="auto"/>
        </w:rPr>
        <w:t>The design of the IsoLoc device not only addresses patient comfort, but also simplifies three challenging clinical scenarios that many physicians face when using radiation therapy for and/or in relation to the prostate. First, its' gas-release tip removes rectal gas and reduces prostate motion for gaseous patients. Secondly, the structure of the ERB aids in defining the anatomy for difficult planning scenarios with post-radical patients. Lastly, the IsoLoc device repositions and lifts the bowel in patients that have a low-lying bowel.</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687"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Alatus Vaginal Balloon Packing System</w:t>
      </w:r>
    </w:p>
    <w:p>
      <w:pPr>
        <w:spacing w:after="0" w:line="167" w:lineRule="exact"/>
        <w:rPr>
          <w:sz w:val="20"/>
          <w:szCs w:val="20"/>
          <w:color w:val="auto"/>
        </w:rPr>
      </w:pPr>
    </w:p>
    <w:p>
      <w:pPr>
        <w:ind w:right="180" w:firstLine="385"/>
        <w:spacing w:after="0" w:line="307" w:lineRule="auto"/>
        <w:rPr>
          <w:sz w:val="20"/>
          <w:szCs w:val="20"/>
          <w:color w:val="auto"/>
        </w:rPr>
      </w:pPr>
      <w:r>
        <w:rPr>
          <w:rFonts w:ascii="Arial" w:cs="Arial" w:eastAsia="Arial" w:hAnsi="Arial"/>
          <w:sz w:val="16"/>
          <w:szCs w:val="16"/>
          <w:color w:val="auto"/>
        </w:rPr>
        <w:t>The Alatus device was developed with the patient's comfort in mind and to assist the physician to move healthy tissue away from the radiation treatment field. Prior to the Alatus device, the clinician would push gauze into the vagina to move the bladder and bowel away from the radiation treatment field. Inserting gauze into the vagina can be uncomfortable before treatment and unpleasant at the end of treatment as it tends to dry out before removing.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171" w:lineRule="exact"/>
        <w:rPr>
          <w:sz w:val="20"/>
          <w:szCs w:val="20"/>
          <w:color w:val="auto"/>
        </w:rPr>
      </w:pPr>
    </w:p>
    <w:p>
      <w:pPr>
        <w:ind w:right="180" w:firstLine="385"/>
        <w:spacing w:after="0" w:line="270" w:lineRule="auto"/>
        <w:rPr>
          <w:sz w:val="20"/>
          <w:szCs w:val="20"/>
          <w:color w:val="auto"/>
        </w:rPr>
      </w:pPr>
      <w:r>
        <w:rPr>
          <w:rFonts w:ascii="Arial" w:cs="Arial" w:eastAsia="Arial" w:hAnsi="Arial"/>
          <w:sz w:val="17"/>
          <w:szCs w:val="17"/>
          <w:color w:val="auto"/>
        </w:rPr>
        <w:t>Our growth depends in large part on the continuous introduction of new and innovative products, together with ongoing enhancements to our existing products. This happens through internal product development, technology licensing, strategic alliances and acquisitions. Our research and development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 We recognize the importance of, and intend to continue to make investments in R&amp;D.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ind w:right="20" w:firstLine="385"/>
        <w:spacing w:after="0" w:line="281" w:lineRule="auto"/>
        <w:rPr>
          <w:sz w:val="20"/>
          <w:szCs w:val="20"/>
          <w:color w:val="auto"/>
        </w:rPr>
      </w:pPr>
      <w:r>
        <w:rPr>
          <w:rFonts w:ascii="Arial" w:cs="Arial" w:eastAsia="Arial" w:hAnsi="Arial"/>
          <w:sz w:val="17"/>
          <w:szCs w:val="17"/>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116" w:lineRule="exact"/>
        <w:rPr>
          <w:sz w:val="20"/>
          <w:szCs w:val="20"/>
          <w:color w:val="auto"/>
        </w:rPr>
      </w:pPr>
    </w:p>
    <w:p>
      <w:pPr>
        <w:ind w:right="360" w:firstLine="385"/>
        <w:spacing w:after="0" w:line="259" w:lineRule="auto"/>
        <w:rPr>
          <w:sz w:val="20"/>
          <w:szCs w:val="20"/>
          <w:color w:val="auto"/>
        </w:rPr>
      </w:pPr>
      <w:r>
        <w:rPr>
          <w:rFonts w:ascii="Arial" w:cs="Arial" w:eastAsia="Arial" w:hAnsi="Arial"/>
          <w:sz w:val="18"/>
          <w:szCs w:val="18"/>
          <w:color w:val="auto"/>
        </w:rPr>
        <w:t>Our primary device competitors include: Boston Scientific Corporation; Cook Medical; Medical Components, Inc. (MedComp); TeleFlex Medical; Becton Dickinson; Medtronic; Merit Medical; Terumo Medical Corporation; Johnson and Johnson; Philips Healthcare; Inari Medical; Varian Medical Systems and Total Vein Systems.</w:t>
      </w:r>
    </w:p>
    <w:p>
      <w:pPr>
        <w:spacing w:after="0" w:line="132" w:lineRule="exact"/>
        <w:rPr>
          <w:sz w:val="20"/>
          <w:szCs w:val="20"/>
          <w:color w:val="auto"/>
        </w:rPr>
      </w:pPr>
    </w:p>
    <w:p>
      <w:pPr>
        <w:ind w:firstLine="385"/>
        <w:spacing w:after="0" w:line="251" w:lineRule="auto"/>
        <w:rPr>
          <w:sz w:val="20"/>
          <w:szCs w:val="20"/>
          <w:color w:val="auto"/>
        </w:rPr>
      </w:pPr>
      <w:r>
        <w:rPr>
          <w:rFonts w:ascii="Arial" w:cs="Arial" w:eastAsia="Arial" w:hAnsi="Arial"/>
          <w:sz w:val="18"/>
          <w:szCs w:val="18"/>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third parties, and maintain sufficient inventory to meet customer demand.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1" w:lineRule="exact"/>
        <w:rPr>
          <w:sz w:val="20"/>
          <w:szCs w:val="20"/>
          <w:color w:val="auto"/>
        </w:rPr>
      </w:pPr>
    </w:p>
    <w:p>
      <w:pPr>
        <w:jc w:val="both"/>
        <w:ind w:right="60" w:firstLine="385"/>
        <w:spacing w:after="0" w:line="275" w:lineRule="auto"/>
        <w:rPr>
          <w:sz w:val="20"/>
          <w:szCs w:val="20"/>
          <w:color w:val="auto"/>
        </w:rPr>
      </w:pPr>
      <w:r>
        <w:rPr>
          <w:rFonts w:ascii="Arial" w:cs="Arial" w:eastAsia="Arial" w:hAnsi="Arial"/>
          <w:sz w:val="17"/>
          <w:szCs w:val="17"/>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 We focus our sales and marketing efforts on interventional radiologists, interventional cardiologists, vascular surgeons, urologists, interventional and surgical oncologists and critical care nurses.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1" w:lineRule="exact"/>
        <w:rPr>
          <w:sz w:val="20"/>
          <w:szCs w:val="20"/>
          <w:color w:val="auto"/>
        </w:rPr>
      </w:pPr>
    </w:p>
    <w:p>
      <w:pPr>
        <w:ind w:right="20" w:firstLine="385"/>
        <w:spacing w:after="0" w:line="253" w:lineRule="auto"/>
        <w:rPr>
          <w:sz w:val="20"/>
          <w:szCs w:val="20"/>
          <w:color w:val="auto"/>
        </w:rPr>
      </w:pPr>
      <w:r>
        <w:rPr>
          <w:rFonts w:ascii="Arial" w:cs="Arial" w:eastAsia="Arial" w:hAnsi="Arial"/>
          <w:sz w:val="18"/>
          <w:szCs w:val="18"/>
          <w:color w:val="auto"/>
        </w:rPr>
        <w:t>We manufacture certain proprietary components and products and then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39" w:lineRule="exact"/>
        <w:rPr>
          <w:sz w:val="20"/>
          <w:szCs w:val="20"/>
          <w:color w:val="auto"/>
        </w:rPr>
      </w:pPr>
    </w:p>
    <w:p>
      <w:pPr>
        <w:ind w:right="80" w:firstLine="385"/>
        <w:spacing w:after="0" w:line="251" w:lineRule="auto"/>
        <w:rPr>
          <w:sz w:val="20"/>
          <w:szCs w:val="20"/>
          <w:color w:val="auto"/>
        </w:rPr>
      </w:pPr>
      <w:r>
        <w:rPr>
          <w:rFonts w:ascii="Arial" w:cs="Arial" w:eastAsia="Arial" w:hAnsi="Arial"/>
          <w:sz w:val="18"/>
          <w:szCs w:val="18"/>
          <w:color w:val="auto"/>
        </w:rPr>
        <w:t>We manufacture many of our products from two owned manufacturing properties, one in Queensbury, NY and one small facility in Glens Falls, NY, providing capabilities which include manufacturing, service, offices, engineering and research and we lease distribution warehouses. The manufacturing facilities are registered with the FDA and have been certified to ISO 13485 standards. ISO 13485 is a quality system standard that satisfies European Union regulatory requirements, thus allowing us to market and sell our products in European Union countries. AngioDynamics is certified under the Medical Device Single Audit Program ("MDSAP") which allows a recognized auditing organization to conduct a single regulatory audit of a medical device manufacturer to satisfy the relevant requirements of the regulatory authorities participating in the program. International partners that are participating in the MDSAP include:</w:t>
      </w:r>
    </w:p>
    <w:p>
      <w:pPr>
        <w:spacing w:after="0" w:line="143" w:lineRule="exact"/>
        <w:rPr>
          <w:sz w:val="20"/>
          <w:szCs w:val="20"/>
          <w:color w:val="auto"/>
        </w:rPr>
      </w:pPr>
    </w:p>
    <w:p>
      <w:pPr>
        <w:ind w:left="640" w:hanging="31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Therapeutic Goods Administration of Australia</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1" w:name="page12"/>
    <w:bookmarkEnd w:id="11"/>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Brazil’s Agência Nacional de Vigilância Sanitária</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Canada</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Japan’s Ministry of Health, Labour and Welfare, and the Japanese Pharmaceuticals and Medical Devices Agency</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Food and Drug Administration</w:t>
      </w:r>
    </w:p>
    <w:p>
      <w:pPr>
        <w:spacing w:after="0" w:line="155" w:lineRule="exact"/>
        <w:rPr>
          <w:sz w:val="20"/>
          <w:szCs w:val="20"/>
          <w:color w:val="auto"/>
        </w:rPr>
      </w:pPr>
    </w:p>
    <w:p>
      <w:pPr>
        <w:jc w:val="both"/>
        <w:ind w:right="120" w:firstLine="385"/>
        <w:spacing w:after="0" w:line="259" w:lineRule="auto"/>
        <w:rPr>
          <w:sz w:val="20"/>
          <w:szCs w:val="20"/>
          <w:color w:val="auto"/>
        </w:rPr>
      </w:pPr>
      <w:r>
        <w:rPr>
          <w:rFonts w:ascii="Arial" w:cs="Arial" w:eastAsia="Arial" w:hAnsi="Arial"/>
          <w:sz w:val="18"/>
          <w:szCs w:val="18"/>
          <w:color w:val="auto"/>
        </w:rPr>
        <w:t>Our manufacturing facilities are subject to periodic inspections by regulatory authorities to ensure compliance with domestic and non-U.S. regulatory requirements. See “Government Regulation” section of this Item 1 for additional information. See Part I, Item 2 "Properties" in this Annual Report on Form 10-K for details on each manufacturing location.</w:t>
      </w:r>
    </w:p>
    <w:p>
      <w:pPr>
        <w:spacing w:after="0" w:line="132" w:lineRule="exact"/>
        <w:rPr>
          <w:sz w:val="20"/>
          <w:szCs w:val="20"/>
          <w:color w:val="auto"/>
        </w:rPr>
      </w:pPr>
    </w:p>
    <w:p>
      <w:pPr>
        <w:ind w:right="120" w:firstLine="385"/>
        <w:spacing w:after="0" w:line="255" w:lineRule="auto"/>
        <w:rPr>
          <w:sz w:val="20"/>
          <w:szCs w:val="20"/>
          <w:color w:val="auto"/>
        </w:rPr>
      </w:pPr>
      <w:r>
        <w:rPr>
          <w:rFonts w:ascii="Arial" w:cs="Arial" w:eastAsia="Arial" w:hAnsi="Arial"/>
          <w:sz w:val="18"/>
          <w:szCs w:val="18"/>
          <w:color w:val="auto"/>
        </w:rPr>
        <w:t>During the fourth quarter of fiscal year 2022, AngioDynamics entered into a supply agreement with Precision Concepts, Costa Rica S.A., a Costa Rica corporation, with its principal place of business in Alajuela, Costa Rica. Precision Concepts is manufacturing, storing, and handling certain products for the Company and is registered with the FDA and certified to the ISO 13485 standard. The Company also relies on third party manufacturers for the manufacturing of certain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1" w:lineRule="exact"/>
        <w:rPr>
          <w:sz w:val="20"/>
          <w:szCs w:val="20"/>
          <w:color w:val="auto"/>
        </w:rPr>
      </w:pPr>
    </w:p>
    <w:p>
      <w:pPr>
        <w:ind w:right="40" w:firstLine="385"/>
        <w:spacing w:after="0" w:line="253" w:lineRule="auto"/>
        <w:rPr>
          <w:sz w:val="20"/>
          <w:szCs w:val="20"/>
          <w:color w:val="auto"/>
        </w:rPr>
      </w:pPr>
      <w:r>
        <w:rPr>
          <w:rFonts w:ascii="Arial" w:cs="Arial" w:eastAsia="Arial" w:hAnsi="Arial"/>
          <w:sz w:val="18"/>
          <w:szCs w:val="18"/>
          <w:color w:val="auto"/>
        </w:rPr>
        <w:t>We have historically kept sufficient inventory on hand to ship product within 24-48 hours of order receipt to meet customer demand. In fiscal year 2023, the Company's ability to manufacture products, the reliability of our supply chain, labor shortages, backlog and inflation (including the cost and availability of raw materials, direct labor and shipping) have impacted our business and resulted in a backlog of $2.7 million at the end of the fourth quarter. We continue to focus on meeting the demand for our product and working towards standard inventory and backlog levels in fiscal year 2024. See Part I, Item 1A "Risk Factors" in this Annual Report on Form 10-K.</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ind w:right="100" w:firstLine="385"/>
        <w:spacing w:after="0" w:line="288" w:lineRule="auto"/>
        <w:rPr>
          <w:sz w:val="20"/>
          <w:szCs w:val="20"/>
          <w:color w:val="auto"/>
        </w:rPr>
      </w:pPr>
      <w:r>
        <w:rPr>
          <w:rFonts w:ascii="Arial" w:cs="Arial" w:eastAsia="Arial" w:hAnsi="Arial"/>
          <w:sz w:val="16"/>
          <w:szCs w:val="16"/>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 The Company owns an extensive portfolio of patents and patent applications in the United States and in certain foreign countries. The portfolio also includes exclusive licenses to third party patents and applications. Most of our products are sold under the AngioDynamics trade name or trademark. Additionally, products are sold under product trademarks and/or registered product trademarks owned by AngioDynamics, Inc., or an affiliate or subsidiary. Some products contain trademarks of companies other than AngioDynamics.</w:t>
      </w:r>
    </w:p>
    <w:p>
      <w:pPr>
        <w:spacing w:after="0" w:line="113" w:lineRule="exact"/>
        <w:rPr>
          <w:sz w:val="20"/>
          <w:szCs w:val="20"/>
          <w:color w:val="auto"/>
        </w:rPr>
      </w:pPr>
    </w:p>
    <w:p>
      <w:pPr>
        <w:ind w:right="160" w:firstLine="385"/>
        <w:spacing w:after="0" w:line="271" w:lineRule="auto"/>
        <w:rPr>
          <w:sz w:val="20"/>
          <w:szCs w:val="20"/>
          <w:color w:val="auto"/>
        </w:rPr>
      </w:pPr>
      <w:r>
        <w:rPr>
          <w:rFonts w:ascii="Arial" w:cs="Arial" w:eastAsia="Arial" w:hAnsi="Arial"/>
          <w:sz w:val="18"/>
          <w:szCs w:val="18"/>
          <w:color w:val="auto"/>
        </w:rPr>
        <w:t>See Part I, Item 3 "Legal Proceedings" and Note 17 to the consolidated financial statements in this Annual Report on Form 10-K for additional details on litigation regarding proprietary technology.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1" w:lineRule="exact"/>
        <w:rPr>
          <w:sz w:val="20"/>
          <w:szCs w:val="20"/>
          <w:color w:val="auto"/>
        </w:rPr>
      </w:pPr>
    </w:p>
    <w:p>
      <w:pPr>
        <w:ind w:firstLine="385"/>
        <w:spacing w:after="0" w:line="270" w:lineRule="auto"/>
        <w:rPr>
          <w:sz w:val="20"/>
          <w:szCs w:val="20"/>
          <w:color w:val="auto"/>
        </w:rPr>
      </w:pPr>
      <w:r>
        <w:rPr>
          <w:rFonts w:ascii="Arial" w:cs="Arial" w:eastAsia="Arial" w:hAnsi="Arial"/>
          <w:sz w:val="17"/>
          <w:szCs w:val="17"/>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those products.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"Legal Proceedings" and Note 17 to the consolidated financial statements in this Annual Report on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1" w:lineRule="exact"/>
        <w:rPr>
          <w:sz w:val="20"/>
          <w:szCs w:val="20"/>
          <w:color w:val="auto"/>
        </w:rPr>
      </w:pPr>
    </w:p>
    <w:p>
      <w:pPr>
        <w:ind w:right="140" w:firstLine="385"/>
        <w:spacing w:after="0" w:line="271" w:lineRule="auto"/>
        <w:rPr>
          <w:sz w:val="20"/>
          <w:szCs w:val="20"/>
          <w:color w:val="auto"/>
        </w:rPr>
      </w:pPr>
      <w:r>
        <w:rPr>
          <w:rFonts w:ascii="Arial" w:cs="Arial" w:eastAsia="Arial" w:hAnsi="Arial"/>
          <w:sz w:val="18"/>
          <w:szCs w:val="18"/>
          <w:color w:val="auto"/>
        </w:rPr>
        <w:t>The products we manufacture and market are subject to regulation by the United States Food and Drug Administration (FDA) under the Federal Food, Drug, and Cosmetic Act, or FDCA, and international regulations in our specific target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 FDA Regulation</w:t>
      </w:r>
    </w:p>
    <w:p>
      <w:pPr>
        <w:spacing w:after="0" w:line="171" w:lineRule="exact"/>
        <w:rPr>
          <w:sz w:val="20"/>
          <w:szCs w:val="20"/>
          <w:color w:val="auto"/>
        </w:rPr>
      </w:pPr>
    </w:p>
    <w:p>
      <w:pPr>
        <w:ind w:right="200" w:firstLine="385"/>
        <w:spacing w:after="0" w:line="271" w:lineRule="auto"/>
        <w:rPr>
          <w:sz w:val="20"/>
          <w:szCs w:val="20"/>
          <w:color w:val="auto"/>
        </w:rPr>
      </w:pPr>
      <w:r>
        <w:rPr>
          <w:rFonts w:ascii="Arial" w:cs="Arial" w:eastAsia="Arial" w:hAnsi="Arial"/>
          <w:sz w:val="18"/>
          <w:szCs w:val="18"/>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21" w:lineRule="exact"/>
        <w:rPr>
          <w:sz w:val="20"/>
          <w:szCs w:val="20"/>
          <w:color w:val="auto"/>
        </w:rPr>
      </w:pPr>
    </w:p>
    <w:p>
      <w:pPr>
        <w:ind w:firstLine="385"/>
        <w:spacing w:after="0" w:line="297" w:lineRule="auto"/>
        <w:rPr>
          <w:sz w:val="20"/>
          <w:szCs w:val="20"/>
          <w:color w:val="auto"/>
        </w:rPr>
      </w:pPr>
      <w:r>
        <w:rPr>
          <w:rFonts w:ascii="Arial" w:cs="Arial" w:eastAsia="Arial" w:hAnsi="Arial"/>
          <w:sz w:val="16"/>
          <w:szCs w:val="16"/>
          <w:color w:val="auto"/>
        </w:rPr>
        <w:t>The 510(k) clearance procedure is available only if a manufacturer can establish that its device is “substantially equivalent” in intended use and in safety and effectiveness to a “predicate device,” which is (i) a device that has been cleared through the 510(k) clearance process; (ii) a device that was legally marketed prior to May 28, 1976 (preamendments device); (iii) a device that was originally on the U.S. market as a Class III device (Premarket approval) and later downclassified to Class II or I; (iv) or a 510(k) exempt device. After a device receives 510(k) clearance, any modification that could significantly affect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2" w:name="page13"/>
    <w:bookmarkEnd w:id="12"/>
    <w:p>
      <w:pPr>
        <w:ind w:right="40"/>
        <w:spacing w:after="0" w:line="272" w:lineRule="auto"/>
        <w:rPr>
          <w:sz w:val="20"/>
          <w:szCs w:val="20"/>
          <w:color w:val="auto"/>
        </w:rPr>
      </w:pPr>
      <w:r>
        <w:rPr>
          <w:rFonts w:ascii="Arial" w:cs="Arial" w:eastAsia="Arial" w:hAnsi="Arial"/>
          <w:sz w:val="17"/>
          <w:szCs w:val="17"/>
          <w:color w:val="auto"/>
        </w:rPr>
        <w:t>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a new or modified device. If a device cannot demonstrate substantial equivalence, it may be subject to either a De Novo 510(k) submission or a PMA.</w:t>
      </w:r>
    </w:p>
    <w:p>
      <w:pPr>
        <w:spacing w:after="0" w:line="123" w:lineRule="exact"/>
        <w:rPr>
          <w:sz w:val="20"/>
          <w:szCs w:val="20"/>
          <w:color w:val="auto"/>
        </w:rPr>
      </w:pPr>
    </w:p>
    <w:p>
      <w:pPr>
        <w:ind w:right="40" w:firstLine="385"/>
        <w:spacing w:after="0" w:line="267" w:lineRule="auto"/>
        <w:rPr>
          <w:sz w:val="20"/>
          <w:szCs w:val="20"/>
          <w:color w:val="auto"/>
        </w:rPr>
      </w:pPr>
      <w:r>
        <w:rPr>
          <w:rFonts w:ascii="Arial" w:cs="Arial" w:eastAsia="Arial" w:hAnsi="Arial"/>
          <w:sz w:val="17"/>
          <w:szCs w:val="17"/>
          <w:color w:val="auto"/>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Historically, our products have been introduced into the market using the 510(k) procedure.</w:t>
      </w:r>
    </w:p>
    <w:p>
      <w:pPr>
        <w:spacing w:after="0" w:line="167" w:lineRule="exact"/>
        <w:rPr>
          <w:sz w:val="20"/>
          <w:szCs w:val="20"/>
          <w:color w:val="auto"/>
        </w:rPr>
      </w:pPr>
    </w:p>
    <w:p>
      <w:pPr>
        <w:ind w:right="80" w:firstLine="385"/>
        <w:spacing w:after="0" w:line="293" w:lineRule="auto"/>
        <w:rPr>
          <w:sz w:val="20"/>
          <w:szCs w:val="20"/>
          <w:color w:val="auto"/>
        </w:rPr>
      </w:pPr>
      <w:r>
        <w:rPr>
          <w:rFonts w:ascii="Arial" w:cs="Arial" w:eastAsia="Arial" w:hAnsi="Arial"/>
          <w:sz w:val="16"/>
          <w:szCs w:val="16"/>
          <w:color w:val="auto"/>
        </w:rPr>
        <w:t>FDA submissions require extensive validations and testing which requires a significant amount of time and financial resources. Recent changes in both regulations and FDA perspectives have increased both time and testing requirements, which have caused and are expected to continue to cause significant delays and increased costs for clearances and approvals. The increased focus by the FDA on such issues as chemical identification of all colorants, non-acceptance of certain colorants (certain forms of carbon black) and other concerns, continue to cause challenges and delays. In addition, changes to existing products call into question previously approved devices and result in additional costs for testing and material analysis.</w:t>
      </w:r>
    </w:p>
    <w:p>
      <w:pPr>
        <w:spacing w:after="0" w:line="107" w:lineRule="exact"/>
        <w:rPr>
          <w:sz w:val="20"/>
          <w:szCs w:val="20"/>
          <w:color w:val="auto"/>
        </w:rPr>
      </w:pPr>
    </w:p>
    <w:p>
      <w:pPr>
        <w:ind w:firstLine="385"/>
        <w:spacing w:after="0" w:line="284" w:lineRule="auto"/>
        <w:rPr>
          <w:sz w:val="20"/>
          <w:szCs w:val="20"/>
          <w:color w:val="auto"/>
        </w:rPr>
      </w:pPr>
      <w:r>
        <w:rPr>
          <w:rFonts w:ascii="Arial" w:cs="Arial" w:eastAsia="Arial" w:hAnsi="Arial"/>
          <w:sz w:val="16"/>
          <w:szCs w:val="16"/>
          <w:color w:val="auto"/>
        </w:rPr>
        <w:t>The devices manufactured by us are also subject to the QSR, which imposes elaborate testing, control, documentation and other quality assurance procedures on our manufacturing facilities. Every phase of production, including raw materials, components and subassembly, manufacturing, testing, quality control, labeling, tracing of customers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Failure to maintain compliance with the QSR may result in the issuance of one or more Forms 483 or warning letters and could potentially result in a consent decree. Failure to maintain the QSR appropriately could result in the issuance of further warning letters. In addition, non-compliance with applicable FDA requirements can result in, among other things, fines, injunctions, civil penalties, recall or seizure of products, total or partial suspension of production, failure of the FDA to grant marketing approvals, inability to obtain clearances or approvals for products, withdrawal of marketing approvals, a recommendation by the FDA to disallow us to enter into government contracts, and/or criminal prosecutions. The FDA also has the authority to request repair, replacement or refund of the cost of any device manufactured or distributed by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U.S. Regulatory Bodies</w:t>
      </w:r>
    </w:p>
    <w:p>
      <w:pPr>
        <w:spacing w:after="0" w:line="171" w:lineRule="exact"/>
        <w:rPr>
          <w:sz w:val="20"/>
          <w:szCs w:val="20"/>
          <w:color w:val="auto"/>
        </w:rPr>
      </w:pPr>
    </w:p>
    <w:p>
      <w:pPr>
        <w:ind w:right="20" w:firstLine="385"/>
        <w:spacing w:after="0" w:line="288" w:lineRule="auto"/>
        <w:rPr>
          <w:sz w:val="20"/>
          <w:szCs w:val="20"/>
          <w:color w:val="auto"/>
        </w:rPr>
      </w:pPr>
      <w:r>
        <w:rPr>
          <w:rFonts w:ascii="Arial" w:cs="Arial" w:eastAsia="Arial" w:hAnsi="Arial"/>
          <w:sz w:val="16"/>
          <w:szCs w:val="16"/>
          <w:color w:val="auto"/>
        </w:rPr>
        <w:t>We and our products are subject to a variety of federal, state and local laws in those jurisdictions where our products are, or will be, marketed. We and our products are also subject to a variety of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Regulation</w:t>
      </w:r>
    </w:p>
    <w:p>
      <w:pPr>
        <w:spacing w:after="0" w:line="171" w:lineRule="exact"/>
        <w:rPr>
          <w:sz w:val="20"/>
          <w:szCs w:val="20"/>
          <w:color w:val="auto"/>
        </w:rPr>
      </w:pPr>
    </w:p>
    <w:p>
      <w:pPr>
        <w:ind w:right="180" w:firstLine="385"/>
        <w:spacing w:after="0" w:line="259" w:lineRule="auto"/>
        <w:rPr>
          <w:sz w:val="20"/>
          <w:szCs w:val="20"/>
          <w:color w:val="auto"/>
        </w:rPr>
      </w:pPr>
      <w:r>
        <w:rPr>
          <w:rFonts w:ascii="Arial" w:cs="Arial" w:eastAsia="Arial" w:hAnsi="Arial"/>
          <w:sz w:val="18"/>
          <w:szCs w:val="18"/>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w:t>
      </w:r>
    </w:p>
    <w:p>
      <w:pPr>
        <w:spacing w:after="0" w:line="132" w:lineRule="exact"/>
        <w:rPr>
          <w:sz w:val="20"/>
          <w:szCs w:val="20"/>
          <w:color w:val="auto"/>
        </w:rPr>
      </w:pPr>
    </w:p>
    <w:p>
      <w:pPr>
        <w:ind w:right="300" w:firstLine="385"/>
        <w:spacing w:after="0" w:line="271" w:lineRule="auto"/>
        <w:rPr>
          <w:sz w:val="20"/>
          <w:szCs w:val="20"/>
          <w:color w:val="auto"/>
        </w:rPr>
      </w:pPr>
      <w:r>
        <w:rPr>
          <w:rFonts w:ascii="Arial" w:cs="Arial" w:eastAsia="Arial" w:hAnsi="Arial"/>
          <w:sz w:val="18"/>
          <w:szCs w:val="18"/>
          <w:color w:val="auto"/>
        </w:rPr>
        <w:t>In order to distribute and sell products into the European Union as well as a number of other countries including many Central European Free Trade Agreement participants, Scandinavian, and Middle Eastern countries, a CE Mark is required. New</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3" w:name="page14"/>
    <w:bookmarkEnd w:id="13"/>
    <w:p>
      <w:pPr>
        <w:ind w:right="100"/>
        <w:spacing w:after="0" w:line="269" w:lineRule="auto"/>
        <w:rPr>
          <w:sz w:val="20"/>
          <w:szCs w:val="20"/>
          <w:color w:val="auto"/>
        </w:rPr>
      </w:pPr>
      <w:r>
        <w:rPr>
          <w:rFonts w:ascii="Arial" w:cs="Arial" w:eastAsia="Arial" w:hAnsi="Arial"/>
          <w:sz w:val="17"/>
          <w:szCs w:val="17"/>
          <w:color w:val="auto"/>
        </w:rPr>
        <w:t>products must be compliant with the Medical Device Regulation ("MDR") as of May 2021 and previously CE Marked products must become compliant when their certification expires, with a transition period ending December 2027 for higher classification devices, or December 2028 for lower classification devices. Products with an expiring certification must be in distribution before certification expiration dates to continue to be sold. Clinical evaluations of products under MDR requires more information than previously required. All devices must have current clinical literature that specifically addresses data-driven safety and performance criteria, and legacy devices often require additional biocompatibility, bench testing and redesign to address changes in standards over time. Additionally, there can be extended time frames under MDR for product certifications that can be 12-18 months or longer. During that time period, significant design modifications cannot be made.</w:t>
      </w:r>
    </w:p>
    <w:p>
      <w:pPr>
        <w:spacing w:after="0" w:line="125" w:lineRule="exact"/>
        <w:rPr>
          <w:sz w:val="20"/>
          <w:szCs w:val="20"/>
          <w:color w:val="auto"/>
        </w:rPr>
      </w:pPr>
    </w:p>
    <w:p>
      <w:pPr>
        <w:jc w:val="both"/>
        <w:ind w:right="220" w:firstLine="385"/>
        <w:spacing w:after="0" w:line="259" w:lineRule="auto"/>
        <w:rPr>
          <w:sz w:val="20"/>
          <w:szCs w:val="20"/>
          <w:color w:val="auto"/>
        </w:rPr>
      </w:pPr>
      <w:r>
        <w:rPr>
          <w:rFonts w:ascii="Arial" w:cs="Arial" w:eastAsia="Arial" w:hAnsi="Arial"/>
          <w:sz w:val="18"/>
          <w:szCs w:val="18"/>
          <w:color w:val="auto"/>
        </w:rPr>
        <w:t>Similar regulations are in place for Canada, Japan, China, Brazil and most other countries. 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32"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32" w:lineRule="exact"/>
        <w:rPr>
          <w:sz w:val="20"/>
          <w:szCs w:val="20"/>
          <w:color w:val="auto"/>
        </w:rPr>
      </w:pPr>
    </w:p>
    <w:p>
      <w:pPr>
        <w:ind w:right="40" w:firstLine="385"/>
        <w:spacing w:after="0" w:line="255" w:lineRule="auto"/>
        <w:rPr>
          <w:sz w:val="20"/>
          <w:szCs w:val="20"/>
          <w:color w:val="auto"/>
        </w:rPr>
      </w:pPr>
      <w:r>
        <w:rPr>
          <w:rFonts w:ascii="Arial" w:cs="Arial" w:eastAsia="Arial" w:hAnsi="Arial"/>
          <w:sz w:val="18"/>
          <w:szCs w:val="18"/>
          <w:color w:val="auto"/>
        </w:rPr>
        <w:t>The process of obtaining approval to distribute medical products is costly and time-consuming in virtually all the major markets where we sell medical devices. We cannot assure that any new medical devices we develop will be cleared, approved or certified in a timely or cost-effective manner or cleared, approved or certified at all. There can be no assurance that new laws or regulations regarding the release or sale of medical devices will not delay or prevent sale of our current or future products.</w:t>
      </w:r>
    </w:p>
    <w:p>
      <w:pPr>
        <w:spacing w:after="0" w:line="133" w:lineRule="exact"/>
        <w:rPr>
          <w:sz w:val="20"/>
          <w:szCs w:val="20"/>
          <w:color w:val="auto"/>
        </w:rPr>
      </w:pPr>
    </w:p>
    <w:p>
      <w:pPr>
        <w:ind w:right="3060"/>
        <w:spacing w:after="0" w:line="436" w:lineRule="auto"/>
        <w:rPr>
          <w:sz w:val="20"/>
          <w:szCs w:val="20"/>
          <w:color w:val="auto"/>
        </w:rPr>
      </w:pPr>
      <w:r>
        <w:rPr>
          <w:rFonts w:ascii="Arial" w:cs="Arial" w:eastAsia="Arial" w:hAnsi="Arial"/>
          <w:sz w:val="18"/>
          <w:szCs w:val="18"/>
          <w:b w:val="1"/>
          <w:bCs w:val="1"/>
          <w:color w:val="auto"/>
        </w:rPr>
        <w:t xml:space="preserve">THIRD-PARTY REIMBURSEMENT AND ANTI-FRAUD AND CORRUPT PRACTICES REGULATION </w:t>
      </w:r>
      <w:r>
        <w:rPr>
          <w:rFonts w:ascii="Arial" w:cs="Arial" w:eastAsia="Arial" w:hAnsi="Arial"/>
          <w:sz w:val="18"/>
          <w:szCs w:val="18"/>
          <w:b w:val="1"/>
          <w:bCs w:val="1"/>
          <w:u w:val="single" w:color="auto"/>
          <w:color w:val="auto"/>
        </w:rPr>
        <w:t>United States</w:t>
      </w:r>
    </w:p>
    <w:p>
      <w:pPr>
        <w:spacing w:after="0" w:line="1" w:lineRule="exact"/>
        <w:rPr>
          <w:sz w:val="20"/>
          <w:szCs w:val="20"/>
          <w:color w:val="auto"/>
        </w:rPr>
      </w:pPr>
    </w:p>
    <w:p>
      <w:pPr>
        <w:ind w:right="180" w:firstLine="385"/>
        <w:spacing w:after="0" w:line="297" w:lineRule="auto"/>
        <w:rPr>
          <w:sz w:val="20"/>
          <w:szCs w:val="20"/>
          <w:color w:val="auto"/>
        </w:rPr>
      </w:pPr>
      <w:r>
        <w:rPr>
          <w:rFonts w:ascii="Arial" w:cs="Arial" w:eastAsia="Arial" w:hAnsi="Arial"/>
          <w:sz w:val="16"/>
          <w:szCs w:val="16"/>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conjunction with the Medicare and Medicaid programs, as well as the government’s interest in regulating the quality and cost of health care. Foreign governments also impose regulations in conjunction with their health care reimbursement programs and the delivery of health care items and services.</w:t>
      </w:r>
    </w:p>
    <w:p>
      <w:pPr>
        <w:spacing w:after="0" w:line="106" w:lineRule="exact"/>
        <w:rPr>
          <w:sz w:val="20"/>
          <w:szCs w:val="20"/>
          <w:color w:val="auto"/>
        </w:rPr>
      </w:pPr>
    </w:p>
    <w:p>
      <w:pPr>
        <w:ind w:firstLine="385"/>
        <w:spacing w:after="0" w:line="266" w:lineRule="auto"/>
        <w:rPr>
          <w:sz w:val="20"/>
          <w:szCs w:val="20"/>
          <w:color w:val="auto"/>
        </w:rPr>
      </w:pPr>
      <w:r>
        <w:rPr>
          <w:rFonts w:ascii="Arial" w:cs="Arial" w:eastAsia="Arial" w:hAnsi="Arial"/>
          <w:sz w:val="17"/>
          <w:szCs w:val="17"/>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inducing or rewarding referrals of items or services reimbursable by a federal health care program, subject to certain safe harbor exceptions;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w:t>
      </w:r>
    </w:p>
    <w:p>
      <w:pPr>
        <w:spacing w:after="0" w:line="171" w:lineRule="exact"/>
        <w:rPr>
          <w:sz w:val="20"/>
          <w:szCs w:val="20"/>
          <w:color w:val="auto"/>
        </w:rPr>
      </w:pPr>
    </w:p>
    <w:p>
      <w:pPr>
        <w:ind w:right="60" w:firstLine="385"/>
        <w:spacing w:after="0" w:line="287" w:lineRule="auto"/>
        <w:rPr>
          <w:sz w:val="20"/>
          <w:szCs w:val="20"/>
          <w:color w:val="auto"/>
        </w:rPr>
      </w:pPr>
      <w:r>
        <w:rPr>
          <w:rFonts w:ascii="Arial" w:cs="Arial" w:eastAsia="Arial" w:hAnsi="Arial"/>
          <w:sz w:val="16"/>
          <w:szCs w:val="16"/>
          <w:color w:val="auto"/>
        </w:rPr>
        <w:t>The delivery of our devices in any market is subject to evolving regulation by the EU Medical Device Regulations, notified bodies and comparable nation-specific bodies responsible for reimbursement and regulation of health care items and services. Our success in international markets will depend largely upon the availability of reimbursement from the national public health payers as well as private, third 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U.S., we maintain a healthcare economics team that works directly with providers, our distributors and health systems to obtain reimbursement approval in the countries in which they will use or sell our products. There can be no assurance that reimbursement approvals will be received. See Part I. Item 1A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87"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INSURANCE</w:t>
      </w:r>
    </w:p>
    <w:p>
      <w:pPr>
        <w:spacing w:after="0" w:line="171"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32" w:lineRule="exact"/>
        <w:rPr>
          <w:sz w:val="20"/>
          <w:szCs w:val="20"/>
          <w:color w:val="auto"/>
        </w:rPr>
      </w:pPr>
    </w:p>
    <w:p>
      <w:pPr>
        <w:ind w:right="180" w:firstLine="385"/>
        <w:spacing w:after="0" w:line="255" w:lineRule="auto"/>
        <w:rPr>
          <w:sz w:val="20"/>
          <w:szCs w:val="20"/>
          <w:color w:val="auto"/>
        </w:rPr>
      </w:pPr>
      <w:r>
        <w:rPr>
          <w:rFonts w:ascii="Arial" w:cs="Arial" w:eastAsia="Arial" w:hAnsi="Arial"/>
          <w:sz w:val="18"/>
          <w:szCs w:val="18"/>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 See Part I. Item 1A "Risk Factors" in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w:t>
      </w:r>
    </w:p>
    <w:p>
      <w:pPr>
        <w:spacing w:after="0" w:line="171" w:lineRule="exact"/>
        <w:rPr>
          <w:sz w:val="20"/>
          <w:szCs w:val="20"/>
          <w:color w:val="auto"/>
        </w:rPr>
      </w:pPr>
    </w:p>
    <w:p>
      <w:pPr>
        <w:ind w:firstLine="385"/>
        <w:spacing w:after="0" w:line="290" w:lineRule="auto"/>
        <w:rPr>
          <w:sz w:val="20"/>
          <w:szCs w:val="20"/>
          <w:color w:val="auto"/>
        </w:rPr>
      </w:pPr>
      <w:r>
        <w:rPr>
          <w:rFonts w:ascii="Arial" w:cs="Arial" w:eastAsia="Arial" w:hAnsi="Arial"/>
          <w:sz w:val="16"/>
          <w:szCs w:val="16"/>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 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1" w:lineRule="exact"/>
        <w:rPr>
          <w:sz w:val="20"/>
          <w:szCs w:val="20"/>
          <w:color w:val="auto"/>
        </w:rPr>
      </w:pPr>
    </w:p>
    <w:p>
      <w:pPr>
        <w:ind w:right="120" w:firstLine="385"/>
        <w:spacing w:after="0" w:line="268" w:lineRule="auto"/>
        <w:rPr>
          <w:sz w:val="20"/>
          <w:szCs w:val="20"/>
          <w:color w:val="auto"/>
        </w:rPr>
      </w:pPr>
      <w:r>
        <w:rPr>
          <w:rFonts w:ascii="Arial" w:cs="Arial" w:eastAsia="Arial" w:hAnsi="Arial"/>
          <w:sz w:val="17"/>
          <w:szCs w:val="17"/>
          <w:color w:val="auto"/>
        </w:rPr>
        <w:t>As of May 31, 2023, we had approximately 815 full time employees. None of our employees are represented by a labor union and we have never experienced a work stoppage. In the highly competitive medical technology industry, we consider attracting, developing, engaging and retaining high performing talent in positions critical to our long-term growth strategy including but not limited to technical, operational, marketing, sales, research and development, and management. Our ability to recruit and retain such talent depends on several factors, including culture, compensation and benefits, talent development, career opportunities, recognition and work environment. Our goal is to create a diverse and inclusive culture that encourages an environment where employees feel welcomed, respected and valued. We are an equal opportunity/affirmative action employer committed to making employment decisions without regard to race, religion, ethnicity or national origin, gender, sexual orientation, gender identity or expression, age, disability, protected veteran status or any other characteristics protected by law.</w:t>
      </w:r>
    </w:p>
    <w:p>
      <w:pPr>
        <w:spacing w:after="0" w:line="126" w:lineRule="exact"/>
        <w:rPr>
          <w:sz w:val="20"/>
          <w:szCs w:val="20"/>
          <w:color w:val="auto"/>
        </w:rPr>
      </w:pPr>
    </w:p>
    <w:p>
      <w:pPr>
        <w:ind w:right="240" w:firstLine="385"/>
        <w:spacing w:after="0" w:line="293" w:lineRule="auto"/>
        <w:rPr>
          <w:sz w:val="20"/>
          <w:szCs w:val="20"/>
          <w:color w:val="auto"/>
        </w:rPr>
      </w:pPr>
      <w:r>
        <w:rPr>
          <w:rFonts w:ascii="Arial" w:cs="Arial" w:eastAsia="Arial" w:hAnsi="Arial"/>
          <w:sz w:val="16"/>
          <w:szCs w:val="16"/>
          <w:color w:val="auto"/>
        </w:rPr>
        <w:t>The engagement of our workforce is crucial to delivering on our competitive strategy, and we place high importance on informed and engaged employees. We communicate frequently and transparently with our employees through a variety of communication methods, including video and written communications, town hall meetings and our company intranet. As a result of the COVID-19 pandemic, we also further strengthened our communication platforms. Our employee communications during the pandemic have kept our employees informed on critical priorities, important actions being taken by management in response to the pandemic and continued efforts to protect employee health, safety and well-being.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Company</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certain information with respect to our executive officers.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8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59"/>
        </w:trPr>
        <w:tc>
          <w:tcPr>
            <w:tcW w:w="2700" w:type="dxa"/>
            <w:vAlign w:val="bottom"/>
            <w:gridSpan w:val="2"/>
          </w:tcPr>
          <w:p>
            <w:pPr>
              <w:spacing w:after="0"/>
              <w:rPr>
                <w:sz w:val="20"/>
                <w:szCs w:val="20"/>
                <w:color w:val="auto"/>
              </w:rPr>
            </w:pPr>
            <w:r>
              <w:rPr>
                <w:rFonts w:ascii="Arial" w:cs="Arial" w:eastAsia="Arial" w:hAnsi="Arial"/>
                <w:sz w:val="18"/>
                <w:szCs w:val="18"/>
                <w:color w:val="auto"/>
              </w:rPr>
              <w:t>James C. Clemmer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8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27"/>
        </w:trPr>
        <w:tc>
          <w:tcPr>
            <w:tcW w:w="2700" w:type="dxa"/>
            <w:vAlign w:val="bottom"/>
            <w:gridSpan w:val="2"/>
          </w:tcPr>
          <w:p>
            <w:pPr>
              <w:spacing w:after="0"/>
              <w:rPr>
                <w:sz w:val="20"/>
                <w:szCs w:val="20"/>
                <w:color w:val="auto"/>
              </w:rPr>
            </w:pPr>
            <w:r>
              <w:rPr>
                <w:rFonts w:ascii="Arial" w:cs="Arial" w:eastAsia="Arial" w:hAnsi="Arial"/>
                <w:sz w:val="18"/>
                <w:szCs w:val="18"/>
                <w:color w:val="auto"/>
              </w:rPr>
              <w:t>Stephen A. Trowbridge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8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27"/>
        </w:trPr>
        <w:tc>
          <w:tcPr>
            <w:tcW w:w="2700" w:type="dxa"/>
            <w:vAlign w:val="bottom"/>
            <w:gridSpan w:val="2"/>
          </w:tcPr>
          <w:p>
            <w:pPr>
              <w:spacing w:after="0"/>
              <w:rPr>
                <w:sz w:val="20"/>
                <w:szCs w:val="20"/>
                <w:color w:val="auto"/>
              </w:rPr>
            </w:pPr>
            <w:r>
              <w:rPr>
                <w:rFonts w:ascii="Arial" w:cs="Arial" w:eastAsia="Arial" w:hAnsi="Arial"/>
                <w:sz w:val="18"/>
                <w:szCs w:val="18"/>
                <w:color w:val="auto"/>
              </w:rPr>
              <w:t>Chad T. Campbell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8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88"/>
              </w:rPr>
              <w:t>Senior Vice President and General Manager, Vascular Access and Oncology</w:t>
            </w:r>
          </w:p>
        </w:tc>
      </w:tr>
      <w:tr>
        <w:trPr>
          <w:trHeight w:val="241"/>
        </w:trPr>
        <w:tc>
          <w:tcPr>
            <w:tcW w:w="2700" w:type="dxa"/>
            <w:vAlign w:val="bottom"/>
            <w:gridSpan w:val="2"/>
          </w:tcPr>
          <w:p>
            <w:pPr>
              <w:spacing w:after="0"/>
              <w:rPr>
                <w:sz w:val="20"/>
                <w:szCs w:val="20"/>
                <w:color w:val="auto"/>
              </w:rPr>
            </w:pPr>
            <w:r>
              <w:rPr>
                <w:rFonts w:ascii="Arial" w:cs="Arial" w:eastAsia="Arial" w:hAnsi="Arial"/>
                <w:sz w:val="18"/>
                <w:szCs w:val="18"/>
                <w:color w:val="auto"/>
              </w:rPr>
              <w:t>Scott Centea</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6"/>
              </w:rPr>
              <w:t>Senior Vice President and General Manager, Endovascular Therapies</w:t>
            </w:r>
          </w:p>
        </w:tc>
      </w:tr>
      <w:tr>
        <w:trPr>
          <w:trHeight w:val="227"/>
        </w:trPr>
        <w:tc>
          <w:tcPr>
            <w:tcW w:w="2700" w:type="dxa"/>
            <w:vAlign w:val="bottom"/>
            <w:gridSpan w:val="2"/>
          </w:tcPr>
          <w:p>
            <w:pPr>
              <w:spacing w:after="0"/>
              <w:rPr>
                <w:sz w:val="20"/>
                <w:szCs w:val="20"/>
                <w:color w:val="auto"/>
              </w:rPr>
            </w:pPr>
            <w:r>
              <w:rPr>
                <w:rFonts w:ascii="Arial" w:cs="Arial" w:eastAsia="Arial" w:hAnsi="Arial"/>
                <w:sz w:val="18"/>
                <w:szCs w:val="18"/>
                <w:color w:val="auto"/>
              </w:rPr>
              <w:t>David D. Helsel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8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1"/>
              </w:rPr>
              <w:t>Senior Vice President, Global Operations and Research and Development</w:t>
            </w:r>
          </w:p>
        </w:tc>
      </w:tr>
      <w:tr>
        <w:trPr>
          <w:trHeight w:val="227"/>
        </w:trPr>
        <w:tc>
          <w:tcPr>
            <w:tcW w:w="2700" w:type="dxa"/>
            <w:vAlign w:val="bottom"/>
            <w:gridSpan w:val="2"/>
          </w:tcPr>
          <w:p>
            <w:pPr>
              <w:spacing w:after="0"/>
              <w:rPr>
                <w:sz w:val="20"/>
                <w:szCs w:val="20"/>
                <w:color w:val="auto"/>
              </w:rPr>
            </w:pPr>
            <w:r>
              <w:rPr>
                <w:rFonts w:ascii="Arial" w:cs="Arial" w:eastAsia="Arial" w:hAnsi="Arial"/>
                <w:sz w:val="18"/>
                <w:szCs w:val="18"/>
                <w:color w:val="auto"/>
              </w:rPr>
              <w:t>Laura Piccinini</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8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Senior Vice President and General Manager, International</w:t>
            </w:r>
          </w:p>
        </w:tc>
      </w:tr>
    </w:tbl>
    <w:p>
      <w:pPr>
        <w:spacing w:after="0" w:line="241" w:lineRule="exact"/>
        <w:rPr>
          <w:sz w:val="20"/>
          <w:szCs w:val="20"/>
          <w:color w:val="auto"/>
        </w:rPr>
      </w:pPr>
    </w:p>
    <w:p>
      <w:pPr>
        <w:ind w:right="80" w:firstLine="385"/>
        <w:spacing w:after="0" w:line="269" w:lineRule="auto"/>
        <w:rPr>
          <w:sz w:val="20"/>
          <w:szCs w:val="20"/>
          <w:color w:val="auto"/>
        </w:rPr>
      </w:pPr>
      <w:r>
        <w:rPr>
          <w:rFonts w:ascii="Arial" w:cs="Arial" w:eastAsia="Arial" w:hAnsi="Arial"/>
          <w:sz w:val="17"/>
          <w:szCs w:val="17"/>
          <w:i w:val="1"/>
          <w:iCs w:val="1"/>
          <w:color w:val="auto"/>
        </w:rPr>
        <w:t xml:space="preserve">James C. Clemmer </w:t>
      </w:r>
      <w:r>
        <w:rPr>
          <w:rFonts w:ascii="Arial" w:cs="Arial" w:eastAsia="Arial" w:hAnsi="Arial"/>
          <w:sz w:val="17"/>
          <w:szCs w:val="17"/>
          <w:color w:val="auto"/>
        </w:rPr>
        <w:t>became our President and Chief Executive Officer (CEO) in April 2016. Prior to joining AngioDynamics, Mr. Clemmer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(which was acquired by Tyco International in 1994), where he managed the U.S. business across five divisions and built the strategic plan for the medical supplies segment before Covidien was spun off from Tyco. Mr. Clemmer began his career at Sage Products, Inc. Mr. Clemmer currently serves on the Board of Directors for</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683" w:right="399" w:bottom="1440" w:gutter="0" w:footer="0" w:header="0"/>
        </w:sectPr>
      </w:pPr>
    </w:p>
    <w:bookmarkStart w:id="15" w:name="page16"/>
    <w:bookmarkEnd w:id="15"/>
    <w:p>
      <w:pPr>
        <w:ind w:right="60"/>
        <w:spacing w:after="0" w:line="271" w:lineRule="auto"/>
        <w:rPr>
          <w:sz w:val="20"/>
          <w:szCs w:val="20"/>
          <w:color w:val="auto"/>
        </w:rPr>
      </w:pPr>
      <w:r>
        <w:rPr>
          <w:rFonts w:ascii="Arial" w:cs="Arial" w:eastAsia="Arial" w:hAnsi="Arial"/>
          <w:sz w:val="18"/>
          <w:szCs w:val="18"/>
          <w:color w:val="auto"/>
        </w:rPr>
        <w:t>AngioDynamics and previously served on the Board of Directors for Lantheus Medical Imaging. Mr. Clemmer is a graduate of the Massachusetts College of Liberal Arts, where he served as interim president from August 2015 until March 2016.</w:t>
      </w:r>
    </w:p>
    <w:p>
      <w:pPr>
        <w:spacing w:after="0" w:line="121" w:lineRule="exact"/>
        <w:rPr>
          <w:sz w:val="20"/>
          <w:szCs w:val="20"/>
          <w:color w:val="auto"/>
        </w:rPr>
      </w:pPr>
    </w:p>
    <w:p>
      <w:pPr>
        <w:ind w:right="20" w:firstLine="385"/>
        <w:spacing w:after="0" w:line="288" w:lineRule="auto"/>
        <w:rPr>
          <w:sz w:val="20"/>
          <w:szCs w:val="20"/>
          <w:color w:val="auto"/>
        </w:rPr>
      </w:pPr>
      <w:r>
        <w:rPr>
          <w:rFonts w:ascii="Arial" w:cs="Arial" w:eastAsia="Arial" w:hAnsi="Arial"/>
          <w:sz w:val="16"/>
          <w:szCs w:val="16"/>
          <w:i w:val="1"/>
          <w:iCs w:val="1"/>
          <w:color w:val="auto"/>
        </w:rPr>
        <w:t xml:space="preserve">Stephen A. Trowbridge </w:t>
      </w:r>
      <w:r>
        <w:rPr>
          <w:rFonts w:ascii="Arial" w:cs="Arial" w:eastAsia="Arial" w:hAnsi="Arial"/>
          <w:sz w:val="16"/>
          <w:szCs w:val="16"/>
          <w:color w:val="auto"/>
        </w:rPr>
        <w:t>was appointed Executive Vice President and Chief Financial Officer (CFO) in February 2020, having served as Interim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since October 2019. Prior to his appointment as CFO, he served as the Company’s Senior Vice President and General Counsel. He joined AngioDynamics in June 2008 as Corporate Counsel. In addition to serving as the Company’s CFO and managing the finance functions, Mr. Trowbridge also managed the Legal function on an interim basis until January 30, 2021.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113" w:lineRule="exact"/>
        <w:rPr>
          <w:sz w:val="20"/>
          <w:szCs w:val="20"/>
          <w:color w:val="auto"/>
        </w:rPr>
      </w:pPr>
    </w:p>
    <w:p>
      <w:pPr>
        <w:ind w:right="40" w:firstLine="385"/>
        <w:spacing w:after="0" w:line="251" w:lineRule="auto"/>
        <w:rPr>
          <w:sz w:val="20"/>
          <w:szCs w:val="20"/>
          <w:color w:val="auto"/>
        </w:rPr>
      </w:pPr>
      <w:r>
        <w:rPr>
          <w:rFonts w:ascii="Arial" w:cs="Arial" w:eastAsia="Arial" w:hAnsi="Arial"/>
          <w:sz w:val="18"/>
          <w:szCs w:val="18"/>
          <w:i w:val="1"/>
          <w:iCs w:val="1"/>
          <w:color w:val="auto"/>
        </w:rPr>
        <w:t xml:space="preserve">Chad T. Campbell </w:t>
      </w:r>
      <w:r>
        <w:rPr>
          <w:rFonts w:ascii="Arial" w:cs="Arial" w:eastAsia="Arial" w:hAnsi="Arial"/>
          <w:sz w:val="18"/>
          <w:szCs w:val="18"/>
          <w:color w:val="auto"/>
        </w:rPr>
        <w:t>joined AngioDynamics in May 2016 as the Senior Vice President and General Manager for Vascular Access. As of October 2021,</w:t>
      </w:r>
      <w:r>
        <w:rPr>
          <w:rFonts w:ascii="Arial" w:cs="Arial" w:eastAsia="Arial" w:hAnsi="Arial"/>
          <w:sz w:val="18"/>
          <w:szCs w:val="18"/>
          <w:i w:val="1"/>
          <w:iCs w:val="1"/>
          <w:color w:val="auto"/>
        </w:rPr>
        <w:t xml:space="preserve"> </w:t>
      </w:r>
      <w:r>
        <w:rPr>
          <w:rFonts w:ascii="Arial" w:cs="Arial" w:eastAsia="Arial" w:hAnsi="Arial"/>
          <w:sz w:val="18"/>
          <w:szCs w:val="18"/>
          <w:color w:val="auto"/>
        </w:rPr>
        <w:t>Mr. Campbell assumed responsibility of the Oncology Global Business Unit in addition to his role of General Manager for Vascular Access. In his role, Mr. Campbell oversees research and development and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43" w:lineRule="exact"/>
        <w:rPr>
          <w:sz w:val="20"/>
          <w:szCs w:val="20"/>
          <w:color w:val="auto"/>
        </w:rPr>
      </w:pPr>
    </w:p>
    <w:p>
      <w:pPr>
        <w:ind w:firstLine="385"/>
        <w:spacing w:after="0" w:line="252" w:lineRule="auto"/>
        <w:rPr>
          <w:sz w:val="20"/>
          <w:szCs w:val="20"/>
          <w:color w:val="auto"/>
        </w:rPr>
      </w:pPr>
      <w:r>
        <w:rPr>
          <w:rFonts w:ascii="Arial" w:cs="Arial" w:eastAsia="Arial" w:hAnsi="Arial"/>
          <w:sz w:val="18"/>
          <w:szCs w:val="18"/>
          <w:i w:val="1"/>
          <w:iCs w:val="1"/>
          <w:color w:val="auto"/>
        </w:rPr>
        <w:t xml:space="preserve">Scott Centea </w:t>
      </w:r>
      <w:r>
        <w:rPr>
          <w:rFonts w:ascii="Arial" w:cs="Arial" w:eastAsia="Arial" w:hAnsi="Arial"/>
          <w:sz w:val="18"/>
          <w:szCs w:val="18"/>
          <w:color w:val="auto"/>
        </w:rPr>
        <w:t>joined AngioDynamics in 2005 as a sales representative serving the Carolinas. During his tenure, he has served in a variety of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increased responsibility including Vice President of Corporate Accounts where he was in charge of leading a team of individuals to execute Health System Purchasing Contracts. From there Mr. Centea assumed the role of Vice President of Marketing for Endovascular Therapies, before being promoted into his most recent and current role as Senior Vice President/General Manager of Endovascular Therapies and Peripheral Artery Disease. Mr. Centea currently holds board positions with the American Venous Forum (AVF) and the Capital District American Heart Association. Mr. Centea holds a Bachelor of Arts in Communications from Newberry College.</w:t>
      </w:r>
    </w:p>
    <w:p>
      <w:pPr>
        <w:spacing w:after="0" w:line="140" w:lineRule="exact"/>
        <w:rPr>
          <w:sz w:val="20"/>
          <w:szCs w:val="20"/>
          <w:color w:val="auto"/>
        </w:rPr>
      </w:pPr>
    </w:p>
    <w:p>
      <w:pPr>
        <w:ind w:right="60" w:firstLine="385"/>
        <w:spacing w:after="0" w:line="290" w:lineRule="auto"/>
        <w:rPr>
          <w:sz w:val="20"/>
          <w:szCs w:val="20"/>
          <w:color w:val="auto"/>
        </w:rPr>
      </w:pPr>
      <w:r>
        <w:rPr>
          <w:rFonts w:ascii="Arial" w:cs="Arial" w:eastAsia="Arial" w:hAnsi="Arial"/>
          <w:sz w:val="16"/>
          <w:szCs w:val="16"/>
          <w:i w:val="1"/>
          <w:iCs w:val="1"/>
          <w:color w:val="auto"/>
        </w:rPr>
        <w:t xml:space="preserve">David D. Helsel </w:t>
      </w:r>
      <w:r>
        <w:rPr>
          <w:rFonts w:ascii="Arial" w:cs="Arial" w:eastAsia="Arial" w:hAnsi="Arial"/>
          <w:sz w:val="16"/>
          <w:szCs w:val="16"/>
          <w:color w:val="auto"/>
        </w:rPr>
        <w:t>currently serves as Senior Vice President of Global Operations and Research and Development and has been with AngioDynamics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since December 2017. Prior to joining AngioDynamics he was Senior Vice President, Global Supply Chain, at Hill-Rom Holdings for almost three years. Before that, Mr. Helsel worked at Haemonetics for three years where he served as Executive Vice President for Global Manufacturing and also spent almost nineteen years in various positions with increasing responsibility at Covidien, including Vice President of Operations for the Surgical Solutions Division and Medical Supplies Division. An expert in Lean and Six Sigma, Mr. Helsel also served as Global Director of Operational Excellence, supporting sixty-three manufacturing facilities. Mr. Helsel holds a Bachelor of Science in Mechanical Engineering from LeTourneau University.</w:t>
      </w:r>
    </w:p>
    <w:p>
      <w:pPr>
        <w:spacing w:after="0" w:line="110" w:lineRule="exact"/>
        <w:rPr>
          <w:sz w:val="20"/>
          <w:szCs w:val="20"/>
          <w:color w:val="auto"/>
        </w:rPr>
      </w:pPr>
    </w:p>
    <w:p>
      <w:pPr>
        <w:ind w:right="20" w:firstLine="385"/>
        <w:spacing w:after="0" w:line="290" w:lineRule="auto"/>
        <w:rPr>
          <w:sz w:val="20"/>
          <w:szCs w:val="20"/>
          <w:color w:val="auto"/>
        </w:rPr>
      </w:pPr>
      <w:r>
        <w:rPr>
          <w:rFonts w:ascii="Arial" w:cs="Arial" w:eastAsia="Arial" w:hAnsi="Arial"/>
          <w:sz w:val="16"/>
          <w:szCs w:val="16"/>
          <w:i w:val="1"/>
          <w:iCs w:val="1"/>
          <w:color w:val="auto"/>
        </w:rPr>
        <w:t xml:space="preserve">Laura Piccinini </w:t>
      </w:r>
      <w:r>
        <w:rPr>
          <w:rFonts w:ascii="Arial" w:cs="Arial" w:eastAsia="Arial" w:hAnsi="Arial"/>
          <w:sz w:val="16"/>
          <w:szCs w:val="16"/>
          <w:color w:val="auto"/>
        </w:rPr>
        <w:t>joined AngioDynamics as Senior Vice President and General Manager for International in June 2021. Ms. Piccinini brings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25 years of experience in leadership roles in the medical device industry, with an extensive background in the field of respiratory and surgical care. From June 2020 to June 2021, she served as CEO and a member of the Board of Directors for Respiratory Motion, Inc. Prior to that, from 2017 to 2020, she served as Global Head of Commercial Operations for the Implants business unit at Nobel Biocare Systems, then a Danaher subsidiary now part of Envista Holdings. From 2015 to 2017, Ms. Piccinini served as President of EMEA at Covidien and prior to that at Stryker. Ms. Piccinini is a graduate of the Parma University of Medicine, where she received a nursing degree with specializations in ICU, Anesthesia, and First Aid as a Helicopter Flight Coordinator.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1" w:lineRule="exact"/>
        <w:rPr>
          <w:sz w:val="20"/>
          <w:szCs w:val="20"/>
          <w:color w:val="auto"/>
        </w:rPr>
      </w:pPr>
    </w:p>
    <w:p>
      <w:pPr>
        <w:ind w:right="1080" w:firstLine="385"/>
        <w:spacing w:after="0" w:line="271" w:lineRule="auto"/>
        <w:rPr>
          <w:sz w:val="20"/>
          <w:szCs w:val="20"/>
          <w:color w:val="auto"/>
        </w:rPr>
      </w:pPr>
      <w:r>
        <w:rPr>
          <w:rFonts w:ascii="Arial" w:cs="Arial" w:eastAsia="Arial" w:hAnsi="Arial"/>
          <w:sz w:val="18"/>
          <w:szCs w:val="18"/>
          <w:color w:val="auto"/>
        </w:rPr>
        <w:t xml:space="preserve">Our corporate headquarters is located at 14 Plaza Drive, Latham, New York 12110. Our phone number is (518) 795-1400. Our website is </w:t>
      </w:r>
      <w:r>
        <w:rPr>
          <w:rFonts w:ascii="Arial" w:cs="Arial" w:eastAsia="Arial" w:hAnsi="Arial"/>
          <w:sz w:val="18"/>
          <w:szCs w:val="18"/>
          <w:i w:val="1"/>
          <w:iCs w:val="1"/>
          <w:color w:val="auto"/>
        </w:rPr>
        <w:t>www.angiodynamics.com</w:t>
      </w:r>
      <w:r>
        <w:rPr>
          <w:rFonts w:ascii="Arial" w:cs="Arial" w:eastAsia="Arial" w:hAnsi="Arial"/>
          <w:sz w:val="18"/>
          <w:szCs w:val="18"/>
          <w:color w:val="auto"/>
        </w:rPr>
        <w:t>.</w:t>
      </w:r>
    </w:p>
    <w:p>
      <w:pPr>
        <w:spacing w:after="0" w:line="121" w:lineRule="exact"/>
        <w:rPr>
          <w:sz w:val="20"/>
          <w:szCs w:val="20"/>
          <w:color w:val="auto"/>
        </w:rPr>
      </w:pPr>
    </w:p>
    <w:p>
      <w:pPr>
        <w:ind w:right="60" w:firstLine="385"/>
        <w:spacing w:after="0" w:line="268" w:lineRule="auto"/>
        <w:rPr>
          <w:sz w:val="20"/>
          <w:szCs w:val="20"/>
          <w:color w:val="auto"/>
        </w:rPr>
      </w:pPr>
      <w:r>
        <w:rPr>
          <w:rFonts w:ascii="Arial" w:cs="Arial" w:eastAsia="Arial" w:hAnsi="Arial"/>
          <w:sz w:val="17"/>
          <w:szCs w:val="17"/>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 In addition, our website includes, among other things, charters of the various committees of our Board of Directors and our code of conduct and ethics applicable to all employees, officers and directors. Within the time period required by the SEC, we will post on our website any amendment to the code of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 We use these channels as well</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6" w:name="page17"/>
    <w:bookmarkEnd w:id="16"/>
    <w:p>
      <w:pPr>
        <w:spacing w:after="0" w:line="272" w:lineRule="auto"/>
        <w:rPr>
          <w:sz w:val="20"/>
          <w:szCs w:val="20"/>
          <w:color w:val="auto"/>
        </w:rPr>
      </w:pPr>
      <w:r>
        <w:rPr>
          <w:rFonts w:ascii="Arial" w:cs="Arial" w:eastAsia="Arial" w:hAnsi="Arial"/>
          <w:sz w:val="17"/>
          <w:szCs w:val="17"/>
          <w:color w:val="auto"/>
        </w:rPr>
        <w:t>as social media and blogs to communicate with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website. Any stockholder also may obtain copies of these documents, free of charge, by sending a request in writing to our Corporate headquarters, Attention: Saleem Cheeks. Information on our website or connected to our website is not incorporated by reference into this Annual Report on Form 10-K.</w:t>
      </w: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687" w:right="4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1" w:lineRule="exact"/>
        <w:rPr>
          <w:sz w:val="20"/>
          <w:szCs w:val="20"/>
          <w:color w:val="auto"/>
        </w:rPr>
      </w:pPr>
    </w:p>
    <w:p>
      <w:pPr>
        <w:ind w:right="40" w:firstLine="385"/>
        <w:spacing w:after="0" w:line="253" w:lineRule="auto"/>
        <w:rPr>
          <w:sz w:val="20"/>
          <w:szCs w:val="20"/>
          <w:color w:val="auto"/>
        </w:rPr>
      </w:pPr>
      <w:r>
        <w:rPr>
          <w:rFonts w:ascii="Arial" w:cs="Arial" w:eastAsia="Arial" w:hAnsi="Arial"/>
          <w:sz w:val="18"/>
          <w:szCs w:val="18"/>
          <w:color w:val="auto"/>
        </w:rPr>
        <w:t>In addition to the other information contained in this Annual Report on Form 10-K and in our other filings with the Securities and Exchange Commission, the following risk factors should be considered carefully by investors in evaluating our business. Our financial and operating results are subject to a number of risks and uncertainties, including those set forth below, many of which are not within our control. Our business, financial condition, results of operations and/or liquidity could be materially and adversely affected by any of these risks or by additional risks not presently known to us or that we currently deem immaterial.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face intense competition in the medical device industry which continues to experience consolidation. We may be unable to compete effectively with respect to technological innovation and price which may have a material adverse effect on our revenues, financial condition, results of operations and/or liquidity.</w:t>
      </w:r>
    </w:p>
    <w:p>
      <w:pPr>
        <w:spacing w:after="0" w:line="213" w:lineRule="exact"/>
        <w:rPr>
          <w:sz w:val="20"/>
          <w:szCs w:val="20"/>
          <w:color w:val="auto"/>
        </w:rPr>
      </w:pPr>
    </w:p>
    <w:p>
      <w:pPr>
        <w:ind w:right="60" w:firstLine="385"/>
        <w:spacing w:after="0" w:line="288" w:lineRule="auto"/>
        <w:rPr>
          <w:sz w:val="20"/>
          <w:szCs w:val="20"/>
          <w:color w:val="auto"/>
        </w:rPr>
      </w:pPr>
      <w:r>
        <w:rPr>
          <w:rFonts w:ascii="Arial" w:cs="Arial" w:eastAsia="Arial" w:hAnsi="Arial"/>
          <w:sz w:val="16"/>
          <w:szCs w:val="16"/>
          <w:color w:val="auto"/>
        </w:rPr>
        <w:t>The markets for our products are highly competitive and we expect competition to continue to intensify. The medical device industry is characterized by rapid technological change, frequent product introductions and evolving customer requirements. Our customers consider many factors when choosing products, including technology, features and benefits, quality, reliability, ease of use, clinical or economic outcomes, availability, price and customer service. We face competition globally from a wide range of companies, many of whom have substantially greater financial, marketing and other resources than us. We may not be able to compete effectively, and we may lose market share to our competitors. Our primary device competitors include: Boston Scientific Corporation; Cook Medical; Medical Components, Inc. (MedComp); TeleFlex Medical; Becton Dickinson; Medtronic; Merit Medical; Terumo Medical Corporation; Johnson and Johnson; Philips Healthcare; Inari Medical; Varian Medical Systems and Total Vein Systems.</w:t>
      </w:r>
    </w:p>
    <w:p>
      <w:pPr>
        <w:spacing w:after="0" w:line="113" w:lineRule="exact"/>
        <w:rPr>
          <w:sz w:val="20"/>
          <w:szCs w:val="20"/>
          <w:color w:val="auto"/>
        </w:rPr>
      </w:pPr>
    </w:p>
    <w:p>
      <w:pPr>
        <w:ind w:right="40" w:firstLine="385"/>
        <w:spacing w:after="0" w:line="288" w:lineRule="auto"/>
        <w:rPr>
          <w:sz w:val="20"/>
          <w:szCs w:val="20"/>
          <w:color w:val="auto"/>
        </w:rPr>
      </w:pPr>
      <w:r>
        <w:rPr>
          <w:rFonts w:ascii="Arial" w:cs="Arial" w:eastAsia="Arial" w:hAnsi="Arial"/>
          <w:sz w:val="16"/>
          <w:szCs w:val="16"/>
          <w:color w:val="auto"/>
        </w:rPr>
        <w:t>Our competitors may succeed in adapting faster than us to changing customer needs or requirements, in developing and introducing technologies and products earlier, in obtaining patent protection (which could create barriers to market entry for us) or regulatory clearance earlier, or in commercializing new products or technologies more rapidly than us. Our competitors may also develop products and technologies that are superior to ours or that otherwise could render our products obsolete or noncompetitive. The trend of increased consolidation in the medical technology industry has resulted in companies with greater scale and market power, intensifying competition and increasing pricing pressure. We may also face competition from providers of other medical therapies, such as pharmaceutical companies, that may offer non-surgical therapies for conditions that are currently, or in the future may be, treated using our products. If we are not able to compete effectively, our market share and revenue may decline.</w:t>
      </w:r>
    </w:p>
    <w:p>
      <w:pPr>
        <w:spacing w:after="0" w:line="113" w:lineRule="exact"/>
        <w:rPr>
          <w:sz w:val="20"/>
          <w:szCs w:val="20"/>
          <w:color w:val="auto"/>
        </w:rPr>
      </w:pPr>
    </w:p>
    <w:p>
      <w:pPr>
        <w:ind w:firstLine="385"/>
        <w:spacing w:after="0" w:line="252" w:lineRule="auto"/>
        <w:rPr>
          <w:sz w:val="20"/>
          <w:szCs w:val="20"/>
          <w:color w:val="auto"/>
        </w:rPr>
      </w:pPr>
      <w:r>
        <w:rPr>
          <w:rFonts w:ascii="Arial" w:cs="Arial" w:eastAsia="Arial" w:hAnsi="Arial"/>
          <w:sz w:val="18"/>
          <w:szCs w:val="18"/>
          <w:color w:val="auto"/>
        </w:rPr>
        <w:t>In addition, the increasing purchasing power of health systems, group purchasing organizations (“GPOs”) and integrated health delivery networks (“IDNs”), together with increased competition and declining reimbursement rates, has resulted increasingly with the Company competing on the basis of price.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our inability to retain contracts with our customers, or acquire additional contracts, could have a material adverse effect on our business, financial condition, results of operations and/or liquidity.</w:t>
      </w:r>
    </w:p>
    <w:p>
      <w:pPr>
        <w:spacing w:after="0" w:line="140"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Our inability to continue to effectively develop, acquire and/or market new products and technologies could have a material adverse effect on our business, financial condition and/or results of operations.</w:t>
      </w:r>
    </w:p>
    <w:p>
      <w:pPr>
        <w:spacing w:after="0" w:line="121" w:lineRule="exact"/>
        <w:rPr>
          <w:sz w:val="20"/>
          <w:szCs w:val="20"/>
          <w:color w:val="auto"/>
        </w:rPr>
      </w:pPr>
    </w:p>
    <w:p>
      <w:pPr>
        <w:ind w:right="80" w:firstLine="385"/>
        <w:spacing w:after="0" w:line="266" w:lineRule="auto"/>
        <w:rPr>
          <w:sz w:val="20"/>
          <w:szCs w:val="20"/>
          <w:color w:val="auto"/>
        </w:rPr>
      </w:pPr>
      <w:r>
        <w:rPr>
          <w:rFonts w:ascii="Arial" w:cs="Arial" w:eastAsia="Arial" w:hAnsi="Arial"/>
          <w:sz w:val="17"/>
          <w:szCs w:val="17"/>
          <w:color w:val="auto"/>
        </w:rPr>
        <w:t>The market for our devices is characterized by rapid technological change, new product introductions, technological improvements, changes in physician requirements and evolving industry standards. Product life cycles are relatively short because medical device manufacturers continually develop more effective and less expensive versions of existing devices in response to physician demand. We engage in product development and improvement programs to maintain and improve our competitive position. Our products are technologically complex and these programs involve significant planning, market studies, investment in research and development, clinical trials and regulatory clearances or approvals and may require more time and expense than anticipated to bring such products to market. We may not, however, be successful in enhancing existing products, or developing new products or technologies that will achieve regulatory approval, be developed or manufactured in a cost-effective manner, obtain appropriate intellectual property protection or receive market acceptance. We also may be unable to recover all or a meaningful part of our investment in these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8" w:name="page19"/>
    <w:bookmarkEnd w:id="18"/>
    <w:p>
      <w:pPr>
        <w:ind w:right="20" w:firstLine="385"/>
        <w:spacing w:after="0" w:line="267" w:lineRule="auto"/>
        <w:rPr>
          <w:sz w:val="20"/>
          <w:szCs w:val="20"/>
          <w:color w:val="auto"/>
        </w:rPr>
      </w:pPr>
      <w:r>
        <w:rPr>
          <w:rFonts w:ascii="Arial" w:cs="Arial" w:eastAsia="Arial" w:hAnsi="Arial"/>
          <w:sz w:val="17"/>
          <w:szCs w:val="17"/>
          <w:color w:val="auto"/>
        </w:rPr>
        <w:t xml:space="preserve">In particular, the future prospects of many of our high growth products, such as the NanoKnife system, the AngioVac system, the AlphaVac system and the Auryon system, rely on continued market development and continued generation of clinical data pursuant to clinical trials conducted by us, our competitors or other third parties. If the results of these trials are not what we expect or fail to generate meaningful clinical data, it may adversely impact our ability to obtain product approvals. If any of these products fail to achieve clinical acceptance or are perceived unfavorably by the market, it could severely limit our ability to drive revenue growth, which could have a material adverse effect on our business, financial condition, results of operations and/or liquidity. See Risk Factor titled </w:t>
      </w:r>
      <w:r>
        <w:rPr>
          <w:rFonts w:ascii="Arial" w:cs="Arial" w:eastAsia="Arial" w:hAnsi="Arial"/>
          <w:sz w:val="17"/>
          <w:szCs w:val="17"/>
          <w:i w:val="1"/>
          <w:iCs w:val="1"/>
          <w:color w:val="auto"/>
        </w:rPr>
        <w:t>“Our business and prospects rely heavily upon our ability to successfully complete clinical trials, including, but not limited</w:t>
      </w:r>
      <w:r>
        <w:rPr>
          <w:rFonts w:ascii="Arial" w:cs="Arial" w:eastAsia="Arial" w:hAnsi="Arial"/>
          <w:sz w:val="17"/>
          <w:szCs w:val="17"/>
          <w:color w:val="auto"/>
        </w:rPr>
        <w:t xml:space="preserve"> </w:t>
      </w:r>
      <w:r>
        <w:rPr>
          <w:rFonts w:ascii="Arial" w:cs="Arial" w:eastAsia="Arial" w:hAnsi="Arial"/>
          <w:sz w:val="17"/>
          <w:szCs w:val="17"/>
          <w:i w:val="1"/>
          <w:iCs w:val="1"/>
          <w:color w:val="auto"/>
        </w:rPr>
        <w:t>to, our NanoKnife DIRECT clinical study, our NanoKnife PRESERVE clinical study, AlphaVac APEX-AV clinical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129" w:lineRule="exact"/>
        <w:rPr>
          <w:sz w:val="20"/>
          <w:szCs w:val="20"/>
          <w:color w:val="auto"/>
        </w:rPr>
      </w:pPr>
    </w:p>
    <w:p>
      <w:pPr>
        <w:ind w:right="40" w:firstLine="385"/>
        <w:spacing w:after="0" w:line="267" w:lineRule="auto"/>
        <w:rPr>
          <w:sz w:val="20"/>
          <w:szCs w:val="20"/>
          <w:color w:val="auto"/>
        </w:rPr>
      </w:pPr>
      <w:r>
        <w:rPr>
          <w:rFonts w:ascii="Arial" w:cs="Arial" w:eastAsia="Arial" w:hAnsi="Arial"/>
          <w:sz w:val="17"/>
          <w:szCs w:val="17"/>
          <w:color w:val="auto"/>
        </w:rPr>
        <w:t>As part of our business strategy, we expect to continue to engage in business development activities which includes selectively evaluating and pursuing the acquisition of complementary businesses, technologies and products. These activities may result in substantial investment of our time and financial resources and competition for targets may be significant. We may not be able to identify appropriate acquisition candidates, consummate transactions, obtain agreements with favorable terms or obtain any necessary financing or regulatory approvals. Further, once a business is acquired, any inability to successfully integrate the business or achieve anticipated cost savings or operating synergies, decreases in customer loyalty or product orders, failure to retain and develop its workforce, failure to establish and maintain appropriate controls, higher or unanticipated expenses, or unknown or contingent liabilities could adversely affect our ability to realize the anticipated benefits of any acquisition. The evaluation and integration of an acquired business, whether or not successful, requires significant efforts which may result in additional expenses and divert the attention of our management and technical personnel from other projects.</w:t>
      </w:r>
    </w:p>
    <w:p>
      <w:pPr>
        <w:spacing w:after="0" w:line="129" w:lineRule="exact"/>
        <w:rPr>
          <w:sz w:val="20"/>
          <w:szCs w:val="20"/>
          <w:color w:val="auto"/>
        </w:rPr>
      </w:pPr>
    </w:p>
    <w:p>
      <w:pPr>
        <w:jc w:val="both"/>
        <w:ind w:right="20" w:firstLine="385"/>
        <w:spacing w:after="0" w:line="284" w:lineRule="auto"/>
        <w:rPr>
          <w:sz w:val="20"/>
          <w:szCs w:val="20"/>
          <w:color w:val="auto"/>
        </w:rPr>
      </w:pPr>
      <w:r>
        <w:rPr>
          <w:rFonts w:ascii="Arial" w:cs="Arial" w:eastAsia="Arial" w:hAnsi="Arial"/>
          <w:sz w:val="16"/>
          <w:szCs w:val="16"/>
          <w:color w:val="auto"/>
        </w:rPr>
        <w:t>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w:t>
      </w:r>
    </w:p>
    <w:p>
      <w:pPr>
        <w:spacing w:after="0" w:line="2" w:lineRule="exact"/>
        <w:rPr>
          <w:sz w:val="20"/>
          <w:szCs w:val="20"/>
          <w:color w:val="auto"/>
        </w:rPr>
      </w:pPr>
    </w:p>
    <w:p>
      <w:pPr>
        <w:jc w:val="both"/>
        <w:ind w:right="300"/>
        <w:spacing w:after="0" w:line="252" w:lineRule="auto"/>
        <w:rPr>
          <w:sz w:val="20"/>
          <w:szCs w:val="20"/>
          <w:color w:val="auto"/>
        </w:rPr>
      </w:pPr>
      <w:r>
        <w:rPr>
          <w:rFonts w:ascii="Arial" w:cs="Arial" w:eastAsia="Arial" w:hAnsi="Arial"/>
          <w:sz w:val="18"/>
          <w:szCs w:val="18"/>
          <w:color w:val="auto"/>
        </w:rPr>
        <w:t>These transactions are inherently risky and may not enhance our financial position or results of operations or create value for our shareholders as they are based on projections and assumptions which are uncertain and subject to change and there can be no assurance that any past or future transaction will be successful.</w:t>
      </w:r>
    </w:p>
    <w:p>
      <w:pPr>
        <w:spacing w:after="0" w:line="138" w:lineRule="exact"/>
        <w:rPr>
          <w:sz w:val="20"/>
          <w:szCs w:val="20"/>
          <w:color w:val="auto"/>
        </w:rPr>
      </w:pPr>
    </w:p>
    <w:p>
      <w:pPr>
        <w:ind w:right="160" w:firstLine="385"/>
        <w:spacing w:after="0" w:line="275" w:lineRule="auto"/>
        <w:rPr>
          <w:sz w:val="20"/>
          <w:szCs w:val="20"/>
          <w:color w:val="auto"/>
        </w:rPr>
      </w:pPr>
      <w:r>
        <w:rPr>
          <w:rFonts w:ascii="Arial" w:cs="Arial" w:eastAsia="Arial" w:hAnsi="Arial"/>
          <w:sz w:val="17"/>
          <w:szCs w:val="17"/>
          <w:color w:val="auto"/>
        </w:rPr>
        <w:t>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we may not achieve our growth goals, which could have a material adverse effect on our business, financial condition and/or results of operations.</w:t>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If we do not maintain our reputation with interventional physicians, interventional and surgical oncologists, and critical care nurses, our growth will be limited and our business could be harmed.</w:t>
      </w:r>
    </w:p>
    <w:p>
      <w:pPr>
        <w:spacing w:after="0" w:line="121" w:lineRule="exact"/>
        <w:rPr>
          <w:sz w:val="20"/>
          <w:szCs w:val="20"/>
          <w:color w:val="auto"/>
        </w:rPr>
      </w:pPr>
    </w:p>
    <w:p>
      <w:pPr>
        <w:ind w:right="60" w:firstLine="385"/>
        <w:spacing w:after="0" w:line="251" w:lineRule="auto"/>
        <w:rPr>
          <w:sz w:val="20"/>
          <w:szCs w:val="20"/>
          <w:color w:val="auto"/>
        </w:rPr>
      </w:pPr>
      <w:r>
        <w:rPr>
          <w:rFonts w:ascii="Arial" w:cs="Arial" w:eastAsia="Arial" w:hAnsi="Arial"/>
          <w:sz w:val="18"/>
          <w:szCs w:val="18"/>
          <w:color w:val="auto"/>
        </w:rPr>
        <w:t>Physicians typically influence the medical device purchasing decisions of the hospitals and other healthcare institutions in which they practice. Consequently, our reputation with interventional physicians, interventional and surgical oncologists, and critical care nurses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interventional and surgical oncologists, and critical care nurses, and cause our growth to be limited and our business to be harmed, which could have a material adverse effect on our business, financial condition, results of operations and/or liquidity.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prospects rely heavily upon our ability to successfully complete clinical trials, including, but not limited to, our NanoKnife DIRECT</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clinical study, our NanoKnife PRESERVE clinical study, AlphaVac APEX-AV clinical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132" w:lineRule="exact"/>
        <w:rPr>
          <w:sz w:val="20"/>
          <w:szCs w:val="20"/>
          <w:color w:val="auto"/>
        </w:rPr>
      </w:pPr>
    </w:p>
    <w:p>
      <w:pPr>
        <w:ind w:right="220" w:firstLine="385"/>
        <w:spacing w:after="0" w:line="253" w:lineRule="auto"/>
        <w:rPr>
          <w:sz w:val="20"/>
          <w:szCs w:val="20"/>
          <w:color w:val="auto"/>
        </w:rPr>
      </w:pPr>
      <w:r>
        <w:rPr>
          <w:rFonts w:ascii="Arial" w:cs="Arial" w:eastAsia="Arial" w:hAnsi="Arial"/>
          <w:sz w:val="18"/>
          <w:szCs w:val="18"/>
          <w:color w:val="auto"/>
        </w:rPr>
        <w:t>Clinical trials must be conducted in accordance with the applicable laws and regulations in the jurisdictions in which the clinical trials are conducted, including FDA’s current Good Clinical Practices. The clinical trials are subject to oversight by the FDA, regulatory agencies in other jurisdictions, ethics committees and institutional review boards at the medical institutions where the clinical trials are conducted. Clinical trial protocols may require a large number of patients to be enrolled in the trials. Patient enrollment is a function of many factors, including the size of the patient population for the target indication, the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ind w:right="260"/>
        <w:spacing w:after="0" w:line="281" w:lineRule="auto"/>
        <w:rPr>
          <w:sz w:val="20"/>
          <w:szCs w:val="20"/>
          <w:color w:val="auto"/>
        </w:rPr>
      </w:pPr>
      <w:r>
        <w:rPr>
          <w:rFonts w:ascii="Arial" w:cs="Arial" w:eastAsia="Arial" w:hAnsi="Arial"/>
          <w:sz w:val="17"/>
          <w:szCs w:val="17"/>
          <w:color w:val="auto"/>
        </w:rPr>
        <w:t>proximity of patients to clinical sites, the eligibility criteria for the trial, the existence of competing clinical trials and the availability of alternative or new treatments. Clinical trials may be suspended by the FDA or by a regulatory agency in another jurisdiction at any time if the FDA or the regulatory agency finds deficiencies in the conduct of these trials or it is believed that these trials expose patients to unacceptable health risks.</w:t>
      </w:r>
    </w:p>
    <w:p>
      <w:pPr>
        <w:spacing w:after="0" w:line="116" w:lineRule="exact"/>
        <w:rPr>
          <w:sz w:val="20"/>
          <w:szCs w:val="20"/>
          <w:color w:val="auto"/>
        </w:rPr>
      </w:pPr>
    </w:p>
    <w:p>
      <w:pPr>
        <w:ind w:firstLine="385"/>
        <w:spacing w:after="0" w:line="272" w:lineRule="auto"/>
        <w:rPr>
          <w:sz w:val="20"/>
          <w:szCs w:val="20"/>
          <w:color w:val="auto"/>
        </w:rPr>
      </w:pPr>
      <w:r>
        <w:rPr>
          <w:rFonts w:ascii="Arial" w:cs="Arial" w:eastAsia="Arial" w:hAnsi="Arial"/>
          <w:sz w:val="17"/>
          <w:szCs w:val="17"/>
          <w:color w:val="auto"/>
        </w:rPr>
        <w:t>We, the FDA or regulatory agencies in other jurisdictions might delay or terminate our clinical trials for various reasons, including insufficient patient enrollment, fatalities, unforeseen adverse side effects by enrolled patients or the development of new therapies that require us to revise or amend our clinical trial protocols. Patients may be discouraged from enrolling in our clinical trials if the trial protocol requires them to undergo extensive follow-up to assess safety and effectiveness, if they determine that the treatments received under the trial protocols are not attractive or involve unacceptable risks or discomforts or if they participate in contemporaneous clinical trials of competing products.</w:t>
      </w:r>
    </w:p>
    <w:p>
      <w:pPr>
        <w:spacing w:after="0" w:line="123" w:lineRule="exact"/>
        <w:rPr>
          <w:sz w:val="20"/>
          <w:szCs w:val="20"/>
          <w:color w:val="auto"/>
        </w:rPr>
      </w:pPr>
    </w:p>
    <w:p>
      <w:pPr>
        <w:ind w:right="60" w:firstLine="385"/>
        <w:spacing w:after="0" w:line="281" w:lineRule="auto"/>
        <w:rPr>
          <w:sz w:val="20"/>
          <w:szCs w:val="20"/>
          <w:color w:val="auto"/>
        </w:rPr>
      </w:pPr>
      <w:r>
        <w:rPr>
          <w:rFonts w:ascii="Arial" w:cs="Arial" w:eastAsia="Arial" w:hAnsi="Arial"/>
          <w:sz w:val="17"/>
          <w:szCs w:val="17"/>
          <w:color w:val="auto"/>
        </w:rPr>
        <w:t>In addition, we rely on contract research organizations, or CROs, with respect to conducting our clinical trials. We may experience significant cost overruns associated with, and we may encounter difficulties managing, these CROs. Termination of our clinical trials or significant delays in completing our clinical trials could have a material adverse effect on our business, financial condition, results of operations and/or liquidity.</w:t>
      </w:r>
    </w:p>
    <w:p>
      <w:pPr>
        <w:spacing w:after="0" w:line="11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we are unable to convince customers that our products can improve the cost structure of their business, our revenue growth and profitability may be materially and adversely impacted.</w:t>
      </w:r>
    </w:p>
    <w:p>
      <w:pPr>
        <w:spacing w:after="0" w:line="121" w:lineRule="exact"/>
        <w:rPr>
          <w:sz w:val="20"/>
          <w:szCs w:val="20"/>
          <w:color w:val="auto"/>
        </w:rPr>
      </w:pPr>
    </w:p>
    <w:p>
      <w:pPr>
        <w:ind w:firstLine="385"/>
        <w:spacing w:after="0" w:line="285" w:lineRule="auto"/>
        <w:rPr>
          <w:sz w:val="20"/>
          <w:szCs w:val="20"/>
          <w:color w:val="auto"/>
        </w:rPr>
      </w:pPr>
      <w:r>
        <w:rPr>
          <w:rFonts w:ascii="Arial" w:cs="Arial" w:eastAsia="Arial" w:hAnsi="Arial"/>
          <w:sz w:val="16"/>
          <w:szCs w:val="16"/>
          <w:color w:val="auto"/>
        </w:rPr>
        <w:t>Worldwide initiatives to contain healthcare costs have led governments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 redefining their role in health care delivery as many assume much more risk and control of the total cost of patient care. To successfully make this transformation, health systems are consolidating, purchasing or partnering with physicians and post-acute care providers, while also narrowing networks thus allowing greater control over outcomes. This has created an increasing level of price sensitivity among customers for our products and could have a material adverse effect on our business, financial condition, results of operations and/or liquidity.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single and limited source suppliers which subjects our business and results of operations to risks of supplier business interruptions.</w:t>
      </w:r>
    </w:p>
    <w:p>
      <w:pPr>
        <w:spacing w:after="0" w:line="213" w:lineRule="exact"/>
        <w:rPr>
          <w:sz w:val="20"/>
          <w:szCs w:val="20"/>
          <w:color w:val="auto"/>
        </w:rPr>
      </w:pPr>
    </w:p>
    <w:p>
      <w:pPr>
        <w:ind w:right="20" w:firstLine="385"/>
        <w:spacing w:after="0" w:line="253" w:lineRule="auto"/>
        <w:rPr>
          <w:sz w:val="20"/>
          <w:szCs w:val="20"/>
          <w:color w:val="auto"/>
        </w:rPr>
      </w:pPr>
      <w:r>
        <w:rPr>
          <w:rFonts w:ascii="Arial" w:cs="Arial" w:eastAsia="Arial" w:hAnsi="Arial"/>
          <w:sz w:val="18"/>
          <w:szCs w:val="18"/>
          <w:color w:val="auto"/>
        </w:rPr>
        <w:t>We currently purchase significant amounts of several key products, raw materials and product components from single and limited source suppliers and anticipate that we will do so for future products as well. Any delays in delivery of or shortages in those or other products and components (like we experienced during our 2022 and 2023 fiscal year) could interrupt and delay manufacturing of our products, lead to backlogs and result in the cancellation of orders for our products. Any or all of these suppliers could discontinue the manufacture or supply of these products, raw materials and/or components at any time.</w:t>
      </w:r>
    </w:p>
    <w:p>
      <w:pPr>
        <w:spacing w:after="0" w:line="139"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backlogs, increased prices for our products or increased design and manufacturing costs.</w:t>
      </w:r>
    </w:p>
    <w:p>
      <w:pPr>
        <w:spacing w:after="0" w:line="120" w:lineRule="exact"/>
        <w:rPr>
          <w:sz w:val="20"/>
          <w:szCs w:val="20"/>
          <w:color w:val="auto"/>
        </w:rPr>
      </w:pPr>
    </w:p>
    <w:p>
      <w:pPr>
        <w:ind w:right="140" w:firstLine="385"/>
        <w:spacing w:after="0" w:line="259" w:lineRule="auto"/>
        <w:rPr>
          <w:sz w:val="20"/>
          <w:szCs w:val="20"/>
          <w:color w:val="auto"/>
        </w:rPr>
      </w:pPr>
      <w:r>
        <w:rPr>
          <w:rFonts w:ascii="Arial" w:cs="Arial" w:eastAsia="Arial" w:hAnsi="Arial"/>
          <w:sz w:val="18"/>
          <w:szCs w:val="18"/>
          <w:color w:val="auto"/>
        </w:rPr>
        <w:t>In addition, we purchase certain products as a distributor for the manufacturer of those products. Any constraint or interruption in the supply of raw materials, other product components or finished products that we distribute could materially impact our ability to sell products, and have a material adverse effect on our business, financial condition, results of operations and/or liquidity.</w:t>
      </w:r>
    </w:p>
    <w:p>
      <w:pPr>
        <w:spacing w:after="0" w:line="132" w:lineRule="exact"/>
        <w:rPr>
          <w:sz w:val="20"/>
          <w:szCs w:val="20"/>
          <w:color w:val="auto"/>
        </w:rPr>
      </w:pPr>
    </w:p>
    <w:p>
      <w:pPr>
        <w:jc w:val="both"/>
        <w:ind w:right="760"/>
        <w:spacing w:after="0" w:line="259" w:lineRule="auto"/>
        <w:rPr>
          <w:sz w:val="20"/>
          <w:szCs w:val="20"/>
          <w:color w:val="auto"/>
        </w:rPr>
      </w:pPr>
      <w:r>
        <w:rPr>
          <w:rFonts w:ascii="Arial" w:cs="Arial" w:eastAsia="Arial" w:hAnsi="Arial"/>
          <w:sz w:val="18"/>
          <w:szCs w:val="18"/>
          <w:b w:val="1"/>
          <w:bCs w:val="1"/>
          <w:i w:val="1"/>
          <w:iCs w:val="1"/>
          <w:color w:val="auto"/>
        </w:rPr>
        <w:t>We are heavily dependent on third-party distributors to generate a substantial portion of our international revenues and are at the risk of these distributors also selling for our competitors, failing to be financially viable and failing to effectively distribute our products in compliance with applicable laws.</w:t>
      </w:r>
    </w:p>
    <w:p>
      <w:pPr>
        <w:spacing w:after="0" w:line="132" w:lineRule="exact"/>
        <w:rPr>
          <w:sz w:val="20"/>
          <w:szCs w:val="20"/>
          <w:color w:val="auto"/>
        </w:rPr>
      </w:pPr>
    </w:p>
    <w:p>
      <w:pPr>
        <w:jc w:val="both"/>
        <w:ind w:right="420" w:firstLine="385"/>
        <w:spacing w:after="0" w:line="259" w:lineRule="auto"/>
        <w:rPr>
          <w:sz w:val="20"/>
          <w:szCs w:val="20"/>
          <w:color w:val="auto"/>
        </w:rPr>
      </w:pPr>
      <w:r>
        <w:rPr>
          <w:rFonts w:ascii="Arial" w:cs="Arial" w:eastAsia="Arial" w:hAnsi="Arial"/>
          <w:sz w:val="18"/>
          <w:szCs w:val="18"/>
          <w:color w:val="auto"/>
        </w:rPr>
        <w:t>Outside of North America we rely heavily on third party distributors, either on a country-by-country basis or on a multi-country, regional basis, to market, sell and distribute our products where we do not have a direct sales and marketing presence (including, among others, China, Japan, Brazil, the Middle East and many European countries). As such, our revenue, if 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0" w:name="page21"/>
    <w:bookmarkEnd w:id="20"/>
    <w:p>
      <w:pPr>
        <w:ind w:right="200"/>
        <w:spacing w:after="0" w:line="287" w:lineRule="auto"/>
        <w:rPr>
          <w:sz w:val="20"/>
          <w:szCs w:val="20"/>
          <w:color w:val="auto"/>
        </w:rPr>
      </w:pPr>
      <w:r>
        <w:rPr>
          <w:rFonts w:ascii="Arial" w:cs="Arial" w:eastAsia="Arial" w:hAnsi="Arial"/>
          <w:sz w:val="16"/>
          <w:szCs w:val="16"/>
          <w:color w:val="auto"/>
        </w:rPr>
        <w:t>depends on the terms of such arrangements and the distributors’ efforts. These efforts may turn out not to be sufficient and our third-party distributors may not effectively sell our products. International distributors accounted for approximately 72% of international revenues for the fiscal year ended May 31,</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2023. International sales grew 12% in fiscal year 2023 as we continued to develop and foster partnerships with distributors such as Healthcare 21, Cardiva and Mediplast. If we are unable to maintain our relationships or establish direct sales capabilities on acceptable terms or at all, we may lose significant revenue or be unable to achieve our growth aspirations. In certain circumstances, distributors may also sell competing products,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financial condition, results of operations and/or liquidity. In addition, there is a risk that our distributors will not be financially viable due to current economic and/or regulatory events in their respective countries or remit payments to us in a timely manner. If our distributors fail to comply with applicable laws or fail to effectively market and sell our products, our financial condition and results of operations could be materially and adversely impacted.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secure adequate reimbursement for our products could materially impair our ability to grow revenue and drive profitability.</w:t>
      </w:r>
    </w:p>
    <w:p>
      <w:pPr>
        <w:spacing w:after="0" w:line="179" w:lineRule="exact"/>
        <w:rPr>
          <w:sz w:val="20"/>
          <w:szCs w:val="20"/>
          <w:color w:val="auto"/>
        </w:rPr>
      </w:pPr>
    </w:p>
    <w:p>
      <w:pPr>
        <w:ind w:right="80" w:firstLine="385"/>
        <w:spacing w:after="0" w:line="267" w:lineRule="auto"/>
        <w:rPr>
          <w:sz w:val="20"/>
          <w:szCs w:val="20"/>
          <w:color w:val="auto"/>
        </w:rPr>
      </w:pPr>
      <w:r>
        <w:rPr>
          <w:rFonts w:ascii="Arial" w:cs="Arial" w:eastAsia="Arial" w:hAnsi="Arial"/>
          <w:sz w:val="17"/>
          <w:szCs w:val="17"/>
          <w:color w:val="auto"/>
        </w:rPr>
        <w:t>Our products are used in medical procedures and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including Medicare and managed care companies, will cover the cost of the device and related procedures. Even if coverage is available, third-party payors may place restrictions on the circumstances where they provide coverage or may offer reimbursement that is not sufficient to cover the cost of our products.</w:t>
      </w:r>
    </w:p>
    <w:p>
      <w:pPr>
        <w:spacing w:after="0" w:line="129" w:lineRule="exact"/>
        <w:rPr>
          <w:sz w:val="20"/>
          <w:szCs w:val="20"/>
          <w:color w:val="auto"/>
        </w:rPr>
      </w:pPr>
    </w:p>
    <w:p>
      <w:pPr>
        <w:ind w:firstLine="385"/>
        <w:spacing w:after="0" w:line="255" w:lineRule="auto"/>
        <w:rPr>
          <w:sz w:val="20"/>
          <w:szCs w:val="20"/>
          <w:color w:val="auto"/>
        </w:rPr>
      </w:pPr>
      <w:r>
        <w:rPr>
          <w:rFonts w:ascii="Arial" w:cs="Arial" w:eastAsia="Arial" w:hAnsi="Arial"/>
          <w:sz w:val="18"/>
          <w:szCs w:val="18"/>
          <w:color w:val="auto"/>
        </w:rPr>
        <w:t>Third-party payors who cover the cost of medical products or equipment, in addition to allowing a general charge for the procedure, often maintain lists of exclusive suppliers or approved lists of products deemed to be cost-effective. If our products are not on approved lists of third-party payors, healthcare providers must determine if the additional cost and effort required in obtaining prior authorization, and the uncertainty of actually obtaining coverage, is justified by any perceived clinical benefits from using our products.</w:t>
      </w:r>
    </w:p>
    <w:p>
      <w:pPr>
        <w:spacing w:after="0" w:line="137" w:lineRule="exact"/>
        <w:rPr>
          <w:sz w:val="20"/>
          <w:szCs w:val="20"/>
          <w:color w:val="auto"/>
        </w:rPr>
      </w:pPr>
    </w:p>
    <w:p>
      <w:pPr>
        <w:ind w:right="60" w:firstLine="385"/>
        <w:spacing w:after="0" w:line="270" w:lineRule="auto"/>
        <w:rPr>
          <w:sz w:val="20"/>
          <w:szCs w:val="20"/>
          <w:color w:val="auto"/>
        </w:rPr>
      </w:pPr>
      <w:r>
        <w:rPr>
          <w:rFonts w:ascii="Arial" w:cs="Arial" w:eastAsia="Arial" w:hAnsi="Arial"/>
          <w:sz w:val="17"/>
          <w:szCs w:val="17"/>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w:t>
      </w:r>
    </w:p>
    <w:p>
      <w:pPr>
        <w:spacing w:after="0" w:line="12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If hospitals and physicians cannot obtain adequate reimbursement for our products or the procedures in which they are used, this could have a material adverse effect on our business, financial condition, results of operations and/or liquidity.</w:t>
      </w:r>
    </w:p>
    <w:p>
      <w:pPr>
        <w:spacing w:after="0" w:line="121" w:lineRule="exact"/>
        <w:rPr>
          <w:sz w:val="20"/>
          <w:szCs w:val="20"/>
          <w:color w:val="auto"/>
        </w:rPr>
      </w:pPr>
    </w:p>
    <w:p>
      <w:pPr>
        <w:ind w:right="100" w:firstLine="385"/>
        <w:spacing w:after="0" w:line="269" w:lineRule="auto"/>
        <w:rPr>
          <w:sz w:val="20"/>
          <w:szCs w:val="20"/>
          <w:color w:val="auto"/>
        </w:rPr>
      </w:pPr>
      <w:r>
        <w:rPr>
          <w:rFonts w:ascii="Arial" w:cs="Arial" w:eastAsia="Arial" w:hAnsi="Arial"/>
          <w:sz w:val="17"/>
          <w:szCs w:val="17"/>
          <w:color w:val="auto"/>
        </w:rPr>
        <w:t>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third-party payors.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a product liability claim is brought against us or our product liability insurance coverage is inadequate, our business could be harmed.</w:t>
      </w:r>
    </w:p>
    <w:p>
      <w:pPr>
        <w:spacing w:after="0" w:line="179" w:lineRule="exact"/>
        <w:rPr>
          <w:sz w:val="20"/>
          <w:szCs w:val="20"/>
          <w:color w:val="auto"/>
        </w:rPr>
      </w:pPr>
    </w:p>
    <w:p>
      <w:pPr>
        <w:jc w:val="both"/>
        <w:ind w:right="340" w:firstLine="385"/>
        <w:spacing w:after="0" w:line="259" w:lineRule="auto"/>
        <w:rPr>
          <w:sz w:val="20"/>
          <w:szCs w:val="20"/>
          <w:color w:val="auto"/>
        </w:rPr>
      </w:pPr>
      <w:r>
        <w:rPr>
          <w:rFonts w:ascii="Arial" w:cs="Arial" w:eastAsia="Arial" w:hAnsi="Arial"/>
          <w:sz w:val="18"/>
          <w:szCs w:val="18"/>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1" w:name="page22"/>
    <w:bookmarkEnd w:id="21"/>
    <w:p>
      <w:pPr>
        <w:spacing w:after="0" w:line="293" w:lineRule="auto"/>
        <w:rPr>
          <w:sz w:val="20"/>
          <w:szCs w:val="20"/>
          <w:color w:val="auto"/>
        </w:rPr>
      </w:pPr>
      <w:r>
        <w:rPr>
          <w:rFonts w:ascii="Arial" w:cs="Arial" w:eastAsia="Arial" w:hAnsi="Arial"/>
          <w:sz w:val="16"/>
          <w:szCs w:val="16"/>
          <w:color w:val="auto"/>
        </w:rPr>
        <w:t>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07" w:lineRule="exact"/>
        <w:rPr>
          <w:sz w:val="20"/>
          <w:szCs w:val="20"/>
          <w:color w:val="auto"/>
        </w:rPr>
      </w:pPr>
    </w:p>
    <w:p>
      <w:pPr>
        <w:ind w:right="80" w:firstLine="385"/>
        <w:spacing w:after="0" w:line="268" w:lineRule="auto"/>
        <w:rPr>
          <w:sz w:val="20"/>
          <w:szCs w:val="20"/>
          <w:color w:val="auto"/>
        </w:rPr>
      </w:pPr>
      <w:r>
        <w:rPr>
          <w:rFonts w:ascii="Arial" w:cs="Arial" w:eastAsia="Arial" w:hAnsi="Arial"/>
          <w:sz w:val="17"/>
          <w:szCs w:val="17"/>
          <w:color w:val="auto"/>
        </w:rPr>
        <w:t>We carry a product liability policy with a limit of $10.0 million per product liability claim and an aggregate policy limit of $10.0 million, subject to a self-insured retention of $0.5 million per occurrence and $2.0 million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results of operations and/or liquidity could be negatively impacted. Further, such claims may require us to recall some of our products, which could result in significant costs to us.</w:t>
      </w:r>
    </w:p>
    <w:p>
      <w:pPr>
        <w:spacing w:after="0" w:line="126"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We may be exposed to risks associated with product line divestitures as we may never realize the expected benefits and could cause operational disruptions with personnel, systems and infrastructure changes.</w:t>
      </w:r>
    </w:p>
    <w:p>
      <w:pPr>
        <w:spacing w:after="0" w:line="121" w:lineRule="exact"/>
        <w:rPr>
          <w:sz w:val="20"/>
          <w:szCs w:val="20"/>
          <w:color w:val="auto"/>
        </w:rPr>
      </w:pPr>
    </w:p>
    <w:p>
      <w:pPr>
        <w:ind w:right="100" w:firstLine="385"/>
        <w:spacing w:after="0" w:line="255" w:lineRule="auto"/>
        <w:rPr>
          <w:sz w:val="20"/>
          <w:szCs w:val="20"/>
          <w:color w:val="auto"/>
        </w:rPr>
      </w:pPr>
      <w:r>
        <w:rPr>
          <w:rFonts w:ascii="Arial" w:cs="Arial" w:eastAsia="Arial" w:hAnsi="Arial"/>
          <w:sz w:val="18"/>
          <w:szCs w:val="18"/>
          <w:color w:val="auto"/>
        </w:rPr>
        <w:t>On June 8, 2023, the Company entered into an asset purchase agreement (the "Asset Purchase Agreement") with Merit Medical Systems, Inc. pursuant to which Merit acquired the dialysis product portfolio and BioSentry tract sealant system biopsy businesses for $100.0 million in cash. The Company and Merit entered into various agreements to facilitate the transition to Merit, including a Transactions Services Agreement and Contract Manufacturing Agreement.</w:t>
      </w:r>
    </w:p>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divestiture along with potential future divestitures of certain product lines will allow us to transform ourselves into a high growth, highly profitable, medical technology company. If we are unable to achieve our growth and profitability objectives due to competition, lack of acceptance of our products, failure to generate favorable clinical data or gain regulatory approvals, or other risks as described in this section, or due to other events, we will not be successful in transforming our business and may not see the appropriate market valuation. The divestiture of product lines will impact revenue, earnings and cash flows, which over time we expect to replace by investing in higher margin revenue streams. There is a risk that we will be unable to replace the revenue, earnings and cash flow that these product lines generated, or that the cost of such will be higher than expected. If we are unable to achieve our profit and growth objectives, such failure will be exacerbated by the loss of revenue, earnings and cash flow generated by our divested product lines and could materially impact our financial position and results of operations, resulting in a decline in our stock price.</w:t>
      </w:r>
    </w:p>
    <w:p>
      <w:pPr>
        <w:spacing w:after="0" w:line="12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sale of product lines could require us to restructure significant personnel, systems and infrastructure. In some instances, we may enter into short term transition service arrangements, under which the parties perform certain services for each other pending establishment of new processes and systems. Although these transitions are thoroughly planned, it is not unlikely in a transaction of this complexity that disruptions could occur. If disruptions to our financial controls, IT, administrative support, manufacturing or regulatory processes occur, and if such disruptions prove to be more severe than our planning anticipated, this could have a material adverse effect on our business.</w:t>
      </w:r>
    </w:p>
    <w:p>
      <w:pPr>
        <w:spacing w:after="0" w:line="13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21" w:lineRule="exact"/>
        <w:rPr>
          <w:sz w:val="20"/>
          <w:szCs w:val="20"/>
          <w:color w:val="auto"/>
        </w:rPr>
      </w:pPr>
    </w:p>
    <w:p>
      <w:pPr>
        <w:ind w:right="100" w:firstLine="385"/>
        <w:spacing w:after="0" w:line="275" w:lineRule="auto"/>
        <w:rPr>
          <w:sz w:val="20"/>
          <w:szCs w:val="20"/>
          <w:color w:val="auto"/>
        </w:rPr>
      </w:pPr>
      <w:r>
        <w:rPr>
          <w:rFonts w:ascii="Arial" w:cs="Arial" w:eastAsia="Arial" w:hAnsi="Arial"/>
          <w:sz w:val="17"/>
          <w:szCs w:val="17"/>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high inflation and trade protection measures, creditworthiness of our customers, may negatively affect consumer preferences, perceptions, spending patterns or demographic trends, any of which could adversely affect our business, financial condition, results of operations and/or liquidity.</w:t>
      </w:r>
    </w:p>
    <w:p>
      <w:pPr>
        <w:spacing w:after="0" w:line="120" w:lineRule="exact"/>
        <w:rPr>
          <w:sz w:val="20"/>
          <w:szCs w:val="20"/>
          <w:color w:val="auto"/>
        </w:rPr>
      </w:pPr>
    </w:p>
    <w:p>
      <w:pPr>
        <w:ind w:right="20" w:firstLine="385"/>
        <w:spacing w:after="0" w:line="270" w:lineRule="auto"/>
        <w:rPr>
          <w:sz w:val="20"/>
          <w:szCs w:val="20"/>
          <w:color w:val="auto"/>
        </w:rPr>
      </w:pPr>
      <w:r>
        <w:rPr>
          <w:rFonts w:ascii="Arial" w:cs="Arial" w:eastAsia="Arial" w:hAnsi="Arial"/>
          <w:sz w:val="17"/>
          <w:szCs w:val="17"/>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may put further pressure on economic conditions in the United States and abroad. The global economy has been periodically impacted by the effects of global economic downturns (such as those recently related to COVID-19). There can be no assurance that there will not be further such events or deterioration in the global economy. These economic conditions make it more difficult for us to accurately forecast and plan our future business activities.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ind w:right="60" w:firstLine="385"/>
        <w:spacing w:after="0" w:line="251" w:lineRule="auto"/>
        <w:rPr>
          <w:sz w:val="20"/>
          <w:szCs w:val="20"/>
          <w:color w:val="auto"/>
        </w:rPr>
      </w:pPr>
      <w:r>
        <w:rPr>
          <w:rFonts w:ascii="Arial" w:cs="Arial" w:eastAsia="Arial" w:hAnsi="Arial"/>
          <w:sz w:val="18"/>
          <w:szCs w:val="18"/>
          <w:color w:val="auto"/>
        </w:rPr>
        <w:t>Volatility in the cost of raw materials, components, freight and energy increases the costs of producing and distributing our products. New laws or regulations adopted in response to climate change could also increase energy and transportation costs, as well as the costs of certain raw materials and components. Increases in oil prices may increase our packaging and transportation costs. Recently, the costs of labor, raw materials, transportation, construction, services, and energy necessary for the production and distribution of our products have increased significantly. While we have implemented cost containment measures, selective price increases and taken other actions to offset these inflationary pressures in our supply chain, we may not be able to completely offset all the increases in our operational costs, any of which could adversely affect our business, financial condition, results of operations and/or liquidity.</w:t>
      </w:r>
    </w:p>
    <w:p>
      <w:pPr>
        <w:spacing w:after="0" w:line="143" w:lineRule="exact"/>
        <w:rPr>
          <w:sz w:val="20"/>
          <w:szCs w:val="20"/>
          <w:color w:val="auto"/>
        </w:rPr>
      </w:pPr>
    </w:p>
    <w:p>
      <w:pPr>
        <w:ind w:right="180" w:firstLine="385"/>
        <w:spacing w:after="0" w:line="297" w:lineRule="auto"/>
        <w:rPr>
          <w:sz w:val="20"/>
          <w:szCs w:val="20"/>
          <w:color w:val="auto"/>
        </w:rPr>
      </w:pPr>
      <w:r>
        <w:rPr>
          <w:rFonts w:ascii="Arial" w:cs="Arial" w:eastAsia="Arial" w:hAnsi="Arial"/>
          <w:sz w:val="16"/>
          <w:szCs w:val="16"/>
          <w:color w:val="auto"/>
        </w:rPr>
        <w:t>Sales outside the U.S. accounted for approximately 17% of our net sales during our fiscal year ended May 31, 2023. We anticipate that sales from international operations will continue to represent a significant portion of our total sales, and we intend to continue our expansion into emerging and/or faster-growing markets outside the U.S. Our sales and profitability from our international operations are subject to risks and uncertainties that could have a material adverse effect on our business, financial condition and/or results of operations, many of which we cannot predict, including:</w:t>
      </w:r>
    </w:p>
    <w:p>
      <w:pPr>
        <w:spacing w:after="0" w:line="106" w:lineRule="exact"/>
        <w:rPr>
          <w:sz w:val="20"/>
          <w:szCs w:val="20"/>
          <w:color w:val="auto"/>
        </w:rPr>
      </w:pPr>
    </w:p>
    <w:p>
      <w:pPr>
        <w:ind w:left="640" w:hanging="312"/>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currency exchange rates which may, in some instances affect spending behavior and reduce cash flows and revenue outside the U.S.;</w:t>
      </w:r>
    </w:p>
    <w:p>
      <w:pPr>
        <w:spacing w:after="0" w:line="42" w:lineRule="exact"/>
        <w:rPr>
          <w:rFonts w:ascii="Arial" w:cs="Arial" w:eastAsia="Arial" w:hAnsi="Arial"/>
          <w:sz w:val="16"/>
          <w:szCs w:val="16"/>
          <w:color w:val="auto"/>
        </w:rPr>
      </w:pP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 reform legislation;</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multiple non-U.S. regulatory requirements that are subject to change and could restrict our ability to manufacture and sell our products;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longer-term receivables than are typical in the U.S. and/or the ability to obtain payment;</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intellectual property protection in some countries outside the U.S. than exists in the U.S.;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labor regulations and workforce instability;</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payment of U.S. income taxes on earnings of certain foreign subsidiaries subject to U.S. taxation upon repatriation;</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expiration and non-renewal of foreign tax rulings;</w:t>
      </w:r>
    </w:p>
    <w:p>
      <w:pPr>
        <w:spacing w:after="0" w:line="6" w:lineRule="exact"/>
        <w:rPr>
          <w:rFonts w:ascii="Arial" w:cs="Arial" w:eastAsia="Arial" w:hAnsi="Arial"/>
          <w:sz w:val="18"/>
          <w:szCs w:val="18"/>
          <w:color w:val="auto"/>
        </w:rPr>
      </w:pPr>
    </w:p>
    <w:p>
      <w:pPr>
        <w:ind w:left="640" w:hanging="312"/>
        <w:spacing w:after="0" w:line="248"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negative consequences from changes in or interpretation of tax laws, including changes in our effective tax rate or the applicable tax rate in one or more jurisdictions; and</w:t>
      </w:r>
    </w:p>
    <w:p>
      <w:pPr>
        <w:ind w:left="640" w:hanging="3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instability and inflation, recession or interest rate fluctuations.</w:t>
      </w:r>
    </w:p>
    <w:p>
      <w:pPr>
        <w:spacing w:after="0" w:line="235" w:lineRule="exact"/>
        <w:rPr>
          <w:sz w:val="20"/>
          <w:szCs w:val="20"/>
          <w:color w:val="auto"/>
        </w:rPr>
      </w:pPr>
    </w:p>
    <w:p>
      <w:pPr>
        <w:ind w:right="140" w:firstLine="385"/>
        <w:spacing w:after="0" w:line="288" w:lineRule="auto"/>
        <w:rPr>
          <w:sz w:val="20"/>
          <w:szCs w:val="20"/>
          <w:color w:val="auto"/>
        </w:rPr>
      </w:pPr>
      <w:r>
        <w:rPr>
          <w:rFonts w:ascii="Arial" w:cs="Arial" w:eastAsia="Arial" w:hAnsi="Arial"/>
          <w:sz w:val="16"/>
          <w:szCs w:val="16"/>
          <w:color w:val="auto"/>
        </w:rPr>
        <w:t>Russia’s invasion and military attacks on Ukraine have triggered significant sanctions from U.S. and European leaders. These events may escalate and have created increasingly volatile global economic conditions. Resulting changes in U.S. trade policy could trigger retaliatory actions by Russia, its allies and other affected countries, including China, resulting in a “trade war.” A trade war could result in increased costs for raw materials we use in our manufacturing and could result in Russia and other foreign governments imposing tariffs on products that we export outside the U.S. or otherwise limiting our ability to sell our products abroad. These increased costs could have a material adverse effect on our business, financial condition and results of operations. Furthermore, if the conflict between Russia and Ukraine continues for a long period of time, or if other countries, including the U.S., become further involved in the conflict, we could face material adverse effects on our business, financial condition, results of operations and/or liquidity.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cannot hire or retain qualified personnel.</w:t>
      </w:r>
    </w:p>
    <w:p>
      <w:pPr>
        <w:spacing w:after="0" w:line="167" w:lineRule="exact"/>
        <w:rPr>
          <w:sz w:val="20"/>
          <w:szCs w:val="20"/>
          <w:color w:val="auto"/>
        </w:rPr>
      </w:pPr>
    </w:p>
    <w:p>
      <w:pPr>
        <w:ind w:firstLine="385"/>
        <w:spacing w:after="0" w:line="288" w:lineRule="auto"/>
        <w:rPr>
          <w:sz w:val="20"/>
          <w:szCs w:val="20"/>
          <w:color w:val="auto"/>
        </w:rPr>
      </w:pPr>
      <w:r>
        <w:rPr>
          <w:rFonts w:ascii="Arial" w:cs="Arial" w:eastAsia="Arial" w:hAnsi="Arial"/>
          <w:sz w:val="16"/>
          <w:szCs w:val="16"/>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including personnel for our manufacturing facilities and field based sales employees. If we are not able to hire and retain personnel in our manufacturing facilities, we may not meet our production demand. We have experienced labor shortages in fiscal years 2022 and 2023 that significantly contributed to the backlog. In addition, our sales force is highly talented and we face intense competition in our industry for sales personnel which could have an adverse effect on our business and revenue if there is significant turnover.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profitably, our business, financial results and stock price could suffer.</w:t>
      </w:r>
    </w:p>
    <w:p>
      <w:pPr>
        <w:spacing w:after="0" w:line="167" w:lineRule="exact"/>
        <w:rPr>
          <w:sz w:val="20"/>
          <w:szCs w:val="20"/>
          <w:color w:val="auto"/>
        </w:rPr>
      </w:pPr>
    </w:p>
    <w:p>
      <w:pPr>
        <w:ind w:right="220" w:firstLine="385"/>
        <w:spacing w:after="0" w:line="259" w:lineRule="auto"/>
        <w:rPr>
          <w:sz w:val="20"/>
          <w:szCs w:val="20"/>
          <w:color w:val="auto"/>
        </w:rPr>
      </w:pPr>
      <w:r>
        <w:rPr>
          <w:rFonts w:ascii="Arial" w:cs="Arial" w:eastAsia="Arial" w:hAnsi="Arial"/>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integration-related expenses and capital expenditure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8"/>
          <w:szCs w:val="18"/>
          <w:color w:val="auto"/>
        </w:rPr>
        <w:t>requirements are greater than anticipated or if we are unable to manage our growth profitably, our financial results and the market price of our common stock may decline.</w:t>
      </w:r>
    </w:p>
    <w:p>
      <w:pPr>
        <w:spacing w:after="0" w:line="121" w:lineRule="exact"/>
        <w:rPr>
          <w:sz w:val="20"/>
          <w:szCs w:val="20"/>
          <w:color w:val="auto"/>
        </w:rPr>
      </w:pPr>
    </w:p>
    <w:p>
      <w:pPr>
        <w:ind w:firstLine="385"/>
        <w:spacing w:after="0" w:line="252" w:lineRule="auto"/>
        <w:rPr>
          <w:sz w:val="20"/>
          <w:szCs w:val="20"/>
          <w:color w:val="auto"/>
        </w:rPr>
      </w:pPr>
      <w:r>
        <w:rPr>
          <w:rFonts w:ascii="Arial" w:cs="Arial" w:eastAsia="Arial" w:hAnsi="Arial"/>
          <w:sz w:val="18"/>
          <w:szCs w:val="18"/>
          <w:color w:val="auto"/>
        </w:rPr>
        <w:t>In recent years we have begun to implement operational excellence initiatives which include a number of restructuring, realignment and cost reduction initiatives. We may not realize the benefits of these initiatives to the extent or on the timing we anticipated and the ongoing difficulties in implementing these measures may be greater than anticipated and/or offset by inflationary pressures, which could cause us to incur additional costs or result in business disruptions like the backlogs we have experienced in fiscal years 2022 and 2023. In addition, if these measures are not successful or sustainable, we may undertake additional realignment and cost reduction efforts, which could result in significant additional expenses and adversely impact our ability to achieve our other strategic goals and business plans.</w:t>
      </w:r>
    </w:p>
    <w:p>
      <w:pPr>
        <w:spacing w:after="0" w:line="14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We may fail to attract additional capital necessary to expand our business or may incur additional indebtedness which, together with our current indebtedness levels, could impose operating and financial restrictions on us as a result of debt service obligations which could significantly limit our ability to execute our business strategy or curtail our growth.</w:t>
      </w:r>
    </w:p>
    <w:p>
      <w:pPr>
        <w:spacing w:after="0" w:line="132" w:lineRule="exact"/>
        <w:rPr>
          <w:sz w:val="20"/>
          <w:szCs w:val="20"/>
          <w:color w:val="auto"/>
        </w:rPr>
      </w:pPr>
    </w:p>
    <w:p>
      <w:pPr>
        <w:ind w:right="160" w:firstLine="385"/>
        <w:spacing w:after="0" w:line="253" w:lineRule="auto"/>
        <w:rPr>
          <w:sz w:val="20"/>
          <w:szCs w:val="20"/>
          <w:color w:val="auto"/>
        </w:rPr>
      </w:pPr>
      <w:r>
        <w:rPr>
          <w:rFonts w:ascii="Arial" w:cs="Arial" w:eastAsia="Arial" w:hAnsi="Arial"/>
          <w:sz w:val="18"/>
          <w:szCs w:val="18"/>
          <w:color w:val="auto"/>
        </w:rPr>
        <w:t>We may require additional capital to expand our business. If cash generated internally is insufficient to fund capital requirements, we may require additional debt or equity financing. In addition, we may require financing to fund any significant acquisitions we may seek to make. Disruptions in the capital markets and increases in the cost of capital have previously resulted, and could again result, in volatility, decreased liquidity, and widening of credit spreads, which could make needed financing either unavailable or available on terms unsatisfactory to us which could result in significant stockholder dilution.</w:t>
      </w:r>
    </w:p>
    <w:p>
      <w:pPr>
        <w:spacing w:after="0" w:line="139" w:lineRule="exact"/>
        <w:rPr>
          <w:sz w:val="20"/>
          <w:szCs w:val="20"/>
          <w:color w:val="auto"/>
        </w:rPr>
      </w:pPr>
    </w:p>
    <w:p>
      <w:pPr>
        <w:ind w:firstLine="385"/>
        <w:spacing w:after="0" w:line="267" w:lineRule="auto"/>
        <w:rPr>
          <w:sz w:val="20"/>
          <w:szCs w:val="20"/>
          <w:color w:val="auto"/>
        </w:rPr>
      </w:pPr>
      <w:r>
        <w:rPr>
          <w:rFonts w:ascii="Arial" w:cs="Arial" w:eastAsia="Arial" w:hAnsi="Arial"/>
          <w:sz w:val="17"/>
          <w:szCs w:val="17"/>
          <w:color w:val="auto"/>
        </w:rPr>
        <w:t>We may incur additional indebtedness or draw additional amounts on our existing credit facilities in the future subject to limitations contained in the agreements governing our debt. The interest rate on potential borrowings could be a floating rate which could expose us to the risk of increased interest expense in the future. The terms of indebtedness could require us to comply with certain financial maintenance covenants. In addition, the terms of our existing indebtedness include, and any future indebtedness could include, covenants restricting or limiting our ability to take certain actions. These covenants could adversely affect our ability to obtain additional financing, to finance future operations, to pursue certain business opportunities or take certain corporate actions. The covenants could also restrict our flexibility in planning for changes in our business and the industry and could make us more vulnerable to economic downturns and adverse developments,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129" w:lineRule="exact"/>
        <w:rPr>
          <w:sz w:val="20"/>
          <w:szCs w:val="20"/>
          <w:color w:val="auto"/>
        </w:rPr>
      </w:pPr>
    </w:p>
    <w:p>
      <w:pPr>
        <w:ind w:firstLine="385"/>
        <w:spacing w:after="0" w:line="267" w:lineRule="auto"/>
        <w:rPr>
          <w:sz w:val="20"/>
          <w:szCs w:val="20"/>
          <w:color w:val="auto"/>
        </w:rPr>
      </w:pPr>
      <w:r>
        <w:rPr>
          <w:rFonts w:ascii="Arial" w:cs="Arial" w:eastAsia="Arial" w:hAnsi="Arial"/>
          <w:sz w:val="17"/>
          <w:szCs w:val="17"/>
          <w:color w:val="auto"/>
        </w:rPr>
        <w:t>Our ability to meet our cash requirements, including our debt service obligations, could be dependent upon our operating performance, which would be subject to general economic and competitive conditions and to financial, business and other factors affecting our operations, many of which could be beyond our control. We cannot provide assurance that our business operations would generate sufficient cash flows from operations to fund potential cash requirements and debt service obligations. If our operating results, cash flow or capital resources prove inadequate, we could face substantial liquidity problems and might be required to dispose of material assets or operations to meet our debt and other obligations. If we incurred indebtedness and were unable to service our debt, we could be forced to reduce or delay planned expansions and capital expenditures, sell assets, restructure or refinance our debt or seek additional equity capital, and we could be unable to take any of these actions on satisfactory terms or in a timely manner. Further, any of these actions may not be sufficient to allow us to service our potential debt obligations or could have an adverse impact on our business. Our potential debt agreements could limit our ability to take certain of these actions. Our failure to generate sufficient operating cash flow to pay our potential debts or to successfully undertake any of these actions could have a material adverse effect on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 and unfavorable economic conditions could negatively affect our operations and business.</w:t>
      </w:r>
    </w:p>
    <w:p>
      <w:pPr>
        <w:spacing w:after="0" w:line="154" w:lineRule="exact"/>
        <w:rPr>
          <w:sz w:val="20"/>
          <w:szCs w:val="20"/>
          <w:color w:val="auto"/>
        </w:rPr>
      </w:pPr>
    </w:p>
    <w:p>
      <w:pPr>
        <w:ind w:right="80" w:firstLine="401"/>
        <w:spacing w:after="0" w:line="252" w:lineRule="auto"/>
        <w:rPr>
          <w:sz w:val="20"/>
          <w:szCs w:val="20"/>
          <w:color w:val="auto"/>
        </w:rPr>
      </w:pPr>
      <w:r>
        <w:rPr>
          <w:rFonts w:ascii="Arial" w:cs="Arial" w:eastAsia="Arial" w:hAnsi="Arial"/>
          <w:sz w:val="17"/>
          <w:szCs w:val="17"/>
          <w:color w:val="auto"/>
        </w:rPr>
        <w:t>A significant deterioration in economic conditions, including economic slowdowns or recessions, increased unemployment levels, inflationary pressures or disruptions to credit and capital markets, could lead to decreased consumer confidence and spending and availability of credit. For example, in 2022 and continuing into 2023, the United States and other certain foreign countries have experienced a rapid increase in inflation levels. Such heightened inflationary levels may negatively impact demand for our products and increase our costs. Additionally, we finance a portion of our portfolio with unhedged floating- rate debt from our Credit Agreement. The rapid increase in inflation during fiscal year 2023 led to a rapid increase in market interest rates, which materially increased the interest rate on our floating rate debt. In addition, if rates continue to increase, we may incur significant additional expense and adversely impact our ability to achieve our other strategic goals and business plans.</w:t>
      </w:r>
    </w:p>
    <w:p>
      <w:pPr>
        <w:spacing w:after="0" w:line="208"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b w:val="1"/>
          <w:bCs w:val="1"/>
          <w:i w:val="1"/>
          <w:iCs w:val="1"/>
          <w:color w:val="auto"/>
        </w:rPr>
        <w:t>Our goodwill, intangible assets and fixed assets are subject to potential impairment; we have recorded significant goodwill impairment charges and may be required to record additional charges to future earnings if our goodwill or intangible assets become impaired.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4" w:name="page25"/>
    <w:bookmarkEnd w:id="24"/>
    <w:p>
      <w:pPr>
        <w:ind w:right="120" w:firstLine="385"/>
        <w:spacing w:after="0" w:line="293" w:lineRule="auto"/>
        <w:rPr>
          <w:sz w:val="20"/>
          <w:szCs w:val="20"/>
          <w:color w:val="auto"/>
        </w:rPr>
      </w:pPr>
      <w:r>
        <w:rPr>
          <w:rFonts w:ascii="Arial" w:cs="Arial" w:eastAsia="Arial" w:hAnsi="Arial"/>
          <w:sz w:val="16"/>
          <w:szCs w:val="16"/>
          <w:color w:val="auto"/>
        </w:rPr>
        <w:t>A significant portion of our assets consists of goodwill, intangible assets and fixed assets, the carrying value of which may be reduced if we determine that those assets are impaired, including intangible assets from recent acquisitions. During the fourth quarter of fiscal year 2021, the Company made the decision to abandon the OARtrac product technology and trademark. This resulted in an impairment charge of $14.0 million. The impairment charge is recorded in "Acquisition, restructuring and other items, net", on the Consolidated Statements of Operations (see Note 19, "Acquisition, restructuring and other items, net" set forth in the Notes in the consolidated financial statements included in this Annual Report on Form 10-K).</w:t>
      </w:r>
    </w:p>
    <w:p>
      <w:pPr>
        <w:spacing w:after="0" w:line="107" w:lineRule="exact"/>
        <w:rPr>
          <w:sz w:val="20"/>
          <w:szCs w:val="20"/>
          <w:color w:val="auto"/>
        </w:rPr>
      </w:pPr>
    </w:p>
    <w:p>
      <w:pPr>
        <w:ind w:firstLine="385"/>
        <w:spacing w:after="0" w:line="285" w:lineRule="auto"/>
        <w:rPr>
          <w:sz w:val="20"/>
          <w:szCs w:val="20"/>
          <w:color w:val="auto"/>
        </w:rPr>
      </w:pPr>
      <w:r>
        <w:rPr>
          <w:rFonts w:ascii="Arial" w:cs="Arial" w:eastAsia="Arial" w:hAnsi="Arial"/>
          <w:sz w:val="16"/>
          <w:szCs w:val="16"/>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When testing for impairment of definite-lived intangible assets held for use, the Company groups assets at the lowest level for which cash flows are separately identifiable. The Company operates as a single asset group. If an intangible asset is considered to be impaired, the amount of the impairment will equal the excess of the carrying value over the fair value of the asset.</w:t>
      </w:r>
    </w:p>
    <w:p>
      <w:pPr>
        <w:spacing w:after="0" w:line="115" w:lineRule="exact"/>
        <w:rPr>
          <w:sz w:val="20"/>
          <w:szCs w:val="20"/>
          <w:color w:val="auto"/>
        </w:rPr>
      </w:pPr>
    </w:p>
    <w:p>
      <w:pPr>
        <w:ind w:right="40" w:firstLine="385"/>
        <w:spacing w:after="0" w:line="266" w:lineRule="auto"/>
        <w:rPr>
          <w:sz w:val="20"/>
          <w:szCs w:val="20"/>
          <w:color w:val="auto"/>
        </w:rPr>
      </w:pPr>
      <w:r>
        <w:rPr>
          <w:rFonts w:ascii="Arial" w:cs="Arial" w:eastAsia="Arial" w:hAnsi="Arial"/>
          <w:sz w:val="17"/>
          <w:szCs w:val="17"/>
          <w:color w:val="auto"/>
        </w:rPr>
        <w:t>Goodwill and other intangible assets that have indefinite useful lives are not amortized, but rather, are tested for impairment annually or more frequently if impairment indicators arise. Prior to the first quarter of fiscal year 2023, the Company managed its operations as one reporting unit. At the beginning of the first quarter of fiscal year 2023, the Company began to manage its operations as two operating segments and two reporting units, namely Med Tech and Med Device (see Note 18 "Segment and Geographic Information" set forth in the Notes to our consolidated financial statements included in this Annual Report on Form 10-K). The annual goodwill impairment review performed in April 2023 and 2022 indicated no goodwill impairments. As of May 31, 2023, the Company concluded that the sale of the dialysis product portfolio and BioSentry tract sealant system biopsy businesses to Merit Medical Systems, Inc. was a triggering event for the Med Device report unit. The Company utilized the income approach to determine the fair value of the remaining Med Device reporting unit. Based on the results of this evaluation, the Company recorded a goodwill impairment charge of $14.5 million for the year ended May 31, 2023 to write down the carrying value of the Med Device reporting unit to fair value. If actual results differ from the assumptions and estimates used in the goodwill and intangible asset calculations, we could incur future impairment or amortization charges, which could negatively impact our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limited in our ability to utilize, or may not be able to utilize, net operating loss carryforwards to reduce our future tax liability.</w:t>
      </w:r>
    </w:p>
    <w:p>
      <w:pPr>
        <w:spacing w:after="0" w:line="179" w:lineRule="exact"/>
        <w:rPr>
          <w:sz w:val="20"/>
          <w:szCs w:val="20"/>
          <w:color w:val="auto"/>
        </w:rPr>
      </w:pPr>
    </w:p>
    <w:p>
      <w:pPr>
        <w:ind w:right="100" w:firstLine="385"/>
        <w:spacing w:after="0" w:line="267" w:lineRule="auto"/>
        <w:rPr>
          <w:sz w:val="20"/>
          <w:szCs w:val="20"/>
          <w:color w:val="auto"/>
        </w:rPr>
      </w:pPr>
      <w:r>
        <w:rPr>
          <w:rFonts w:ascii="Arial" w:cs="Arial" w:eastAsia="Arial" w:hAnsi="Arial"/>
          <w:sz w:val="17"/>
          <w:szCs w:val="17"/>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2023 after considering IRC Section 382 limitations are $169.7 million. The expiration of the Federal net operating loss carryforwards is as follows: $5.2 million between 2023 and 2024, $79.4 million between 2028 and 2037 and $85.1 million indefinitely. Our state net operating loss carryforwards as of May 31, 2023 after considering remaining IRC Section 382 limitations are $24.1 million which expire in various years from 2029 to 2042. Future ownership changes within the meaning of IRC Section 382 may also subject our tax loss carryforwards to annual limitations which would restrict our ability to use them to offset our taxable income in periods following the ownership changes. See Note 10, "Income Taxes" set forth in our consolidated financial statements included in our Annual Report on Form 10-K for the fiscal year ended May 31, 2023 for a further discussion of our tax loss carryovers.</w:t>
      </w:r>
    </w:p>
    <w:p>
      <w:pPr>
        <w:spacing w:after="0" w:line="129"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A cyber-attack or other breach of our, our distributors, or our supply chain partners' information technology systems could have a material adverse effect on our business, financial condition and/or results of operations.</w:t>
      </w:r>
    </w:p>
    <w:p>
      <w:pPr>
        <w:spacing w:after="0" w:line="121" w:lineRule="exact"/>
        <w:rPr>
          <w:sz w:val="20"/>
          <w:szCs w:val="20"/>
          <w:color w:val="auto"/>
        </w:rPr>
      </w:pPr>
    </w:p>
    <w:p>
      <w:pPr>
        <w:ind w:right="100" w:firstLine="385"/>
        <w:spacing w:after="0" w:line="270"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cyber-attacks, malicious intrusions, breakdowns, destruction, losses of data privacy, or other significant disruptions. Our distributors and supply chain partners face similar risks. Our information systems require an ongoing commitment of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gain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access into our systems or products or those of our supply chain partners to obtain data relating to patients or our proprietary information.</w:t>
      </w:r>
    </w:p>
    <w:p>
      <w:pPr>
        <w:spacing w:after="0" w:line="167" w:lineRule="exact"/>
        <w:rPr>
          <w:sz w:val="20"/>
          <w:szCs w:val="20"/>
          <w:color w:val="auto"/>
        </w:rPr>
      </w:pPr>
    </w:p>
    <w:p>
      <w:pPr>
        <w:ind w:right="40" w:firstLine="385"/>
        <w:spacing w:after="0" w:line="268" w:lineRule="auto"/>
        <w:rPr>
          <w:sz w:val="20"/>
          <w:szCs w:val="20"/>
          <w:color w:val="auto"/>
        </w:rPr>
      </w:pPr>
      <w:r>
        <w:rPr>
          <w:rFonts w:ascii="Arial" w:cs="Arial" w:eastAsia="Arial" w:hAnsi="Arial"/>
          <w:sz w:val="17"/>
          <w:szCs w:val="17"/>
          <w:color w:val="auto"/>
        </w:rPr>
        <w:t>Any failure by us, our distributors, or our supply chain partners to maintain or protect information technology systems and data integrity, including from cyber-attacks, ransomware, intrusions or other breaches, could result in the unauthorized access to supply chain partners or vendors and personally identifiable information, theft of intellectual property, misappropriation of assets, or otherwise compromise confidential or proprietary information and disrupt operations of our Company, our distributors, or our supply chain partners. Any of these events, in turn, may cause us to lose existing customers, have difficulty preventing, detecting, and controlling fraud, have disputes with customers, our supply chain partners,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and/or results of operations.</w:t>
      </w:r>
    </w:p>
    <w:p>
      <w:pPr>
        <w:spacing w:after="0" w:line="12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Any disaster at our manufacturing facilities or those of our suppliers could disrupt our ability to manufacture our products for a substantial amount of time.</w:t>
      </w:r>
    </w:p>
    <w:p>
      <w:pPr>
        <w:spacing w:after="0" w:line="121" w:lineRule="exact"/>
        <w:rPr>
          <w:sz w:val="20"/>
          <w:szCs w:val="20"/>
          <w:color w:val="auto"/>
        </w:rPr>
      </w:pPr>
    </w:p>
    <w:p>
      <w:pPr>
        <w:ind w:right="20" w:firstLine="385"/>
        <w:spacing w:after="0" w:line="268" w:lineRule="auto"/>
        <w:rPr>
          <w:sz w:val="20"/>
          <w:szCs w:val="20"/>
          <w:color w:val="auto"/>
        </w:rPr>
      </w:pPr>
      <w:r>
        <w:rPr>
          <w:rFonts w:ascii="Arial" w:cs="Arial" w:eastAsia="Arial" w:hAnsi="Arial"/>
          <w:sz w:val="17"/>
          <w:szCs w:val="17"/>
          <w:color w:val="auto"/>
        </w:rPr>
        <w:t>We conduct manufacturing and assembly at facilities in Queensbury, New York, Glens Falls, New York, and other third parties in Costa Rica, Israel, Latvia, China and other locations. It would be difficult, expensive and time-consuming to transfer resources from one facility to the other and/or replace or repair these facilities or manufacturing equipment if they were significantly affected by a disaster. Additionally, we might be forced to rely on third-party manufacturers or delay production of our products. Insurance for damage to our properties and the disruption of our business from disasters may not be sufficient to cover all of our potential losses and may not continue to be available to us on acceptable terms, or at all. If one of our principal suppliers were to experience a similar disaster, uninsured loss or under-insured loss, we might not be able to obtain adequate alternative sources of supplies or products. Any significant uninsured loss, prolonged or repeated disruption, or inability to operate experienced by us or any of our principal suppliers could cause significant harm to our business, financial condition, results of operations and/or liquidity.</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32" w:lineRule="exact"/>
        <w:rPr>
          <w:sz w:val="20"/>
          <w:szCs w:val="20"/>
          <w:color w:val="auto"/>
        </w:rPr>
      </w:pPr>
    </w:p>
    <w:p>
      <w:pPr>
        <w:ind w:right="20" w:firstLine="385"/>
        <w:spacing w:after="0" w:line="287"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may enable our management to resist a change in control. For example, our Board of Directors is classified so that not all members of our Board of Directors are elected at one time and our Board of Directors is authorized, without prior stockholder approval, to create and issue “blank check” preferred stock with rights senior to those of our common stock and stockholder action by written consent is prohibited. We are also subject to the provisions of Section 203 of the Delaware General Corporation Law, which may prohibit certain business combinations with stockholders owning 15% or more of our outstanding voting stock. These provisions may discourage, delay or prevent a change in the ownership of our Company or a change in our management. In addition, these provisions could limit the price that investors would be willing to pay in the future for shares of our common stock. Any delay or prevention of a change of control transaction or changes in our Board of Directors could cause the market price of our common stock to decline.</w:t>
      </w:r>
    </w:p>
    <w:p>
      <w:pPr>
        <w:spacing w:after="0" w:line="1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COVID-19 pandemic has negatively impacted our business and operations around the world and may continue to materially and adversely impact our business, operations and financial results.</w:t>
      </w:r>
    </w:p>
    <w:p>
      <w:pPr>
        <w:spacing w:after="0" w:line="121" w:lineRule="exact"/>
        <w:rPr>
          <w:sz w:val="20"/>
          <w:szCs w:val="20"/>
          <w:color w:val="auto"/>
        </w:rPr>
      </w:pPr>
    </w:p>
    <w:p>
      <w:pPr>
        <w:jc w:val="both"/>
        <w:ind w:firstLine="385"/>
        <w:spacing w:after="0" w:line="307" w:lineRule="auto"/>
        <w:rPr>
          <w:sz w:val="20"/>
          <w:szCs w:val="20"/>
          <w:color w:val="auto"/>
        </w:rPr>
      </w:pPr>
      <w:r>
        <w:rPr>
          <w:rFonts w:ascii="Arial" w:cs="Arial" w:eastAsia="Arial" w:hAnsi="Arial"/>
          <w:sz w:val="16"/>
          <w:szCs w:val="16"/>
          <w:color w:val="auto"/>
        </w:rPr>
        <w:t>The COVID-19 pandemic has created significant disruption and uncertainty in the global economy and has negatively impacted our business and results of operations and financial condition during fiscal years 2021, 2022 and 2023. Although the impact of COVID-19 and the resulting measures decreased during 2023, they have the potential to continue to negatively impact our business, results of operations and financial condition in the future.</w:t>
      </w:r>
    </w:p>
    <w:p>
      <w:pPr>
        <w:spacing w:after="0" w:line="96" w:lineRule="exact"/>
        <w:rPr>
          <w:sz w:val="20"/>
          <w:szCs w:val="20"/>
          <w:color w:val="auto"/>
        </w:rPr>
      </w:pPr>
    </w:p>
    <w:p>
      <w:pPr>
        <w:ind w:right="180" w:firstLine="385"/>
        <w:spacing w:after="0" w:line="267" w:lineRule="auto"/>
        <w:rPr>
          <w:sz w:val="20"/>
          <w:szCs w:val="20"/>
          <w:color w:val="auto"/>
        </w:rPr>
      </w:pPr>
      <w:r>
        <w:rPr>
          <w:rFonts w:ascii="Arial" w:cs="Arial" w:eastAsia="Arial" w:hAnsi="Arial"/>
          <w:sz w:val="17"/>
          <w:szCs w:val="17"/>
          <w:color w:val="auto"/>
        </w:rPr>
        <w:t>Numerous national, international, state and local jurisdictions have imposed, and others in the future may impose, a variety of government orders and restrictions for their residents to control the spread of COVID-19. Such orders or restrictions may cause significant alteration of our operations, work stoppages, slowdowns and delays, travel restrictions and event cancellations, among other effects, thereby significantly and negatively impacting our operations. Other disruptions or potential disruptions include: (i) restrictions on our personnel and personnel of business partners to travel and access customers for training and case support; (ii) reductions in spending by our customers; (iii) delays in clearance, approvals or certifications by regulatory bodies; (iv) diversion of or limitations on employee resources that would otherwise be focused on the operations of our business, including because of sickness of employees or their families or the desire of employees to avoid contact with large groups of people; (v) reductions in our sales team, including through layoffs, furloughs or other losses of sales representatives; (vi) additional government requirements or other incremental mitigation efforts that may further impact our or our suppliers’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capacity to manufacture our products; (vii) disruption of our research and development activities; and (viii) delays in ongoing studies and pre-clinical trials.</w:t>
      </w:r>
    </w:p>
    <w:p>
      <w:pPr>
        <w:spacing w:after="0" w:line="190" w:lineRule="exact"/>
        <w:rPr>
          <w:sz w:val="20"/>
          <w:szCs w:val="20"/>
          <w:color w:val="auto"/>
        </w:rPr>
      </w:pPr>
    </w:p>
    <w:p>
      <w:pPr>
        <w:ind w:right="40" w:firstLine="385"/>
        <w:spacing w:after="0" w:line="286" w:lineRule="auto"/>
        <w:rPr>
          <w:sz w:val="20"/>
          <w:szCs w:val="20"/>
          <w:color w:val="auto"/>
        </w:rPr>
      </w:pPr>
      <w:r>
        <w:rPr>
          <w:rFonts w:ascii="Arial" w:cs="Arial" w:eastAsia="Arial" w:hAnsi="Arial"/>
          <w:sz w:val="16"/>
          <w:szCs w:val="16"/>
          <w:color w:val="auto"/>
        </w:rPr>
        <w:t>In addition, elective procedures that use our products significantly decreased in number during fiscal year 2021, as health care organizations around the world prioritized the treatment of patients with COVID-19 and reduced spending in other areas. We experienced a similar impact to procedure volumes with the resurgence of COVID-19 in fiscal year 2022 which continued through fiscal year 2023. For example in fiscal year 2021, U.S. governmental authorities had recommended, and in certain cases required, that elective, deferrable, specialty and other procedures and appointments, be suspended or canceled to avoid non-essential patient exposure to medical environments and potential infection with COVID-19 so that limited resources and personnel could be focused on the treatment of infected patients. Many of these procedures that use our products were suspended or postponed at times during fiscal years 2021, 2022 and 2023. Similarly, our clinical trials were impacted by COVID-19 as hospitals prioritized treating these patients. It is unclear when or if other resurgences of COVID-19, or increased spread of its variants, may again cause a rise in infections and result in authorities and/or customers imposing restrictions that could adversely affect our business, financial condition, results of operations and/or liquidity.</w:t>
      </w:r>
    </w:p>
    <w:p>
      <w:pPr>
        <w:spacing w:after="0" w:line="113" w:lineRule="exact"/>
        <w:rPr>
          <w:sz w:val="20"/>
          <w:szCs w:val="20"/>
          <w:color w:val="auto"/>
        </w:rPr>
      </w:pPr>
    </w:p>
    <w:p>
      <w:pPr>
        <w:ind w:firstLine="385"/>
        <w:spacing w:after="0" w:line="297" w:lineRule="auto"/>
        <w:rPr>
          <w:sz w:val="20"/>
          <w:szCs w:val="20"/>
          <w:color w:val="auto"/>
        </w:rPr>
      </w:pPr>
      <w:r>
        <w:rPr>
          <w:rFonts w:ascii="Arial" w:cs="Arial" w:eastAsia="Arial" w:hAnsi="Arial"/>
          <w:sz w:val="16"/>
          <w:szCs w:val="16"/>
          <w:color w:val="auto"/>
        </w:rPr>
        <w:t>In addition, most of the hospitals and clinics that purchase our products have instituted strict procedures at their facilities in an effort to prevent the spread of COVID-19, including restrictions on sales representatives entering these facilities. This has been, and currently remains, a major impediment to our sales efforts, as supporting existing customers and acquiring new customers is much more difficult in this environment. These restrictions have had an effect on our sales and, until they are lifted, our business, operations and financial results will continue to be adversely impacted.</w:t>
      </w:r>
    </w:p>
    <w:p>
      <w:pPr>
        <w:spacing w:after="0" w:line="106" w:lineRule="exact"/>
        <w:rPr>
          <w:sz w:val="20"/>
          <w:szCs w:val="20"/>
          <w:color w:val="auto"/>
        </w:rPr>
      </w:pPr>
    </w:p>
    <w:p>
      <w:pPr>
        <w:ind w:right="40" w:firstLine="385"/>
        <w:spacing w:after="0" w:line="267" w:lineRule="auto"/>
        <w:rPr>
          <w:sz w:val="20"/>
          <w:szCs w:val="20"/>
          <w:color w:val="auto"/>
        </w:rPr>
      </w:pPr>
      <w:r>
        <w:rPr>
          <w:rFonts w:ascii="Arial" w:cs="Arial" w:eastAsia="Arial" w:hAnsi="Arial"/>
          <w:sz w:val="17"/>
          <w:szCs w:val="17"/>
          <w:color w:val="auto"/>
        </w:rPr>
        <w:t>These challenges and restrictions will likely continue for the duration of the pandemic, which is uncertain, and may even continue beyond the pandemic. Many areas have relaxed restrictions from time-to-time and have resumed business operations, but a resurgence in infections or mutations of the coronavirus that causes COVID-19 could cause authorities and/or our customers to reinstate such restrictions or impose additional restrictions. All of these factors also may cause or contribute to disruptions and delays in our logistics and supply chain. The extent to which the COVID-19 pandemic impacts our business, operations and financial results will depend on future developments that are uncertain and cannot be predicted, including new information that may emerge concerning the severity and spread of the virus and the actions by government entities, our customers and other parties to contain the virus or treat its impact, among others. To the extent the COVID-19 pandemic adversely affects our business, operations and financial results, it may also have the effect of heightening other risks described herein, such as those relating to general economic conditions, demand for our products, relationships with suppliers and sales efforts.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climate change and other sustainability-related matters</w:t>
      </w:r>
      <w:r>
        <w:rPr>
          <w:rFonts w:ascii="Arial" w:cs="Arial" w:eastAsia="Arial" w:hAnsi="Arial"/>
          <w:sz w:val="16"/>
          <w:szCs w:val="16"/>
          <w:color w:val="auto"/>
        </w:rPr>
        <w:t>.</w:t>
      </w:r>
    </w:p>
    <w:p>
      <w:pPr>
        <w:spacing w:after="0" w:line="190" w:lineRule="exact"/>
        <w:rPr>
          <w:sz w:val="20"/>
          <w:szCs w:val="20"/>
          <w:color w:val="auto"/>
        </w:rPr>
      </w:pPr>
    </w:p>
    <w:p>
      <w:pPr>
        <w:ind w:right="100" w:firstLine="401"/>
        <w:spacing w:after="0" w:line="267" w:lineRule="auto"/>
        <w:rPr>
          <w:sz w:val="20"/>
          <w:szCs w:val="20"/>
          <w:color w:val="auto"/>
        </w:rPr>
      </w:pPr>
      <w:r>
        <w:rPr>
          <w:rFonts w:ascii="Arial" w:cs="Arial" w:eastAsia="Arial" w:hAnsi="Arial"/>
          <w:sz w:val="17"/>
          <w:szCs w:val="17"/>
          <w:color w:val="auto"/>
        </w:rPr>
        <w:t>Governments, investors, customers, employees and other stakeholders are increasingly focusing on corporate ESG practices and disclosures, including risks associated with climate change and expectations in this area are rapidly evolving. Shifts in weather patterns caused by climate change are expected to increase the frequency and severity of adverse weather conditions such as hurricanes, tornadoes, earthquakes, wildfires, droughts, extreme temperatures or flooding, which could cause or contribute to reduced workforce availability, increased production and distribution costs and disruptions and delays in our logistics and supply chain/operations as well as the operations of our customers. The increasing attention to corporate ESG initiatives and ESG risks could result in reduced demand for products, reduced profits and increased investigations and litigation. If we are unable to satisfy any new criteria by which our ESG practices may be assessed, investors may conclude that our policies and/or actions with respect to ESG matters and risks are inadequate. If we fail or are perceived to have failed to accurately disclose our progress on such initiatives or goals, our reputation, business, financial condition and results of operations could be adversely impacted.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7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21" w:lineRule="exact"/>
        <w:rPr>
          <w:sz w:val="20"/>
          <w:szCs w:val="20"/>
          <w:color w:val="auto"/>
        </w:rPr>
      </w:pPr>
    </w:p>
    <w:p>
      <w:pPr>
        <w:ind w:right="40" w:firstLine="385"/>
        <w:spacing w:after="0" w:line="269" w:lineRule="auto"/>
        <w:rPr>
          <w:sz w:val="20"/>
          <w:szCs w:val="20"/>
          <w:color w:val="auto"/>
        </w:rPr>
      </w:pPr>
      <w:r>
        <w:rPr>
          <w:rFonts w:ascii="Arial" w:cs="Arial" w:eastAsia="Arial" w:hAnsi="Arial"/>
          <w:sz w:val="17"/>
          <w:szCs w:val="17"/>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(Note 17), the U.S. Foreign Corrupt Practices Act (“FCPA”) and similar anti-bribery laws in international jurisdictions, including the UK Anti-Bribery Act, the federal Health Insurance Portability and Accountability Act of 1996 (“HIPAA”), General Data Protection Regulation (“GDPR”), domestic 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ind w:right="200"/>
        <w:spacing w:after="0" w:line="271" w:lineRule="auto"/>
        <w:rPr>
          <w:sz w:val="20"/>
          <w:szCs w:val="20"/>
          <w:color w:val="auto"/>
        </w:rPr>
      </w:pPr>
      <w:r>
        <w:rPr>
          <w:rFonts w:ascii="Arial" w:cs="Arial" w:eastAsia="Arial" w:hAnsi="Arial"/>
          <w:sz w:val="18"/>
          <w:szCs w:val="18"/>
          <w:color w:val="auto"/>
        </w:rPr>
        <w:t>foreign data protection, data security and privacy laws, laws related to the collection, storage, use and disclosure of personal data and laws and regulations relating to sanctions and money laundering.</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(ii) could expose us to breach of contract claims, fines and penalties, costs for remediation and harm to our reputation; (iii) could result in criminal or civil sanctions, including substantial fines, imprisonment and exclusion from participation in healthcare programs such as Medicare and Medicaid and health programs outside the United States; and (iv) could otherwise disrupt our business and could have a material adverse effect on our business, financial condition, results of operations and/or liquidity.</w:t>
      </w:r>
    </w:p>
    <w:p>
      <w:pPr>
        <w:spacing w:after="0" w:line="112" w:lineRule="exact"/>
        <w:rPr>
          <w:sz w:val="20"/>
          <w:szCs w:val="20"/>
          <w:color w:val="auto"/>
        </w:rPr>
      </w:pPr>
    </w:p>
    <w:p>
      <w:pPr>
        <w:ind w:firstLine="385"/>
        <w:spacing w:after="0" w:line="267" w:lineRule="auto"/>
        <w:rPr>
          <w:sz w:val="20"/>
          <w:szCs w:val="20"/>
          <w:color w:val="auto"/>
        </w:rPr>
      </w:pPr>
      <w:r>
        <w:rPr>
          <w:rFonts w:ascii="Arial" w:cs="Arial" w:eastAsia="Arial" w:hAnsi="Arial"/>
          <w:sz w:val="17"/>
          <w:szCs w:val="17"/>
          <w:color w:val="auto"/>
        </w:rPr>
        <w:t>The healthcare industry is under continued scrutiny from state, federal and international governments, including with respect to industry practices in the area of sales and marketing.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We anticipate that the government will continue to scrutinize our industry closely, and that additional regulation by governmental authorities may increase compliance costs, increase exposure to litigation and may have other adverse effects to our operations. The Company’s failure to comply with any marketing or sales regulations or any other applicable regulatory requirements could adversely affect our business, results of operations, financial condition and/or liquidity.</w:t>
      </w:r>
    </w:p>
    <w:p>
      <w:pPr>
        <w:spacing w:after="0" w:line="126" w:lineRule="exact"/>
        <w:rPr>
          <w:sz w:val="20"/>
          <w:szCs w:val="20"/>
          <w:color w:val="auto"/>
        </w:rPr>
      </w:pPr>
    </w:p>
    <w:p>
      <w:pPr>
        <w:ind w:right="160" w:firstLine="385"/>
        <w:spacing w:after="0" w:line="255" w:lineRule="auto"/>
        <w:rPr>
          <w:sz w:val="20"/>
          <w:szCs w:val="20"/>
          <w:color w:val="auto"/>
        </w:rPr>
      </w:pPr>
      <w:r>
        <w:rPr>
          <w:rFonts w:ascii="Arial" w:cs="Arial" w:eastAsia="Arial" w:hAnsi="Arial"/>
          <w:sz w:val="18"/>
          <w:szCs w:val="18"/>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The occurrence of an adverse monetary or equitable judgment or a large expenditure in connection with a settlement of any of these matters could have a material adverse effect on our business, financial condition, results of operations and/or liquidity.</w:t>
      </w:r>
    </w:p>
    <w:p>
      <w:pPr>
        <w:spacing w:after="0" w:line="13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32" w:lineRule="exact"/>
        <w:rPr>
          <w:sz w:val="20"/>
          <w:szCs w:val="20"/>
          <w:color w:val="auto"/>
        </w:rPr>
      </w:pPr>
    </w:p>
    <w:p>
      <w:pPr>
        <w:ind w:firstLine="385"/>
        <w:spacing w:after="0" w:line="266" w:lineRule="auto"/>
        <w:rPr>
          <w:sz w:val="20"/>
          <w:szCs w:val="20"/>
          <w:color w:val="auto"/>
        </w:rPr>
      </w:pPr>
      <w:r>
        <w:rPr>
          <w:rFonts w:ascii="Arial" w:cs="Arial" w:eastAsia="Arial" w:hAnsi="Arial"/>
          <w:sz w:val="17"/>
          <w:szCs w:val="17"/>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and with current medical device adverse event reporting regulations, and similar foreign rules and regulations. The FDA enforces the QSR through unannounced inspections. Despite our training and compliance programs, our internal control policies and procedures may not always protect us from negligent, reckless or criminal acts committed by our employees or agents.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 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obtain and maintain marketing clearance or approval from governmental agencies, we will not be able to sell our products.</w:t>
      </w:r>
    </w:p>
    <w:p>
      <w:pPr>
        <w:spacing w:after="0" w:line="179" w:lineRule="exact"/>
        <w:rPr>
          <w:sz w:val="20"/>
          <w:szCs w:val="20"/>
          <w:color w:val="auto"/>
        </w:rPr>
      </w:pPr>
    </w:p>
    <w:p>
      <w:pPr>
        <w:ind w:firstLine="385"/>
        <w:spacing w:after="0" w:line="253" w:lineRule="auto"/>
        <w:rPr>
          <w:sz w:val="20"/>
          <w:szCs w:val="20"/>
          <w:color w:val="auto"/>
        </w:rPr>
      </w:pPr>
      <w:r>
        <w:rPr>
          <w:rFonts w:ascii="Arial" w:cs="Arial" w:eastAsia="Arial" w:hAnsi="Arial"/>
          <w:sz w:val="18"/>
          <w:szCs w:val="18"/>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8" w:name="page29"/>
    <w:bookmarkEnd w:id="28"/>
    <w:p>
      <w:pPr>
        <w:ind w:right="400"/>
        <w:spacing w:after="0" w:line="259" w:lineRule="auto"/>
        <w:rPr>
          <w:sz w:val="20"/>
          <w:szCs w:val="20"/>
          <w:color w:val="auto"/>
        </w:rPr>
      </w:pPr>
      <w:r>
        <w:rPr>
          <w:rFonts w:ascii="Arial" w:cs="Arial" w:eastAsia="Arial" w:hAnsi="Arial"/>
          <w:sz w:val="18"/>
          <w:szCs w:val="18"/>
          <w:color w:val="auto"/>
        </w:rPr>
        <w:t>notification is submitted to the FDA, but may take significantly longer.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w:t>
      </w:r>
    </w:p>
    <w:p>
      <w:pPr>
        <w:spacing w:after="0" w:line="132" w:lineRule="exact"/>
        <w:rPr>
          <w:sz w:val="20"/>
          <w:szCs w:val="20"/>
          <w:color w:val="auto"/>
        </w:rPr>
      </w:pPr>
    </w:p>
    <w:p>
      <w:pPr>
        <w:ind w:right="60" w:firstLine="385"/>
        <w:spacing w:after="0" w:line="252" w:lineRule="auto"/>
        <w:rPr>
          <w:sz w:val="20"/>
          <w:szCs w:val="20"/>
          <w:color w:val="auto"/>
        </w:rPr>
      </w:pPr>
      <w:r>
        <w:rPr>
          <w:rFonts w:ascii="Arial" w:cs="Arial" w:eastAsia="Arial" w:hAnsi="Arial"/>
          <w:sz w:val="18"/>
          <w:szCs w:val="18"/>
          <w:color w:val="auto"/>
        </w:rPr>
        <w:t>Product approvals by the FDA and other foreign regulators can be withdrawn due to failure to comply with regulatory standards or the occurrence of unforeseen problems following initial approval or may be re-classified to a higher regulatory classification, such as requiring a PMA for a previously cleared 510(k) device. The PMA process is much more costly, lengthy and uncertain. It generally takes from one to three years from the date the application is submitted to, and filed with the FDA, and may take even longer. In addition, any modification to an FDA-cleared medical device that could significantly affect its safety or effectiveness, or that would constitute a major change or modification in its intended use, requires a new FDA 510(k) clearance or, possibly, a PMA.</w:t>
      </w:r>
    </w:p>
    <w:p>
      <w:pPr>
        <w:spacing w:after="0" w:line="140" w:lineRule="exact"/>
        <w:rPr>
          <w:sz w:val="20"/>
          <w:szCs w:val="20"/>
          <w:color w:val="auto"/>
        </w:rPr>
      </w:pPr>
    </w:p>
    <w:p>
      <w:pPr>
        <w:ind w:right="60" w:firstLine="385"/>
        <w:spacing w:after="0" w:line="275" w:lineRule="auto"/>
        <w:rPr>
          <w:sz w:val="20"/>
          <w:szCs w:val="20"/>
          <w:color w:val="auto"/>
        </w:rPr>
      </w:pPr>
      <w:r>
        <w:rPr>
          <w:rFonts w:ascii="Arial" w:cs="Arial" w:eastAsia="Arial" w:hAnsi="Arial"/>
          <w:sz w:val="17"/>
          <w:szCs w:val="17"/>
          <w:color w:val="auto"/>
        </w:rPr>
        <w:t>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20" w:lineRule="exact"/>
        <w:rPr>
          <w:sz w:val="20"/>
          <w:szCs w:val="20"/>
          <w:color w:val="auto"/>
        </w:rPr>
      </w:pPr>
    </w:p>
    <w:p>
      <w:pPr>
        <w:ind w:right="120" w:firstLine="401"/>
        <w:spacing w:after="0" w:line="293" w:lineRule="auto"/>
        <w:rPr>
          <w:sz w:val="20"/>
          <w:szCs w:val="20"/>
          <w:color w:val="auto"/>
        </w:rPr>
      </w:pPr>
      <w:r>
        <w:rPr>
          <w:rFonts w:ascii="Arial" w:cs="Arial" w:eastAsia="Arial" w:hAnsi="Arial"/>
          <w:sz w:val="16"/>
          <w:szCs w:val="16"/>
          <w:color w:val="auto"/>
        </w:rPr>
        <w:t>In general, we intend to obtain Medical Device Regulation ("MDR") approvals for our principal products sold in the European Union ("EU") ahead of expiration dates; however for multiple reasons, including but not limited to changing business strategies, labor shortages and contract resources, administrative delays, increased costs of obtaining MDR certification, availability of necessary data and notified body capacity, certain products may not be fully compliant at the time of CE mark expiration. The additional time and resources required to obtain MDR certification has been a significant factor in, and will likely continue to influence, our decisions whether to discontinue sales and distribution of certain products in the EU.</w:t>
      </w:r>
    </w:p>
    <w:p>
      <w:pPr>
        <w:spacing w:after="0" w:line="107" w:lineRule="exact"/>
        <w:rPr>
          <w:sz w:val="20"/>
          <w:szCs w:val="20"/>
          <w:color w:val="auto"/>
        </w:rPr>
      </w:pPr>
    </w:p>
    <w:p>
      <w:pPr>
        <w:ind w:right="40" w:firstLine="401"/>
        <w:spacing w:after="0" w:line="259" w:lineRule="auto"/>
        <w:rPr>
          <w:sz w:val="20"/>
          <w:szCs w:val="20"/>
          <w:color w:val="auto"/>
        </w:rPr>
      </w:pPr>
      <w:r>
        <w:rPr>
          <w:rFonts w:ascii="Arial" w:cs="Arial" w:eastAsia="Arial" w:hAnsi="Arial"/>
          <w:sz w:val="18"/>
          <w:szCs w:val="18"/>
          <w:color w:val="auto"/>
        </w:rPr>
        <w:t>Complying with and obtaining regulatory approval in foreign countries, including our efforts to comply with the requirements of the MDR, have and will likely continue to lead to additional uncertainty, risk, expense and delay in commercializing products in certain foreign jurisdictions, which could have a material adverse effect on our business, financial condition and/or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be subject to product recalls, which may harm our reputation and divert managerial and financial resources.</w:t>
      </w:r>
    </w:p>
    <w:p>
      <w:pPr>
        <w:spacing w:after="0" w:line="167" w:lineRule="exact"/>
        <w:rPr>
          <w:sz w:val="20"/>
          <w:szCs w:val="20"/>
          <w:color w:val="auto"/>
        </w:rPr>
      </w:pPr>
    </w:p>
    <w:p>
      <w:pPr>
        <w:ind w:right="180" w:firstLine="385"/>
        <w:spacing w:after="0" w:line="267" w:lineRule="auto"/>
        <w:rPr>
          <w:sz w:val="20"/>
          <w:szCs w:val="20"/>
          <w:color w:val="auto"/>
        </w:rPr>
      </w:pPr>
      <w:r>
        <w:rPr>
          <w:rFonts w:ascii="Arial" w:cs="Arial" w:eastAsia="Arial" w:hAnsi="Arial"/>
          <w:sz w:val="17"/>
          <w:szCs w:val="17"/>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product, or if the governmental entity finds that our products would cause serious adverse health consequences. A government mandated recall, voluntary recall or field action by us could occur as a result of component failures, manufacturing errors or design defects, including labeling defects. Any recall of our products may harm our reputation with customers and divert managerial, engineering and financial resources.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A recall of any of our products could harm our reputation, divert managerial and financial resources and have a material adverse effect on our business, financial condition, results of operations and/or liquidity.</w:t>
      </w:r>
    </w:p>
    <w:p>
      <w:pPr>
        <w:spacing w:after="0" w:line="12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 may be subject to fines, penalties, injunctions or costly investigations if we are determined to be promoting the use of our products for unapproved or “off-label” uses.</w:t>
      </w:r>
    </w:p>
    <w:p>
      <w:pPr>
        <w:spacing w:after="0" w:line="121" w:lineRule="exact"/>
        <w:rPr>
          <w:sz w:val="20"/>
          <w:szCs w:val="20"/>
          <w:color w:val="auto"/>
        </w:rPr>
      </w:pPr>
    </w:p>
    <w:p>
      <w:pPr>
        <w:ind w:firstLine="385"/>
        <w:spacing w:after="0" w:line="269" w:lineRule="auto"/>
        <w:rPr>
          <w:sz w:val="20"/>
          <w:szCs w:val="20"/>
          <w:color w:val="auto"/>
        </w:rPr>
      </w:pPr>
      <w:r>
        <w:rPr>
          <w:rFonts w:ascii="Arial" w:cs="Arial" w:eastAsia="Arial" w:hAnsi="Arial"/>
          <w:sz w:val="17"/>
          <w:szCs w:val="17"/>
          <w:color w:val="auto"/>
        </w:rPr>
        <w:t>If we are incorrect in our belief that our promotional materials and training methods regarding the use of our products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 seizure, civil fine and criminal penalties. It is also possible that other federal, state or foreign enforcement authorities might take action if they consider promotional or training materials to constitute promotion of an unapproved use, which could result in significant fines or penalties under other statutory authorities, such as laws prohibiting false claims for reimbursement. Any of these results could have a material adverse effect on our business, financial condition, results of operations and/or liquidity.</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Laws and regulations governing the export of our products could adversely impact our business. If the U.S. government imposes strict sanctions on Iran, our revenue could be impacted.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ind w:right="240" w:firstLine="385"/>
        <w:spacing w:after="0" w:line="307" w:lineRule="auto"/>
        <w:rPr>
          <w:sz w:val="20"/>
          <w:szCs w:val="20"/>
          <w:color w:val="auto"/>
        </w:rPr>
      </w:pPr>
      <w:r>
        <w:rPr>
          <w:rFonts w:ascii="Arial" w:cs="Arial" w:eastAsia="Arial" w:hAnsi="Arial"/>
          <w:sz w:val="16"/>
          <w:szCs w:val="16"/>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w:t>
      </w:r>
    </w:p>
    <w:p>
      <w:pPr>
        <w:spacing w:after="0" w:line="96" w:lineRule="exact"/>
        <w:rPr>
          <w:sz w:val="20"/>
          <w:szCs w:val="20"/>
          <w:color w:val="auto"/>
        </w:rPr>
      </w:pPr>
    </w:p>
    <w:p>
      <w:pPr>
        <w:ind w:right="320" w:firstLine="401"/>
        <w:spacing w:after="0" w:line="259" w:lineRule="auto"/>
        <w:rPr>
          <w:sz w:val="20"/>
          <w:szCs w:val="20"/>
          <w:color w:val="auto"/>
        </w:rPr>
      </w:pPr>
      <w:r>
        <w:rPr>
          <w:rFonts w:ascii="Arial" w:cs="Arial" w:eastAsia="Arial" w:hAnsi="Arial"/>
          <w:sz w:val="18"/>
          <w:szCs w:val="18"/>
          <w:color w:val="auto"/>
        </w:rPr>
        <w:t>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32" w:lineRule="exact"/>
        <w:rPr>
          <w:sz w:val="20"/>
          <w:szCs w:val="20"/>
          <w:color w:val="auto"/>
        </w:rPr>
      </w:pPr>
    </w:p>
    <w:p>
      <w:pPr>
        <w:jc w:val="both"/>
        <w:ind w:right="420" w:firstLine="385"/>
        <w:spacing w:after="0" w:line="255" w:lineRule="auto"/>
        <w:rPr>
          <w:sz w:val="20"/>
          <w:szCs w:val="20"/>
          <w:color w:val="auto"/>
        </w:rPr>
      </w:pPr>
      <w:r>
        <w:rPr>
          <w:rFonts w:ascii="Arial" w:cs="Arial" w:eastAsia="Arial" w:hAnsi="Arial"/>
          <w:sz w:val="18"/>
          <w:szCs w:val="18"/>
          <w:color w:val="auto"/>
        </w:rPr>
        <w:t>In fiscal year 2023 we generated $1.2 million of revenue for sales to distributors doing business in Iran. We continuously review our ability to sell products to distributors that conduct business in Iran in accordance with all applicable U.S. laws. If laws, rules or regulations of the United States, with respect to doing business in or with parties that do business in Iran, change to restrict our ability to generate revenue in Iran, our revenue could decline, impacting our results of operations.</w:t>
      </w:r>
    </w:p>
    <w:p>
      <w:pPr>
        <w:spacing w:after="0" w:line="137" w:lineRule="exact"/>
        <w:rPr>
          <w:sz w:val="20"/>
          <w:szCs w:val="20"/>
          <w:color w:val="auto"/>
        </w:rPr>
      </w:pPr>
    </w:p>
    <w:p>
      <w:pPr>
        <w:ind w:firstLine="385"/>
        <w:spacing w:after="0" w:line="290" w:lineRule="auto"/>
        <w:rPr>
          <w:sz w:val="20"/>
          <w:szCs w:val="20"/>
          <w:color w:val="auto"/>
        </w:rPr>
      </w:pPr>
      <w:r>
        <w:rPr>
          <w:rFonts w:ascii="Arial" w:cs="Arial" w:eastAsia="Arial" w:hAnsi="Arial"/>
          <w:sz w:val="16"/>
          <w:szCs w:val="16"/>
          <w:color w:val="auto"/>
        </w:rPr>
        <w:t>From time to time, we have limited business dealings in countries subject to comprehensive sanctions. These business dealings may expose us to a heightened risk of violating applicable sanctions regulations. Violations of these regulations are punishable by civil penalties, including fines, denial of export privileges, injunctions, asset seizures, debarment from government contracts, revocations or restrictions of licenses, and/or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If we fail to adequately protect our intellectual property rights, we may not be able to generate revenues from new or existing products and our business may suffer.</w:t>
      </w:r>
    </w:p>
    <w:p>
      <w:pPr>
        <w:spacing w:after="0" w:line="121" w:lineRule="exact"/>
        <w:rPr>
          <w:sz w:val="20"/>
          <w:szCs w:val="20"/>
          <w:color w:val="auto"/>
        </w:rPr>
      </w:pPr>
    </w:p>
    <w:p>
      <w:pPr>
        <w:ind w:right="20" w:firstLine="385"/>
        <w:spacing w:after="0" w:line="253" w:lineRule="auto"/>
        <w:rPr>
          <w:sz w:val="20"/>
          <w:szCs w:val="20"/>
          <w:color w:val="auto"/>
        </w:rPr>
      </w:pPr>
      <w:r>
        <w:rPr>
          <w:rFonts w:ascii="Arial" w:cs="Arial" w:eastAsia="Arial" w:hAnsi="Arial"/>
          <w:sz w:val="18"/>
          <w:szCs w:val="18"/>
          <w:color w:val="auto"/>
        </w:rPr>
        <w:t>Our success depends in part on obtaining, maintaining and enforcing our patents, trademarks and other proprietary rights, and our ability to avoid infringing the proprietary rights of others.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139" w:lineRule="exact"/>
        <w:rPr>
          <w:sz w:val="20"/>
          <w:szCs w:val="20"/>
          <w:color w:val="auto"/>
        </w:rPr>
      </w:pPr>
    </w:p>
    <w:p>
      <w:pPr>
        <w:ind w:right="60" w:firstLine="385"/>
        <w:spacing w:after="0" w:line="253" w:lineRule="auto"/>
        <w:rPr>
          <w:sz w:val="20"/>
          <w:szCs w:val="20"/>
          <w:color w:val="auto"/>
        </w:rPr>
      </w:pPr>
      <w:r>
        <w:rPr>
          <w:rFonts w:ascii="Arial" w:cs="Arial" w:eastAsia="Arial" w:hAnsi="Arial"/>
          <w:sz w:val="18"/>
          <w:szCs w:val="18"/>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w:t>
      </w:r>
    </w:p>
    <w:p>
      <w:pPr>
        <w:spacing w:after="0" w:line="139" w:lineRule="exact"/>
        <w:rPr>
          <w:sz w:val="20"/>
          <w:szCs w:val="20"/>
          <w:color w:val="auto"/>
        </w:rPr>
      </w:pPr>
    </w:p>
    <w:p>
      <w:pPr>
        <w:ind w:right="80" w:firstLine="385"/>
        <w:spacing w:after="0" w:line="250" w:lineRule="auto"/>
        <w:rPr>
          <w:sz w:val="20"/>
          <w:szCs w:val="20"/>
          <w:color w:val="auto"/>
        </w:rPr>
      </w:pPr>
      <w:r>
        <w:rPr>
          <w:rFonts w:ascii="Arial" w:cs="Arial" w:eastAsia="Arial" w:hAnsi="Arial"/>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 If we are not able to adequately protect our intellectual property, our market share, financial condition and results of operations may suffer.</w:t>
      </w:r>
    </w:p>
    <w:p>
      <w:pPr>
        <w:spacing w:after="0" w:line="146" w:lineRule="exact"/>
        <w:rPr>
          <w:sz w:val="20"/>
          <w:szCs w:val="20"/>
          <w:color w:val="auto"/>
        </w:rPr>
      </w:pPr>
    </w:p>
    <w:p>
      <w:pPr>
        <w:ind w:right="640"/>
        <w:spacing w:after="0" w:line="335" w:lineRule="auto"/>
        <w:rPr>
          <w:sz w:val="20"/>
          <w:szCs w:val="20"/>
          <w:color w:val="auto"/>
        </w:rPr>
      </w:pPr>
      <w:r>
        <w:rPr>
          <w:rFonts w:ascii="Arial" w:cs="Arial" w:eastAsia="Arial" w:hAnsi="Arial"/>
          <w:sz w:val="16"/>
          <w:szCs w:val="16"/>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75" w:lineRule="exact"/>
        <w:rPr>
          <w:sz w:val="20"/>
          <w:szCs w:val="20"/>
          <w:color w:val="auto"/>
        </w:rPr>
      </w:pPr>
    </w:p>
    <w:p>
      <w:pPr>
        <w:ind w:right="100" w:firstLine="385"/>
        <w:spacing w:after="0" w:line="255" w:lineRule="auto"/>
        <w:rPr>
          <w:sz w:val="20"/>
          <w:szCs w:val="20"/>
          <w:color w:val="auto"/>
        </w:rPr>
      </w:pPr>
      <w:r>
        <w:rPr>
          <w:rFonts w:ascii="Arial" w:cs="Arial" w:eastAsia="Arial" w:hAnsi="Arial"/>
          <w:sz w:val="18"/>
          <w:szCs w:val="18"/>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and publication of discoveries in the scientific or patent literature often lag behind actual discoveries. Some companies in the medical device industry have used intellectual property infringement litigation 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0" w:name="page31"/>
    <w:bookmarkEnd w:id="30"/>
    <w:p>
      <w:pPr>
        <w:ind w:right="100"/>
        <w:spacing w:after="0" w:line="297" w:lineRule="auto"/>
        <w:rPr>
          <w:sz w:val="20"/>
          <w:szCs w:val="20"/>
          <w:color w:val="auto"/>
        </w:rPr>
      </w:pPr>
      <w:r>
        <w:rPr>
          <w:rFonts w:ascii="Arial" w:cs="Arial" w:eastAsia="Arial" w:hAnsi="Arial"/>
          <w:sz w:val="16"/>
          <w:szCs w:val="16"/>
          <w:color w:val="auto"/>
        </w:rPr>
        <w:t>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w:t>
      </w:r>
    </w:p>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Such claims could also cause our customers or potential customers to purchase competitors’ products or defer or limit their purchase or use of our affected products until resolution of the claim. See Part I, Item 3 "Legal Proceedings" of this report for additional details on litigation regarding proprietary technology.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 PRICE</w:t>
      </w:r>
    </w:p>
    <w:p>
      <w:pPr>
        <w:spacing w:after="0" w:line="17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future operating results are difficult to predict and may vary significantly from quarter to quarter, which may adversely affect the price of our common stock.</w:t>
      </w:r>
    </w:p>
    <w:p>
      <w:pPr>
        <w:spacing w:after="0" w:line="121" w:lineRule="exact"/>
        <w:rPr>
          <w:sz w:val="20"/>
          <w:szCs w:val="20"/>
          <w:color w:val="auto"/>
        </w:rPr>
      </w:pPr>
    </w:p>
    <w:p>
      <w:pPr>
        <w:ind w:right="60" w:firstLine="385"/>
        <w:spacing w:after="0" w:line="255" w:lineRule="auto"/>
        <w:rPr>
          <w:sz w:val="20"/>
          <w:szCs w:val="20"/>
          <w:color w:val="auto"/>
        </w:rPr>
      </w:pPr>
      <w:r>
        <w:rPr>
          <w:rFonts w:ascii="Arial" w:cs="Arial" w:eastAsia="Arial" w:hAnsi="Arial"/>
          <w:sz w:val="18"/>
          <w:szCs w:val="18"/>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37" w:lineRule="exact"/>
        <w:rPr>
          <w:sz w:val="20"/>
          <w:szCs w:val="20"/>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sales of our products and services in our markets;</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introduce new products or services and enhancements in a timely manner;</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and acceptance of our products and services;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our competition and the introduction of alternative products or services;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command favorable pricing for our products and services;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growth of the market for our devices and services;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expansion and rate of success of our direct sales force in the United States and internationally and our independent distributors internationally;</w:t>
      </w:r>
    </w:p>
    <w:p>
      <w:pPr>
        <w:spacing w:after="0" w:line="29" w:lineRule="exact"/>
        <w:rPr>
          <w:rFonts w:ascii="Arial" w:cs="Arial" w:eastAsia="Arial" w:hAnsi="Arial"/>
          <w:sz w:val="16"/>
          <w:szCs w:val="16"/>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relating to ongoing FDA compliance;</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acquired assets or companies;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intellectual property disputes;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timing of orders from independent distributors or customers;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attraction and retention of key personnel, particularly in sales and marketing, regulatory, manufacturing and research and development;</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delays or an inability to control costs;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including inflationary pressure, as well as those specific to our customers and markets; and</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fluctuations in revenue due to the elective nature of some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which may cause the value of our stock to decline or subject us to a securities class action litigation.</w:t>
      </w:r>
    </w:p>
    <w:p>
      <w:pPr>
        <w:spacing w:after="0" w:line="179" w:lineRule="exact"/>
        <w:rPr>
          <w:sz w:val="20"/>
          <w:szCs w:val="20"/>
          <w:color w:val="auto"/>
        </w:rPr>
      </w:pPr>
    </w:p>
    <w:p>
      <w:pPr>
        <w:ind w:firstLine="385"/>
        <w:spacing w:after="0" w:line="255" w:lineRule="auto"/>
        <w:rPr>
          <w:sz w:val="20"/>
          <w:szCs w:val="20"/>
          <w:color w:val="auto"/>
        </w:rPr>
      </w:pPr>
      <w:r>
        <w:rPr>
          <w:rFonts w:ascii="Arial" w:cs="Arial" w:eastAsia="Arial" w:hAnsi="Arial"/>
          <w:sz w:val="18"/>
          <w:szCs w:val="18"/>
          <w:color w:val="auto"/>
        </w:rPr>
        <w:t>The trading price of our common stock price may be volatile and could be subject to wide fluctuations in price in response to various factors, many of which are beyond our control, attributable to outside factors and/or unrelated to operating performance. Such factors may include comments by securities analysts or other third parties, including blogs, articles, message boards and social and other media coverage which may not be attributable to us and may not be reliable or accurate.</w:t>
      </w:r>
    </w:p>
    <w:p>
      <w:pPr>
        <w:spacing w:after="0" w:line="137" w:lineRule="exact"/>
        <w:rPr>
          <w:sz w:val="20"/>
          <w:szCs w:val="20"/>
          <w:color w:val="auto"/>
        </w:rPr>
      </w:pPr>
    </w:p>
    <w:p>
      <w:pPr>
        <w:ind w:right="160" w:firstLine="385"/>
        <w:spacing w:after="0" w:line="255" w:lineRule="auto"/>
        <w:rPr>
          <w:sz w:val="20"/>
          <w:szCs w:val="20"/>
          <w:color w:val="auto"/>
        </w:rPr>
      </w:pPr>
      <w:r>
        <w:rPr>
          <w:rFonts w:ascii="Arial" w:cs="Arial" w:eastAsia="Arial" w:hAnsi="Arial"/>
          <w:sz w:val="18"/>
          <w:szCs w:val="18"/>
          <w:color w:val="auto"/>
        </w:rPr>
        <w:t>The NASDAQ Stock Market and medical devices companies in particular have experienced substantial price and volume volatility that is often seemingly unrelated to the operating performance of the companies. These broad market fluctuations may cause the trading price of our common stock to decline. In the past, securities class action litigation has often been brought against a company after a period of volatility in the market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year ended May 31, 2023, we operated in the following locations:</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4960" w:type="dxa"/>
            <w:vAlign w:val="bottom"/>
            <w:vMerge w:val="restart"/>
          </w:tcPr>
          <w:p>
            <w:pPr>
              <w:jc w:val="center"/>
              <w:ind w:left="733"/>
              <w:spacing w:after="0"/>
              <w:rPr>
                <w:sz w:val="20"/>
                <w:szCs w:val="20"/>
                <w:color w:val="auto"/>
              </w:rPr>
            </w:pPr>
            <w:r>
              <w:rPr>
                <w:rFonts w:ascii="Arial" w:cs="Arial" w:eastAsia="Arial" w:hAnsi="Arial"/>
                <w:sz w:val="14"/>
                <w:szCs w:val="14"/>
                <w:b w:val="1"/>
                <w:bCs w:val="1"/>
                <w:color w:val="auto"/>
                <w:w w:val="89"/>
              </w:rPr>
              <w:t>Purpose</w:t>
            </w:r>
          </w:p>
        </w:tc>
        <w:tc>
          <w:tcPr>
            <w:tcW w:w="1880" w:type="dxa"/>
            <w:vAlign w:val="bottom"/>
          </w:tcPr>
          <w:p>
            <w:pPr>
              <w:jc w:val="right"/>
              <w:ind w:right="555"/>
              <w:spacing w:after="0"/>
              <w:rPr>
                <w:sz w:val="20"/>
                <w:szCs w:val="20"/>
                <w:color w:val="auto"/>
              </w:rPr>
            </w:pPr>
            <w:r>
              <w:rPr>
                <w:rFonts w:ascii="Arial" w:cs="Arial" w:eastAsia="Arial" w:hAnsi="Arial"/>
                <w:sz w:val="14"/>
                <w:szCs w:val="14"/>
                <w:b w:val="1"/>
                <w:bCs w:val="1"/>
                <w:color w:val="auto"/>
              </w:rPr>
              <w:t>Approx.</w:t>
            </w: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5"/>
        </w:trPr>
        <w:tc>
          <w:tcPr>
            <w:tcW w:w="2900" w:type="dxa"/>
            <w:vAlign w:val="bottom"/>
            <w:vMerge w:val="continue"/>
          </w:tcPr>
          <w:p>
            <w:pPr>
              <w:spacing w:after="0"/>
              <w:rPr>
                <w:sz w:val="16"/>
                <w:szCs w:val="16"/>
                <w:color w:val="auto"/>
              </w:rPr>
            </w:pPr>
          </w:p>
        </w:tc>
        <w:tc>
          <w:tcPr>
            <w:tcW w:w="4960" w:type="dxa"/>
            <w:vAlign w:val="bottom"/>
            <w:vMerge w:val="continue"/>
          </w:tcPr>
          <w:p>
            <w:pPr>
              <w:spacing w:after="0"/>
              <w:rPr>
                <w:sz w:val="16"/>
                <w:szCs w:val="16"/>
                <w:color w:val="auto"/>
              </w:rPr>
            </w:pPr>
          </w:p>
        </w:tc>
        <w:tc>
          <w:tcPr>
            <w:tcW w:w="1880" w:type="dxa"/>
            <w:vAlign w:val="bottom"/>
          </w:tcPr>
          <w:p>
            <w:pPr>
              <w:jc w:val="right"/>
              <w:ind w:right="615"/>
              <w:spacing w:after="0"/>
              <w:rPr>
                <w:sz w:val="20"/>
                <w:szCs w:val="20"/>
                <w:color w:val="auto"/>
              </w:rPr>
            </w:pPr>
            <w:r>
              <w:rPr>
                <w:rFonts w:ascii="Arial" w:cs="Arial" w:eastAsia="Arial" w:hAnsi="Arial"/>
                <w:sz w:val="14"/>
                <w:szCs w:val="14"/>
                <w:b w:val="1"/>
                <w:bCs w:val="1"/>
                <w:color w:val="auto"/>
              </w:rPr>
              <w:t>Sq. Ft.</w:t>
            </w: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25"/>
        </w:trPr>
        <w:tc>
          <w:tcPr>
            <w:tcW w:w="290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Latham, NY</w:t>
            </w:r>
          </w:p>
        </w:tc>
        <w:tc>
          <w:tcPr>
            <w:tcW w:w="496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87"/>
              </w:rPr>
              <w:t>Corporate headquarters</w:t>
            </w:r>
          </w:p>
        </w:tc>
        <w:tc>
          <w:tcPr>
            <w:tcW w:w="1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39,000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Arial" w:cs="Arial" w:eastAsia="Arial" w:hAnsi="Arial"/>
                <w:sz w:val="18"/>
                <w:szCs w:val="18"/>
                <w:color w:val="auto"/>
              </w:rPr>
              <w:t>Glens Falls, NY</w:t>
            </w:r>
          </w:p>
        </w:tc>
        <w:tc>
          <w:tcPr>
            <w:tcW w:w="4960" w:type="dxa"/>
            <w:vAlign w:val="bottom"/>
          </w:tcPr>
          <w:p>
            <w:pPr>
              <w:jc w:val="center"/>
              <w:ind w:left="733"/>
              <w:spacing w:after="0"/>
              <w:rPr>
                <w:sz w:val="20"/>
                <w:szCs w:val="20"/>
                <w:color w:val="auto"/>
              </w:rPr>
            </w:pPr>
            <w:r>
              <w:rPr>
                <w:rFonts w:ascii="Arial" w:cs="Arial" w:eastAsia="Arial" w:hAnsi="Arial"/>
                <w:sz w:val="18"/>
                <w:szCs w:val="18"/>
                <w:color w:val="auto"/>
                <w:w w:val="92"/>
              </w:rPr>
              <w:t>Manufacturing</w:t>
            </w:r>
          </w:p>
        </w:tc>
        <w:tc>
          <w:tcPr>
            <w:tcW w:w="1880" w:type="dxa"/>
            <w:vAlign w:val="bottom"/>
          </w:tcPr>
          <w:p>
            <w:pPr>
              <w:jc w:val="right"/>
              <w:ind w:right="215"/>
              <w:spacing w:after="0"/>
              <w:rPr>
                <w:sz w:val="20"/>
                <w:szCs w:val="20"/>
                <w:color w:val="auto"/>
              </w:rPr>
            </w:pPr>
            <w:r>
              <w:rPr>
                <w:rFonts w:ascii="Arial" w:cs="Arial" w:eastAsia="Arial" w:hAnsi="Arial"/>
                <w:sz w:val="18"/>
                <w:szCs w:val="18"/>
                <w:color w:val="auto"/>
              </w:rPr>
              <w:t>21,000</w:t>
            </w:r>
          </w:p>
        </w:tc>
        <w:tc>
          <w:tcPr>
            <w:tcW w:w="1160" w:type="dxa"/>
            <w:vAlign w:val="bottom"/>
          </w:tcPr>
          <w:p>
            <w:pPr>
              <w:jc w:val="right"/>
              <w:spacing w:after="0"/>
              <w:rPr>
                <w:sz w:val="20"/>
                <w:szCs w:val="20"/>
                <w:color w:val="auto"/>
              </w:rPr>
            </w:pPr>
            <w:r>
              <w:rPr>
                <w:rFonts w:ascii="Arial" w:cs="Arial" w:eastAsia="Arial" w:hAnsi="Arial"/>
                <w:sz w:val="18"/>
                <w:szCs w:val="18"/>
                <w:color w:val="auto"/>
              </w:rPr>
              <w:t>Owne</w:t>
            </w:r>
          </w:p>
        </w:tc>
        <w:tc>
          <w:tcPr>
            <w:tcW w:w="0" w:type="dxa"/>
            <w:vAlign w:val="bottom"/>
          </w:tcPr>
          <w:p>
            <w:pPr>
              <w:spacing w:after="0"/>
              <w:rPr>
                <w:sz w:val="1"/>
                <w:szCs w:val="1"/>
                <w:color w:val="auto"/>
              </w:rPr>
            </w:pPr>
          </w:p>
        </w:tc>
      </w:tr>
      <w:tr>
        <w:trPr>
          <w:trHeight w:val="241"/>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Queensbury, NY</w:t>
            </w:r>
          </w:p>
        </w:tc>
        <w:tc>
          <w:tcPr>
            <w:tcW w:w="496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92"/>
              </w:rPr>
              <w:t>Manufacturing</w:t>
            </w:r>
          </w:p>
        </w:tc>
        <w:tc>
          <w:tcPr>
            <w:tcW w:w="1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135,000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w:t>
            </w: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Arial" w:cs="Arial" w:eastAsia="Arial" w:hAnsi="Arial"/>
                <w:sz w:val="18"/>
                <w:szCs w:val="18"/>
                <w:color w:val="auto"/>
              </w:rPr>
              <w:t>Queensbury, NY</w:t>
            </w:r>
          </w:p>
        </w:tc>
        <w:tc>
          <w:tcPr>
            <w:tcW w:w="4960" w:type="dxa"/>
            <w:vAlign w:val="bottom"/>
          </w:tcPr>
          <w:p>
            <w:pPr>
              <w:jc w:val="center"/>
              <w:ind w:left="733"/>
              <w:spacing w:after="0"/>
              <w:rPr>
                <w:sz w:val="20"/>
                <w:szCs w:val="20"/>
                <w:color w:val="auto"/>
              </w:rPr>
            </w:pPr>
            <w:r>
              <w:rPr>
                <w:rFonts w:ascii="Arial" w:cs="Arial" w:eastAsia="Arial" w:hAnsi="Arial"/>
                <w:sz w:val="18"/>
                <w:szCs w:val="18"/>
                <w:color w:val="auto"/>
                <w:w w:val="95"/>
              </w:rPr>
              <w:t>Distribution</w:t>
            </w:r>
          </w:p>
        </w:tc>
        <w:tc>
          <w:tcPr>
            <w:tcW w:w="1880" w:type="dxa"/>
            <w:vAlign w:val="bottom"/>
          </w:tcPr>
          <w:p>
            <w:pPr>
              <w:jc w:val="right"/>
              <w:ind w:right="215"/>
              <w:spacing w:after="0"/>
              <w:rPr>
                <w:sz w:val="20"/>
                <w:szCs w:val="20"/>
                <w:color w:val="auto"/>
              </w:rPr>
            </w:pPr>
            <w:r>
              <w:rPr>
                <w:rFonts w:ascii="Arial" w:cs="Arial" w:eastAsia="Arial" w:hAnsi="Arial"/>
                <w:sz w:val="18"/>
                <w:szCs w:val="18"/>
                <w:color w:val="auto"/>
              </w:rPr>
              <w:t>58,000</w:t>
            </w:r>
          </w:p>
        </w:tc>
        <w:tc>
          <w:tcPr>
            <w:tcW w:w="1160" w:type="dxa"/>
            <w:vAlign w:val="bottom"/>
          </w:tcPr>
          <w:p>
            <w:pPr>
              <w:jc w:val="right"/>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Marlborough, MA</w:t>
            </w:r>
          </w:p>
        </w:tc>
        <w:tc>
          <w:tcPr>
            <w:tcW w:w="496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87"/>
              </w:rPr>
              <w:t>Research and development</w:t>
            </w:r>
          </w:p>
        </w:tc>
        <w:tc>
          <w:tcPr>
            <w:tcW w:w="1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8,400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Arial" w:cs="Arial" w:eastAsia="Arial" w:hAnsi="Arial"/>
                <w:sz w:val="18"/>
                <w:szCs w:val="18"/>
                <w:color w:val="auto"/>
              </w:rPr>
              <w:t>Amsterdam, NL</w:t>
            </w:r>
          </w:p>
        </w:tc>
        <w:tc>
          <w:tcPr>
            <w:tcW w:w="4960" w:type="dxa"/>
            <w:vAlign w:val="bottom"/>
          </w:tcPr>
          <w:p>
            <w:pPr>
              <w:jc w:val="center"/>
              <w:ind w:left="753"/>
              <w:spacing w:after="0"/>
              <w:rPr>
                <w:sz w:val="20"/>
                <w:szCs w:val="20"/>
                <w:color w:val="auto"/>
              </w:rPr>
            </w:pPr>
            <w:r>
              <w:rPr>
                <w:rFonts w:ascii="Arial" w:cs="Arial" w:eastAsia="Arial" w:hAnsi="Arial"/>
                <w:sz w:val="18"/>
                <w:szCs w:val="18"/>
                <w:color w:val="auto"/>
                <w:w w:val="91"/>
              </w:rPr>
              <w:t>Selling, marketing and administrative</w:t>
            </w:r>
          </w:p>
        </w:tc>
        <w:tc>
          <w:tcPr>
            <w:tcW w:w="1880" w:type="dxa"/>
            <w:vAlign w:val="bottom"/>
          </w:tcPr>
          <w:p>
            <w:pPr>
              <w:jc w:val="right"/>
              <w:ind w:right="215"/>
              <w:spacing w:after="0"/>
              <w:rPr>
                <w:sz w:val="20"/>
                <w:szCs w:val="20"/>
                <w:color w:val="auto"/>
              </w:rPr>
            </w:pPr>
            <w:r>
              <w:rPr>
                <w:rFonts w:ascii="Arial" w:cs="Arial" w:eastAsia="Arial" w:hAnsi="Arial"/>
                <w:sz w:val="18"/>
                <w:szCs w:val="18"/>
                <w:color w:val="auto"/>
              </w:rPr>
              <w:t>8,100</w:t>
            </w:r>
          </w:p>
        </w:tc>
        <w:tc>
          <w:tcPr>
            <w:tcW w:w="1160" w:type="dxa"/>
            <w:vAlign w:val="bottom"/>
          </w:tcPr>
          <w:p>
            <w:pPr>
              <w:jc w:val="right"/>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Rehovot, IL</w:t>
            </w:r>
          </w:p>
        </w:tc>
        <w:tc>
          <w:tcPr>
            <w:tcW w:w="496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87"/>
              </w:rPr>
              <w:t>Research and development</w:t>
            </w:r>
          </w:p>
        </w:tc>
        <w:tc>
          <w:tcPr>
            <w:tcW w:w="1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4,300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we lease sales offices in various other jurisdictions.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Information regarding legal proceedings is included in Note 17 to our consolidated financial statements in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24"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traded on the Global Select Market tier of the NASDAQ Stock Market LLC, under the symbol “ANGO.”</w:t>
      </w:r>
    </w:p>
    <w:p>
      <w:pPr>
        <w:spacing w:after="0" w:line="167" w:lineRule="exact"/>
        <w:rPr>
          <w:sz w:val="20"/>
          <w:szCs w:val="20"/>
          <w:color w:val="auto"/>
        </w:rPr>
      </w:pPr>
    </w:p>
    <w:p>
      <w:pPr>
        <w:ind w:right="100" w:firstLine="441"/>
        <w:spacing w:after="0" w:line="271" w:lineRule="auto"/>
        <w:rPr>
          <w:sz w:val="20"/>
          <w:szCs w:val="20"/>
          <w:color w:val="auto"/>
        </w:rPr>
      </w:pPr>
      <w:r>
        <w:rPr>
          <w:rFonts w:ascii="Arial" w:cs="Arial" w:eastAsia="Arial" w:hAnsi="Arial"/>
          <w:sz w:val="18"/>
          <w:szCs w:val="18"/>
          <w:color w:val="auto"/>
        </w:rPr>
        <w:t>The following table sets forth, for the fiscal quarters indicated, the high and low sale prices for our common stock as reported by the NASDAQ Stock Market.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3"/>
          </w:tcPr>
          <w:p>
            <w:pPr>
              <w:jc w:val="right"/>
              <w:ind w:right="260"/>
              <w:spacing w:after="0"/>
              <w:rPr>
                <w:sz w:val="20"/>
                <w:szCs w:val="20"/>
                <w:color w:val="auto"/>
              </w:rPr>
            </w:pPr>
            <w:r>
              <w:rPr>
                <w:rFonts w:ascii="Arial" w:cs="Arial" w:eastAsia="Arial" w:hAnsi="Arial"/>
                <w:sz w:val="14"/>
                <w:szCs w:val="14"/>
                <w:color w:val="auto"/>
              </w:rPr>
              <w:t>Sale Price</w:t>
            </w:r>
          </w:p>
        </w:tc>
        <w:tc>
          <w:tcPr>
            <w:tcW w:w="1300" w:type="dxa"/>
            <w:vAlign w:val="bottom"/>
          </w:tcPr>
          <w:p>
            <w:pPr>
              <w:spacing w:after="0"/>
              <w:rPr>
                <w:sz w:val="15"/>
                <w:szCs w:val="15"/>
                <w:color w:val="auto"/>
              </w:rPr>
            </w:pPr>
          </w:p>
        </w:tc>
      </w:tr>
      <w:tr>
        <w:trPr>
          <w:trHeight w:val="25"/>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7"/>
        </w:trPr>
        <w:tc>
          <w:tcPr>
            <w:tcW w:w="75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High</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Low</w:t>
            </w:r>
          </w:p>
        </w:tc>
      </w:tr>
      <w:tr>
        <w:trPr>
          <w:trHeight w:val="227"/>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May 31, 2023</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54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12.65</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28"/>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r>
      <w:tr>
        <w:trPr>
          <w:trHeight w:val="234"/>
        </w:trPr>
        <w:tc>
          <w:tcPr>
            <w:tcW w:w="754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22.81</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3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29"/>
        </w:trPr>
        <w:tc>
          <w:tcPr>
            <w:tcW w:w="7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3"/>
          </w:tcPr>
          <w:p>
            <w:pPr>
              <w:jc w:val="right"/>
              <w:ind w:right="260"/>
              <w:spacing w:after="0"/>
              <w:rPr>
                <w:sz w:val="20"/>
                <w:szCs w:val="20"/>
                <w:color w:val="auto"/>
              </w:rPr>
            </w:pPr>
            <w:r>
              <w:rPr>
                <w:rFonts w:ascii="Arial" w:cs="Arial" w:eastAsia="Arial" w:hAnsi="Arial"/>
                <w:sz w:val="14"/>
                <w:szCs w:val="14"/>
                <w:color w:val="auto"/>
              </w:rPr>
              <w:t>Sale Price</w:t>
            </w:r>
          </w:p>
        </w:tc>
        <w:tc>
          <w:tcPr>
            <w:tcW w:w="1300" w:type="dxa"/>
            <w:vAlign w:val="bottom"/>
          </w:tcPr>
          <w:p>
            <w:pPr>
              <w:spacing w:after="0"/>
              <w:rPr>
                <w:sz w:val="19"/>
                <w:szCs w:val="19"/>
                <w:color w:val="auto"/>
              </w:rPr>
            </w:pPr>
          </w:p>
        </w:tc>
      </w:tr>
      <w:tr>
        <w:trPr>
          <w:trHeight w:val="25"/>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8"/>
        </w:trPr>
        <w:tc>
          <w:tcPr>
            <w:tcW w:w="75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High</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Low</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May 31, 2022</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54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24.50</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41"/>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27"/>
        </w:trPr>
        <w:tc>
          <w:tcPr>
            <w:tcW w:w="754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30.97</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23.36</w:t>
            </w:r>
          </w:p>
        </w:tc>
      </w:tr>
      <w:tr>
        <w:trPr>
          <w:trHeight w:val="228"/>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r>
    </w:tbl>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2, 2023, there were 169 holders of record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67" w:lineRule="exact"/>
        <w:rPr>
          <w:sz w:val="20"/>
          <w:szCs w:val="20"/>
          <w:color w:val="auto"/>
        </w:rPr>
      </w:pPr>
    </w:p>
    <w:p>
      <w:pPr>
        <w:ind w:right="120" w:firstLine="441"/>
        <w:spacing w:after="0" w:line="271" w:lineRule="auto"/>
        <w:rPr>
          <w:sz w:val="20"/>
          <w:szCs w:val="20"/>
          <w:color w:val="auto"/>
        </w:rPr>
      </w:pPr>
      <w:r>
        <w:rPr>
          <w:rFonts w:ascii="Arial" w:cs="Arial" w:eastAsia="Arial" w:hAnsi="Arial"/>
          <w:sz w:val="18"/>
          <w:szCs w:val="18"/>
          <w:color w:val="auto"/>
        </w:rPr>
        <w:t>We did not declare any cash dividends on our common stock during our last three fiscal years. We do not anticipate paying any cash dividends on our common stock for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67" w:lineRule="exact"/>
        <w:rPr>
          <w:sz w:val="20"/>
          <w:szCs w:val="20"/>
          <w:color w:val="auto"/>
        </w:rPr>
      </w:pPr>
    </w:p>
    <w:p>
      <w:pPr>
        <w:ind w:right="80" w:firstLine="441"/>
        <w:spacing w:after="0" w:line="275" w:lineRule="auto"/>
        <w:rPr>
          <w:sz w:val="20"/>
          <w:szCs w:val="20"/>
          <w:color w:val="auto"/>
        </w:rPr>
      </w:pPr>
      <w:r>
        <w:rPr>
          <w:rFonts w:ascii="Arial" w:cs="Arial" w:eastAsia="Arial" w:hAnsi="Arial"/>
          <w:sz w:val="17"/>
          <w:szCs w:val="17"/>
          <w:color w:val="auto"/>
        </w:rPr>
        <w:t>The graph below matches AngioDynamics, Inc.’s cumulative 5-year total shareholder return on common stock with the cumulative total returns of the NASDAQ Composite index, the RDG SmallCap Medical Devices index, S&amp;P 500 Health Care index and the NASDAQ Medical Equipment index. The graph tracks the performance of a $100 investment in our common stock and in each index (with the reinvestment of all dividends) from May 31, 2018 to May 31, 2023.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487680</wp:posOffset>
            </wp:positionH>
            <wp:positionV relativeFrom="page">
              <wp:posOffset>572770</wp:posOffset>
            </wp:positionV>
            <wp:extent cx="5528310" cy="4603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528310" cy="460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Conditions and Results of Operations.</w:t>
      </w:r>
    </w:p>
    <w:p>
      <w:pPr>
        <w:spacing w:after="0" w:line="171" w:lineRule="exact"/>
        <w:rPr>
          <w:sz w:val="20"/>
          <w:szCs w:val="20"/>
          <w:color w:val="auto"/>
        </w:rPr>
      </w:pPr>
    </w:p>
    <w:p>
      <w:pPr>
        <w:ind w:right="340" w:firstLine="385"/>
        <w:spacing w:after="0" w:line="272" w:lineRule="auto"/>
        <w:rPr>
          <w:sz w:val="20"/>
          <w:szCs w:val="20"/>
          <w:color w:val="auto"/>
        </w:rPr>
      </w:pPr>
      <w:r>
        <w:rPr>
          <w:rFonts w:ascii="Arial" w:cs="Arial" w:eastAsia="Arial" w:hAnsi="Arial"/>
          <w:sz w:val="17"/>
          <w:szCs w:val="17"/>
          <w:color w:val="auto"/>
        </w:rPr>
        <w:t>The following information should be read together with the audited consolidated financial statements and the notes thereto and other information included elsewhere in this annual report on Form 10-K. This discussion may contain forward-looking statements related to future events and our future financial performance that are based on current expectation and are subject to risks and uncertainties. Our actual results may differ materially from those anticipated in any forward-looking statements as a result of many factors, including those set forth in Part I, Item 1A, "Risk Factors" and "Disclosure Regarding Forward-Looking Statements" included in this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171" w:lineRule="exact"/>
        <w:rPr>
          <w:sz w:val="20"/>
          <w:szCs w:val="20"/>
          <w:color w:val="auto"/>
        </w:rPr>
      </w:pPr>
    </w:p>
    <w:p>
      <w:pPr>
        <w:ind w:right="40" w:firstLine="401"/>
        <w:spacing w:after="0" w:line="272" w:lineRule="auto"/>
        <w:rPr>
          <w:sz w:val="20"/>
          <w:szCs w:val="20"/>
          <w:color w:val="auto"/>
        </w:rPr>
      </w:pPr>
      <w:r>
        <w:rPr>
          <w:rFonts w:ascii="Arial" w:cs="Arial" w:eastAsia="Arial" w:hAnsi="Arial"/>
          <w:sz w:val="17"/>
          <w:szCs w:val="17"/>
          <w:color w:val="auto"/>
        </w:rPr>
        <w:t>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123" w:lineRule="exact"/>
        <w:rPr>
          <w:sz w:val="20"/>
          <w:szCs w:val="20"/>
          <w:color w:val="auto"/>
        </w:rPr>
      </w:pPr>
    </w:p>
    <w:p>
      <w:pPr>
        <w:ind w:right="420" w:firstLine="401"/>
        <w:spacing w:after="0" w:line="297" w:lineRule="auto"/>
        <w:rPr>
          <w:sz w:val="20"/>
          <w:szCs w:val="20"/>
          <w:color w:val="auto"/>
        </w:rPr>
      </w:pPr>
      <w:r>
        <w:rPr>
          <w:rFonts w:ascii="Arial" w:cs="Arial" w:eastAsia="Arial" w:hAnsi="Arial"/>
          <w:sz w:val="16"/>
          <w:szCs w:val="16"/>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06" w:lineRule="exact"/>
        <w:rPr>
          <w:sz w:val="20"/>
          <w:szCs w:val="20"/>
          <w:color w:val="auto"/>
        </w:rPr>
      </w:pPr>
    </w:p>
    <w:p>
      <w:pPr>
        <w:ind w:right="40" w:firstLine="401"/>
        <w:spacing w:after="0" w:line="255" w:lineRule="auto"/>
        <w:rPr>
          <w:sz w:val="20"/>
          <w:szCs w:val="20"/>
          <w:color w:val="auto"/>
        </w:rPr>
      </w:pPr>
      <w:r>
        <w:rPr>
          <w:rFonts w:ascii="Arial" w:cs="Arial" w:eastAsia="Arial" w:hAnsi="Arial"/>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37" w:lineRule="exact"/>
        <w:rPr>
          <w:sz w:val="20"/>
          <w:szCs w:val="20"/>
          <w:color w:val="auto"/>
        </w:rPr>
      </w:pPr>
    </w:p>
    <w:p>
      <w:pPr>
        <w:ind w:right="140" w:firstLine="401"/>
        <w:spacing w:after="0" w:line="255"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37" w:lineRule="exact"/>
        <w:rPr>
          <w:sz w:val="20"/>
          <w:szCs w:val="20"/>
          <w:color w:val="auto"/>
        </w:rPr>
      </w:pPr>
    </w:p>
    <w:p>
      <w:pPr>
        <w:ind w:firstLine="401"/>
        <w:spacing w:after="0" w:line="270" w:lineRule="auto"/>
        <w:rPr>
          <w:sz w:val="20"/>
          <w:szCs w:val="20"/>
          <w:color w:val="auto"/>
        </w:rPr>
      </w:pPr>
      <w:r>
        <w:rPr>
          <w:rFonts w:ascii="Arial" w:cs="Arial" w:eastAsia="Arial" w:hAnsi="Arial"/>
          <w:sz w:val="17"/>
          <w:szCs w:val="17"/>
          <w:color w:val="auto"/>
        </w:rPr>
        <w:t>The COVID-19 global pandemic has impacted our business and may continue to pose future risks with the emergence of new variants. Even with the public health actions that have been taken to reduce the spread of the virus, the market continues to experience disruptions with respect to consumer demand, hospital operating procedures and workflow, trends that may continue.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25" w:lineRule="exact"/>
        <w:rPr>
          <w:sz w:val="20"/>
          <w:szCs w:val="20"/>
          <w:color w:val="auto"/>
        </w:rPr>
      </w:pPr>
    </w:p>
    <w:p>
      <w:pPr>
        <w:jc w:val="both"/>
        <w:ind w:right="40" w:firstLine="401"/>
        <w:spacing w:after="0" w:line="335" w:lineRule="auto"/>
        <w:rPr>
          <w:sz w:val="20"/>
          <w:szCs w:val="20"/>
          <w:color w:val="auto"/>
        </w:rPr>
      </w:pPr>
      <w:r>
        <w:rPr>
          <w:rFonts w:ascii="Arial" w:cs="Arial" w:eastAsia="Arial" w:hAnsi="Arial"/>
          <w:sz w:val="16"/>
          <w:szCs w:val="16"/>
          <w:color w:val="auto"/>
        </w:rPr>
        <w:t>Commencing with the first quarter of fiscal year 2023, the Company began to manage its operations through two segments, Med Tech and Med Device to align with the transformation from a company with a broad portfolio of largely undifferentiated products to a more focused medical technology company.</w:t>
      </w:r>
    </w:p>
    <w:p>
      <w:pPr>
        <w:spacing w:after="0" w:line="75" w:lineRule="exact"/>
        <w:rPr>
          <w:sz w:val="20"/>
          <w:szCs w:val="20"/>
          <w:color w:val="auto"/>
        </w:rPr>
      </w:pPr>
    </w:p>
    <w:p>
      <w:pPr>
        <w:ind w:right="100" w:firstLine="401"/>
        <w:spacing w:after="0" w:line="255" w:lineRule="auto"/>
        <w:rPr>
          <w:sz w:val="20"/>
          <w:szCs w:val="20"/>
          <w:color w:val="auto"/>
        </w:rPr>
      </w:pPr>
      <w:r>
        <w:rPr>
          <w:rFonts w:ascii="Arial" w:cs="Arial" w:eastAsia="Arial" w:hAnsi="Arial"/>
          <w:sz w:val="18"/>
          <w:szCs w:val="18"/>
          <w:color w:val="auto"/>
        </w:rPr>
        <w:t>On August 30, 2022, the Company repaid all amounts outstanding under its then existing credit agreement and entered into a new Credit Agreement that provides for a $75.0 million Revolving Facility and a $30.0 million Delayed Draw Term Loan. As of May 31, 2023, $25.0 million was drawn on the Revolving Facility and $25.0 million was drawn on the Delayed Draw Term Loan. See Note 12 "Long-Term Debt" set forth in the Notes to the consolidated financial statements.</w:t>
      </w:r>
    </w:p>
    <w:p>
      <w:pPr>
        <w:spacing w:after="0" w:line="137" w:lineRule="exact"/>
        <w:rPr>
          <w:sz w:val="20"/>
          <w:szCs w:val="20"/>
          <w:color w:val="auto"/>
        </w:rPr>
      </w:pPr>
    </w:p>
    <w:p>
      <w:pPr>
        <w:ind w:right="20" w:firstLine="385"/>
        <w:spacing w:after="0" w:line="270" w:lineRule="auto"/>
        <w:rPr>
          <w:sz w:val="20"/>
          <w:szCs w:val="20"/>
          <w:color w:val="auto"/>
        </w:rPr>
      </w:pPr>
      <w:r>
        <w:rPr>
          <w:rFonts w:ascii="Arial" w:cs="Arial" w:eastAsia="Arial" w:hAnsi="Arial"/>
          <w:sz w:val="17"/>
          <w:szCs w:val="17"/>
          <w:color w:val="auto"/>
        </w:rPr>
        <w:t>During the fourth quarter of fiscal year 2023, the Company was in discussions with Merit Medical Systems, Inc. ("Merit") to sell the dialysis product portfolio and BioSentry tract sealant system biopsy businesses. This qualified for held for sale accounting as of May 31, 2023. On June 8, 2023, the Company entered into an asset purchase agreement (the "Asset Purchase Agreement") with Merit Medical Systems, Inc. pursuant to which Merit acquired the dialysis product portfolio and BioSentry tract sealant system biopsy businesses for $100.0 million in cash subject to the terms and conditions of the Asset Purchase Agreement. The Company and Merit entered into various agreements to facilitate the transition to Merit, including a Transactions Services Agreement and Contract Manufacturing Agreement. The Company determined that the sale of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85" w:right="359" w:bottom="1440" w:gutter="0" w:footer="0" w:header="0"/>
        </w:sectPr>
      </w:pPr>
    </w:p>
    <w:bookmarkStart w:id="35" w:name="page36"/>
    <w:bookmarkEnd w:id="35"/>
    <w:p>
      <w:pPr>
        <w:ind w:right="40"/>
        <w:spacing w:after="0" w:line="271" w:lineRule="auto"/>
        <w:rPr>
          <w:sz w:val="20"/>
          <w:szCs w:val="20"/>
          <w:color w:val="auto"/>
        </w:rPr>
      </w:pPr>
      <w:r>
        <w:rPr>
          <w:rFonts w:ascii="Arial" w:cs="Arial" w:eastAsia="Arial" w:hAnsi="Arial"/>
          <w:sz w:val="18"/>
          <w:szCs w:val="18"/>
          <w:color w:val="auto"/>
        </w:rPr>
        <w:t>businesses did not constitute a strategic shift that had a major effect on the Company’s operations or financial results and as a result, this transaction will not be classified as discontinued operations.</w:t>
      </w:r>
    </w:p>
    <w:p>
      <w:pPr>
        <w:spacing w:after="0" w:line="121" w:lineRule="exact"/>
        <w:rPr>
          <w:sz w:val="20"/>
          <w:szCs w:val="20"/>
          <w:color w:val="auto"/>
        </w:rPr>
      </w:pPr>
    </w:p>
    <w:p>
      <w:pPr>
        <w:jc w:val="both"/>
        <w:ind w:right="280" w:firstLine="385"/>
        <w:spacing w:after="0" w:line="297" w:lineRule="auto"/>
        <w:rPr>
          <w:sz w:val="20"/>
          <w:szCs w:val="20"/>
          <w:color w:val="auto"/>
        </w:rPr>
      </w:pPr>
      <w:r>
        <w:rPr>
          <w:rFonts w:ascii="Arial" w:cs="Arial" w:eastAsia="Arial" w:hAnsi="Arial"/>
          <w:sz w:val="16"/>
          <w:szCs w:val="16"/>
          <w:color w:val="auto"/>
        </w:rPr>
        <w:t>As of May 31, 2023, the Company concluded that the sale of the dialysis product portfolio and BioSentry tract sealant system biopsy businesses to Merit Medical Systems, Inc. was a triggering event for the Med Device reporting unit. The Company utilized the income approach to determine the fair value of the remaining Med Device reporting unit. Based on the results of this evaluation, the Company recorded a goodwill impairment charge of $14.5 million for the year ended May 31, 2023 to write down the carrying value of the Med Device reporting unit to fair value.</w:t>
      </w:r>
    </w:p>
    <w:p>
      <w:pPr>
        <w:spacing w:after="0" w:line="106" w:lineRule="exact"/>
        <w:rPr>
          <w:sz w:val="20"/>
          <w:szCs w:val="20"/>
          <w:color w:val="auto"/>
        </w:rPr>
      </w:pPr>
    </w:p>
    <w:p>
      <w:pPr>
        <w:ind w:firstLine="385"/>
        <w:spacing w:after="0" w:line="335" w:lineRule="auto"/>
        <w:rPr>
          <w:sz w:val="20"/>
          <w:szCs w:val="20"/>
          <w:color w:val="auto"/>
        </w:rPr>
      </w:pPr>
      <w:r>
        <w:rPr>
          <w:rFonts w:ascii="Arial" w:cs="Arial" w:eastAsia="Arial" w:hAnsi="Arial"/>
          <w:sz w:val="16"/>
          <w:szCs w:val="16"/>
          <w:color w:val="auto"/>
        </w:rPr>
        <w:t>In evaluating the operating performance of our business, management focuses on revenue, gross margin, operating income, earnings per share and cash flow from operations. A summary of these key financial metrics for the year ended May 31, 2023 compared to the year ended May 31, 2022 follows: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Year ended May 31, 2023:</w:t>
      </w:r>
    </w:p>
    <w:p>
      <w:pPr>
        <w:spacing w:after="0" w:line="167" w:lineRule="exact"/>
        <w:rPr>
          <w:sz w:val="20"/>
          <w:szCs w:val="20"/>
          <w:color w:val="auto"/>
        </w:rPr>
      </w:pPr>
    </w:p>
    <w:p>
      <w:pPr>
        <w:ind w:left="980" w:hanging="331"/>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increased by 7.1% to $338.8 million</w:t>
      </w:r>
    </w:p>
    <w:p>
      <w:pPr>
        <w:spacing w:after="0" w:line="19" w:lineRule="exact"/>
        <w:rPr>
          <w:rFonts w:ascii="Arial" w:cs="Arial" w:eastAsia="Arial" w:hAnsi="Arial"/>
          <w:sz w:val="18"/>
          <w:szCs w:val="18"/>
          <w:color w:val="auto"/>
        </w:rPr>
      </w:pPr>
    </w:p>
    <w:p>
      <w:pPr>
        <w:ind w:left="980" w:hanging="331"/>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 Tech growth of 22.8% and Med Device growth of 1.9%</w:t>
      </w:r>
    </w:p>
    <w:p>
      <w:pPr>
        <w:spacing w:after="0" w:line="6" w:lineRule="exact"/>
        <w:rPr>
          <w:rFonts w:ascii="Arial" w:cs="Arial" w:eastAsia="Arial" w:hAnsi="Arial"/>
          <w:sz w:val="18"/>
          <w:szCs w:val="18"/>
          <w:color w:val="auto"/>
        </w:rPr>
      </w:pPr>
    </w:p>
    <w:p>
      <w:pPr>
        <w:ind w:left="980" w:hanging="331"/>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decreased by 100 bps to 51.4%</w:t>
      </w:r>
    </w:p>
    <w:p>
      <w:pPr>
        <w:spacing w:after="0" w:line="6" w:lineRule="exact"/>
        <w:rPr>
          <w:rFonts w:ascii="Arial" w:cs="Arial" w:eastAsia="Arial" w:hAnsi="Arial"/>
          <w:sz w:val="18"/>
          <w:szCs w:val="18"/>
          <w:color w:val="auto"/>
        </w:rPr>
      </w:pPr>
    </w:p>
    <w:p>
      <w:pPr>
        <w:ind w:left="980" w:hanging="331"/>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loss increased by $25.9 million to $52.4 million</w:t>
      </w:r>
    </w:p>
    <w:p>
      <w:pPr>
        <w:spacing w:after="0" w:line="6" w:lineRule="exact"/>
        <w:rPr>
          <w:rFonts w:ascii="Arial" w:cs="Arial" w:eastAsia="Arial" w:hAnsi="Arial"/>
          <w:sz w:val="18"/>
          <w:szCs w:val="18"/>
          <w:color w:val="auto"/>
        </w:rPr>
      </w:pPr>
    </w:p>
    <w:p>
      <w:pPr>
        <w:ind w:left="980" w:hanging="331"/>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per share increased by $0.65 to a loss of $1.33</w:t>
      </w:r>
    </w:p>
    <w:p>
      <w:pPr>
        <w:spacing w:after="0" w:line="6" w:lineRule="exact"/>
        <w:rPr>
          <w:rFonts w:ascii="Arial" w:cs="Arial" w:eastAsia="Arial" w:hAnsi="Arial"/>
          <w:sz w:val="18"/>
          <w:szCs w:val="18"/>
          <w:color w:val="auto"/>
        </w:rPr>
      </w:pPr>
    </w:p>
    <w:p>
      <w:pPr>
        <w:ind w:left="980" w:hanging="331"/>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 from operations increased by $7.3 million resulting in cash provided by operations of $0.1 million</w:t>
      </w:r>
    </w:p>
    <w:p>
      <w:pPr>
        <w:spacing w:after="0" w:line="155" w:lineRule="exact"/>
        <w:rPr>
          <w:sz w:val="20"/>
          <w:szCs w:val="20"/>
          <w:color w:val="auto"/>
        </w:rPr>
      </w:pPr>
    </w:p>
    <w:p>
      <w:pPr>
        <w:ind w:right="260" w:firstLine="385"/>
        <w:spacing w:after="0" w:line="259" w:lineRule="auto"/>
        <w:rPr>
          <w:sz w:val="20"/>
          <w:szCs w:val="20"/>
          <w:color w:val="auto"/>
        </w:rPr>
      </w:pPr>
      <w:r>
        <w:rPr>
          <w:rFonts w:ascii="Arial" w:cs="Arial" w:eastAsia="Arial" w:hAnsi="Arial"/>
          <w:sz w:val="18"/>
          <w:szCs w:val="18"/>
          <w:color w:val="auto"/>
        </w:rPr>
        <w:t>Our Med Tech business, comprised of Auryon, the Thrombectomy platform and NanoKnife grew 22.8% in fiscal year 2023. The growth in Auryon, AlphaVac and NanoKnife disposables was partially offset by continued softness in AngioVac. Our Med Device business grew 1.9% in fiscal year 2023 driven by growth in Core, Dialysis, Ports and Microwave products.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Initiatives to Drive Growth</w:t>
      </w:r>
    </w:p>
    <w:p>
      <w:pPr>
        <w:spacing w:after="0" w:line="171" w:lineRule="exact"/>
        <w:rPr>
          <w:sz w:val="20"/>
          <w:szCs w:val="20"/>
          <w:color w:val="auto"/>
        </w:rPr>
      </w:pPr>
    </w:p>
    <w:p>
      <w:pPr>
        <w:ind w:right="100" w:firstLine="441"/>
        <w:spacing w:after="0" w:line="260" w:lineRule="auto"/>
        <w:rPr>
          <w:sz w:val="20"/>
          <w:szCs w:val="20"/>
          <w:color w:val="auto"/>
        </w:rPr>
      </w:pPr>
      <w:r>
        <w:rPr>
          <w:rFonts w:ascii="Arial" w:cs="Arial" w:eastAsia="Arial" w:hAnsi="Arial"/>
          <w:sz w:val="17"/>
          <w:szCs w:val="17"/>
          <w:color w:val="auto"/>
        </w:rPr>
        <w:t>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continue to be driven by our high technology products including Auryon, Mechanical Thrombectomy (which includes AngioVac and AlphaVac) and NanoKnife.</w:t>
      </w:r>
    </w:p>
    <w:p>
      <w:pPr>
        <w:spacing w:after="0" w:line="131" w:lineRule="exact"/>
        <w:rPr>
          <w:sz w:val="20"/>
          <w:szCs w:val="20"/>
          <w:color w:val="auto"/>
        </w:rPr>
      </w:pPr>
    </w:p>
    <w:p>
      <w:pPr>
        <w:ind w:right="640" w:firstLine="385"/>
        <w:spacing w:after="0" w:line="271" w:lineRule="auto"/>
        <w:rPr>
          <w:sz w:val="20"/>
          <w:szCs w:val="20"/>
          <w:color w:val="auto"/>
        </w:rPr>
      </w:pPr>
      <w:r>
        <w:rPr>
          <w:rFonts w:ascii="Arial" w:cs="Arial" w:eastAsia="Arial" w:hAnsi="Arial"/>
          <w:sz w:val="18"/>
          <w:szCs w:val="18"/>
          <w:color w:val="auto"/>
        </w:rPr>
        <w:t>Throughout the year, we introduced strategic moves designed to streamline our business, improve our overall business operations and position ourselves for growth. Those initiatives included:</w:t>
      </w:r>
    </w:p>
    <w:p>
      <w:pPr>
        <w:spacing w:after="0" w:line="121" w:lineRule="exact"/>
        <w:rPr>
          <w:sz w:val="20"/>
          <w:szCs w:val="20"/>
          <w:color w:val="auto"/>
        </w:rPr>
      </w:pPr>
    </w:p>
    <w:p>
      <w:pPr>
        <w:ind w:left="640" w:right="180" w:hanging="312"/>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process. </w:t>
      </w:r>
      <w:r>
        <w:rPr>
          <w:rFonts w:ascii="Arial" w:cs="Arial" w:eastAsia="Arial" w:hAnsi="Arial"/>
          <w:sz w:val="18"/>
          <w:szCs w:val="18"/>
          <w:color w:val="auto"/>
        </w:rPr>
        <w:t>The Company continued its disciplined product development process which is intended to improve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bring new products to market. This included:</w:t>
      </w:r>
    </w:p>
    <w:p>
      <w:pPr>
        <w:ind w:left="1300" w:hanging="33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Pathway expansion for Auryon in arterial thrombectomy and full market release of the hyrodphilic coated catheters;</w:t>
      </w:r>
    </w:p>
    <w:p>
      <w:pPr>
        <w:spacing w:after="0" w:line="6" w:lineRule="exact"/>
        <w:rPr>
          <w:rFonts w:ascii="Arial" w:cs="Arial" w:eastAsia="Arial" w:hAnsi="Arial"/>
          <w:sz w:val="18"/>
          <w:szCs w:val="18"/>
          <w:color w:val="auto"/>
        </w:rPr>
      </w:pPr>
    </w:p>
    <w:p>
      <w:pPr>
        <w:ind w:left="1300" w:hanging="33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FDA clearance of the AlphaVac F18 thrombectomy system;</w:t>
      </w:r>
    </w:p>
    <w:p>
      <w:pPr>
        <w:spacing w:after="0" w:line="6" w:lineRule="exact"/>
        <w:rPr>
          <w:rFonts w:ascii="Arial" w:cs="Arial" w:eastAsia="Arial" w:hAnsi="Arial"/>
          <w:sz w:val="18"/>
          <w:szCs w:val="18"/>
          <w:color w:val="auto"/>
        </w:rPr>
      </w:pPr>
    </w:p>
    <w:p>
      <w:pPr>
        <w:ind w:left="1300" w:hanging="33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Enrollment of patients in the APEX IDE study for the use of AlphaVac F18 to treat pulmonary embolism; and</w:t>
      </w:r>
    </w:p>
    <w:p>
      <w:pPr>
        <w:spacing w:after="0" w:line="6" w:lineRule="exact"/>
        <w:rPr>
          <w:rFonts w:ascii="Arial" w:cs="Arial" w:eastAsia="Arial" w:hAnsi="Arial"/>
          <w:sz w:val="18"/>
          <w:szCs w:val="18"/>
          <w:color w:val="auto"/>
        </w:rPr>
      </w:pPr>
    </w:p>
    <w:p>
      <w:pPr>
        <w:ind w:left="1300" w:hanging="33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Continued enrollment of patients in the PRESERVE study for the use of NanoKnife in the prostate.</w:t>
      </w:r>
    </w:p>
    <w:p>
      <w:pPr>
        <w:spacing w:after="0" w:line="6" w:lineRule="exact"/>
        <w:rPr>
          <w:rFonts w:ascii="Arial" w:cs="Arial" w:eastAsia="Arial" w:hAnsi="Arial"/>
          <w:sz w:val="18"/>
          <w:szCs w:val="18"/>
          <w:color w:val="auto"/>
        </w:rPr>
      </w:pPr>
    </w:p>
    <w:p>
      <w:pPr>
        <w:ind w:left="640" w:right="120" w:hanging="312"/>
        <w:spacing w:after="0" w:line="25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Value Creation. </w:t>
      </w:r>
      <w:r>
        <w:rPr>
          <w:rFonts w:ascii="Arial" w:cs="Arial" w:eastAsia="Arial" w:hAnsi="Arial"/>
          <w:sz w:val="18"/>
          <w:szCs w:val="18"/>
          <w:color w:val="auto"/>
        </w:rPr>
        <w:t>To create value and drive future growth, the Company plans to practice dispassionate portfolio optimization and continue to focus</w:t>
      </w:r>
      <w:r>
        <w:rPr>
          <w:rFonts w:ascii="Arial" w:cs="Arial" w:eastAsia="Arial" w:hAnsi="Arial"/>
          <w:sz w:val="18"/>
          <w:szCs w:val="18"/>
          <w:i w:val="1"/>
          <w:iCs w:val="1"/>
          <w:color w:val="auto"/>
        </w:rPr>
        <w:t xml:space="preserve"> </w:t>
      </w:r>
      <w:r>
        <w:rPr>
          <w:rFonts w:ascii="Arial" w:cs="Arial" w:eastAsia="Arial" w:hAnsi="Arial"/>
          <w:sz w:val="18"/>
          <w:szCs w:val="18"/>
          <w:color w:val="auto"/>
        </w:rPr>
        <w:t>on areas of compelling unmet needs including those that are patient-centric and evidenced-based. In addition, the Company continues to pursue targeted global expansion opportunities.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67" w:lineRule="exact"/>
        <w:rPr>
          <w:sz w:val="20"/>
          <w:szCs w:val="20"/>
          <w:color w:val="auto"/>
        </w:rPr>
      </w:pPr>
    </w:p>
    <w:p>
      <w:pPr>
        <w:ind w:right="40" w:firstLine="385"/>
        <w:spacing w:after="0" w:line="253" w:lineRule="auto"/>
        <w:rPr>
          <w:sz w:val="20"/>
          <w:szCs w:val="20"/>
          <w:color w:val="auto"/>
        </w:rPr>
      </w:pPr>
      <w:r>
        <w:rPr>
          <w:rFonts w:ascii="Arial" w:cs="Arial" w:eastAsia="Arial" w:hAnsi="Arial"/>
          <w:sz w:val="18"/>
          <w:szCs w:val="18"/>
          <w:color w:val="auto"/>
        </w:rPr>
        <w:t>Our significant accounting policies are summarized in Note 1 "Basis of Presentation, Business Description and Summary of Significant Accounting Policies" in the consolidated financial statements included in this Form 10-K.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7" w:lineRule="exact"/>
        <w:rPr>
          <w:sz w:val="20"/>
          <w:szCs w:val="20"/>
          <w:color w:val="auto"/>
        </w:rPr>
      </w:pPr>
    </w:p>
    <w:p>
      <w:pPr>
        <w:ind w:right="40" w:firstLine="385"/>
        <w:spacing w:after="0" w:line="259" w:lineRule="auto"/>
        <w:rPr>
          <w:sz w:val="20"/>
          <w:szCs w:val="20"/>
          <w:color w:val="auto"/>
        </w:rPr>
      </w:pPr>
      <w:r>
        <w:rPr>
          <w:rFonts w:ascii="Arial" w:cs="Arial" w:eastAsia="Arial" w:hAnsi="Arial"/>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6" w:name="page37"/>
    <w:bookmarkEnd w:id="36"/>
    <w:p>
      <w:pPr>
        <w:ind w:right="440"/>
        <w:spacing w:after="0" w:line="259" w:lineRule="auto"/>
        <w:rPr>
          <w:sz w:val="20"/>
          <w:szCs w:val="20"/>
          <w:color w:val="auto"/>
        </w:rPr>
      </w:pPr>
      <w:r>
        <w:rPr>
          <w:rFonts w:ascii="Arial" w:cs="Arial" w:eastAsia="Arial" w:hAnsi="Arial"/>
          <w:sz w:val="18"/>
          <w:szCs w:val="18"/>
          <w:color w:val="auto"/>
        </w:rPr>
        <w:t>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2" w:lineRule="exact"/>
        <w:rPr>
          <w:sz w:val="20"/>
          <w:szCs w:val="20"/>
          <w:color w:val="auto"/>
        </w:rPr>
      </w:pPr>
    </w:p>
    <w:p>
      <w:pPr>
        <w:ind w:right="80" w:firstLine="385"/>
        <w:spacing w:after="0" w:line="297"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6" w:lineRule="exact"/>
        <w:rPr>
          <w:sz w:val="20"/>
          <w:szCs w:val="20"/>
          <w:color w:val="auto"/>
        </w:rPr>
      </w:pPr>
    </w:p>
    <w:p>
      <w:pPr>
        <w:ind w:right="520" w:firstLine="385"/>
        <w:spacing w:after="0" w:line="301" w:lineRule="auto"/>
        <w:rPr>
          <w:sz w:val="20"/>
          <w:szCs w:val="20"/>
          <w:color w:val="auto"/>
        </w:rPr>
      </w:pPr>
      <w:r>
        <w:rPr>
          <w:rFonts w:ascii="Arial" w:cs="Arial" w:eastAsia="Arial" w:hAnsi="Arial"/>
          <w:sz w:val="17"/>
          <w:szCs w:val="17"/>
          <w:color w:val="auto"/>
        </w:rPr>
        <w:t>Transaction prices of products are typically based on contracted rates. Product revenue is measured as the amount of consideration the Company expects to receive in exchange for transferring products to a customer, net of any variable consideration described below.</w:t>
      </w:r>
    </w:p>
    <w:p>
      <w:pPr>
        <w:spacing w:after="0" w:line="98" w:lineRule="exact"/>
        <w:rPr>
          <w:sz w:val="20"/>
          <w:szCs w:val="20"/>
          <w:color w:val="auto"/>
        </w:rPr>
      </w:pPr>
    </w:p>
    <w:p>
      <w:pPr>
        <w:ind w:right="360" w:firstLine="385"/>
        <w:spacing w:after="0" w:line="255"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7" w:lineRule="exact"/>
        <w:rPr>
          <w:sz w:val="20"/>
          <w:szCs w:val="20"/>
          <w:color w:val="auto"/>
        </w:rPr>
      </w:pPr>
    </w:p>
    <w:p>
      <w:pPr>
        <w:ind w:right="60" w:firstLine="385"/>
        <w:spacing w:after="0" w:line="297" w:lineRule="auto"/>
        <w:rPr>
          <w:sz w:val="20"/>
          <w:szCs w:val="20"/>
          <w:color w:val="auto"/>
        </w:rPr>
      </w:pPr>
      <w:r>
        <w:rPr>
          <w:rFonts w:ascii="Arial" w:cs="Arial" w:eastAsia="Arial" w:hAnsi="Arial"/>
          <w:sz w:val="16"/>
          <w:szCs w:val="16"/>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 In determining whether control has transferred, the Company considers if there is a present right to payment from the customer and when physical possession, legal title and risks and rewards of ownership have transferred to the customer.</w:t>
      </w:r>
    </w:p>
    <w:p>
      <w:pPr>
        <w:spacing w:after="0" w:line="106" w:lineRule="exact"/>
        <w:rPr>
          <w:sz w:val="20"/>
          <w:szCs w:val="20"/>
          <w:color w:val="auto"/>
        </w:rPr>
      </w:pPr>
    </w:p>
    <w:p>
      <w:pPr>
        <w:ind w:right="160" w:firstLine="385"/>
        <w:spacing w:after="0" w:line="271"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21" w:lineRule="exact"/>
        <w:rPr>
          <w:sz w:val="20"/>
          <w:szCs w:val="20"/>
          <w:color w:val="auto"/>
        </w:rPr>
      </w:pPr>
    </w:p>
    <w:p>
      <w:pPr>
        <w:ind w:right="60" w:firstLine="385"/>
        <w:spacing w:after="0" w:line="242" w:lineRule="auto"/>
        <w:rPr>
          <w:sz w:val="20"/>
          <w:szCs w:val="20"/>
          <w:color w:val="auto"/>
        </w:rPr>
      </w:pPr>
      <w:r>
        <w:rPr>
          <w:rFonts w:ascii="Arial" w:cs="Arial" w:eastAsia="Arial" w:hAnsi="Arial"/>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54" w:lineRule="exact"/>
        <w:rPr>
          <w:sz w:val="20"/>
          <w:szCs w:val="20"/>
          <w:color w:val="auto"/>
        </w:rPr>
      </w:pPr>
    </w:p>
    <w:p>
      <w:pPr>
        <w:jc w:val="both"/>
        <w:ind w:right="500" w:firstLine="385"/>
        <w:spacing w:after="0" w:line="281"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16" w:lineRule="exact"/>
        <w:rPr>
          <w:sz w:val="20"/>
          <w:szCs w:val="20"/>
          <w:color w:val="auto"/>
        </w:rPr>
      </w:pPr>
    </w:p>
    <w:p>
      <w:pPr>
        <w:ind w:right="140" w:firstLine="385"/>
        <w:spacing w:after="0" w:line="351" w:lineRule="auto"/>
        <w:rPr>
          <w:sz w:val="20"/>
          <w:szCs w:val="20"/>
          <w:color w:val="auto"/>
        </w:rPr>
      </w:pPr>
      <w:r>
        <w:rPr>
          <w:rFonts w:ascii="Arial" w:cs="Arial" w:eastAsia="Arial" w:hAnsi="Arial"/>
          <w:sz w:val="14"/>
          <w:szCs w:val="14"/>
          <w:color w:val="auto"/>
        </w:rPr>
        <w:t>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75" w:lineRule="exact"/>
        <w:rPr>
          <w:sz w:val="20"/>
          <w:szCs w:val="20"/>
          <w:color w:val="auto"/>
        </w:rPr>
      </w:pPr>
    </w:p>
    <w:p>
      <w:pPr>
        <w:ind w:firstLine="385"/>
        <w:spacing w:after="0" w:line="270" w:lineRule="auto"/>
        <w:rPr>
          <w:sz w:val="20"/>
          <w:szCs w:val="20"/>
          <w:color w:val="auto"/>
        </w:rPr>
      </w:pPr>
      <w:r>
        <w:rPr>
          <w:rFonts w:ascii="Arial" w:cs="Arial" w:eastAsia="Arial" w:hAnsi="Arial"/>
          <w:sz w:val="17"/>
          <w:szCs w:val="17"/>
          <w:color w:val="auto"/>
        </w:rPr>
        <w:t>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2023, such product returns were not material.</w:t>
      </w:r>
    </w:p>
    <w:p>
      <w:pPr>
        <w:spacing w:after="0" w:line="125" w:lineRule="exact"/>
        <w:rPr>
          <w:sz w:val="20"/>
          <w:szCs w:val="20"/>
          <w:color w:val="auto"/>
        </w:rPr>
      </w:pPr>
    </w:p>
    <w:p>
      <w:pPr>
        <w:ind w:right="60" w:firstLine="385"/>
        <w:spacing w:after="0" w:line="255" w:lineRule="auto"/>
        <w:rPr>
          <w:sz w:val="20"/>
          <w:szCs w:val="20"/>
          <w:color w:val="auto"/>
        </w:rPr>
      </w:pPr>
      <w:r>
        <w:rPr>
          <w:rFonts w:ascii="Arial" w:cs="Arial" w:eastAsia="Arial" w:hAnsi="Arial"/>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7" w:name="page38"/>
    <w:bookmarkEnd w:id="37"/>
    <w:p>
      <w:pPr>
        <w:ind w:right="40"/>
        <w:spacing w:after="0" w:line="271" w:lineRule="auto"/>
        <w:rPr>
          <w:sz w:val="20"/>
          <w:szCs w:val="20"/>
          <w:color w:val="auto"/>
        </w:rPr>
      </w:pPr>
      <w:r>
        <w:rPr>
          <w:rFonts w:ascii="Arial" w:cs="Arial" w:eastAsia="Arial" w:hAnsi="Arial"/>
          <w:sz w:val="18"/>
          <w:szCs w:val="18"/>
          <w:color w:val="auto"/>
        </w:rPr>
        <w:t>fulfillment of the performance obligation, the Company recognizes a contract liability that is included in deferred revenue in the accompanying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54" w:lineRule="exact"/>
        <w:rPr>
          <w:sz w:val="20"/>
          <w:szCs w:val="20"/>
          <w:color w:val="auto"/>
        </w:rPr>
      </w:pPr>
    </w:p>
    <w:p>
      <w:pPr>
        <w:ind w:right="40" w:firstLine="385"/>
        <w:spacing w:after="0" w:line="254" w:lineRule="auto"/>
        <w:rPr>
          <w:sz w:val="20"/>
          <w:szCs w:val="20"/>
          <w:color w:val="auto"/>
        </w:rPr>
      </w:pPr>
      <w:r>
        <w:rPr>
          <w:rFonts w:ascii="Arial" w:cs="Arial" w:eastAsia="Arial" w:hAnsi="Arial"/>
          <w:sz w:val="17"/>
          <w:szCs w:val="17"/>
          <w:color w:val="auto"/>
        </w:rPr>
        <w:t>Inventories are stated at the lower of cost or net realizable value based on the first-in, first-out cost method and consist of raw materials, work in process and finished goods. Appropriate consideration is given to deterioration, obsolescence, expiring and other factors in evaluating net realizable value. When we evaluate inventory for excess quantities and obsolescence, we utilize historical product usage experience and expected demand for establishing our reserve estimates. Our actual product usage may vary from the historical experience and estimating demand is inherently difficult which may result in us recording excess and obsolete inventory amounts that do not match the required amounts. An increase to inventory reserves results in a corresponding increase in cost of revenue. Inventories are written off against the reserve when they are physically disposed.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Contingent Consideration</w:t>
      </w:r>
    </w:p>
    <w:p>
      <w:pPr>
        <w:spacing w:after="0" w:line="167" w:lineRule="exact"/>
        <w:rPr>
          <w:sz w:val="20"/>
          <w:szCs w:val="20"/>
          <w:color w:val="auto"/>
        </w:rPr>
      </w:pPr>
    </w:p>
    <w:p>
      <w:pPr>
        <w:ind w:right="180" w:firstLine="385"/>
        <w:spacing w:after="0" w:line="251" w:lineRule="auto"/>
        <w:rPr>
          <w:sz w:val="20"/>
          <w:szCs w:val="20"/>
          <w:color w:val="auto"/>
        </w:rPr>
      </w:pPr>
      <w:r>
        <w:rPr>
          <w:rFonts w:ascii="Arial" w:cs="Arial" w:eastAsia="Arial" w:hAnsi="Arial"/>
          <w:sz w:val="18"/>
          <w:szCs w:val="18"/>
          <w:color w:val="auto"/>
        </w:rPr>
        <w:t>The Company allocates the purchase price of acquired companies to the tangible and intangible assets acquired and liabilities assumed based on their estimated fair values. The estimates used to value the net assets acquired are based in part on historical experience and information obtained from the management of the acquired company. The Company generally values the identifiable intangible assets acquired using a discounted cash flow model. The significant estimates used in valuing certain of the intangible assets include, but are not limited to: future expected cash flows of the asset, discount rates to determine the present value of the future cash flows, attrition rates of customers, royalty rates and expected technology life cycles. The Company also estimates the useful lives of the intangible assets based on the expected period over which the Company anticipates generating economic benefit from the asset.</w:t>
      </w:r>
    </w:p>
    <w:p>
      <w:pPr>
        <w:spacing w:after="0" w:line="143" w:lineRule="exact"/>
        <w:rPr>
          <w:sz w:val="20"/>
          <w:szCs w:val="20"/>
          <w:color w:val="auto"/>
        </w:rPr>
      </w:pPr>
    </w:p>
    <w:p>
      <w:pPr>
        <w:ind w:right="380" w:firstLine="385"/>
        <w:spacing w:after="0" w:line="271" w:lineRule="auto"/>
        <w:rPr>
          <w:sz w:val="20"/>
          <w:szCs w:val="20"/>
          <w:color w:val="auto"/>
        </w:rPr>
      </w:pPr>
      <w:r>
        <w:rPr>
          <w:rFonts w:ascii="Arial" w:cs="Arial" w:eastAsia="Arial" w:hAnsi="Arial"/>
          <w:sz w:val="18"/>
          <w:szCs w:val="18"/>
          <w:color w:val="auto"/>
        </w:rPr>
        <w:t>The Company’s estimates of fair value are based on assumptions believed to be reasonable at that time. If management made different estimates or judgments, material differences in the fair values of the net assets acquired may result.</w:t>
      </w:r>
    </w:p>
    <w:p>
      <w:pPr>
        <w:spacing w:after="0" w:line="121" w:lineRule="exact"/>
        <w:rPr>
          <w:sz w:val="20"/>
          <w:szCs w:val="20"/>
          <w:color w:val="auto"/>
        </w:rPr>
      </w:pPr>
    </w:p>
    <w:p>
      <w:pPr>
        <w:ind w:right="20" w:firstLine="385"/>
        <w:spacing w:after="0" w:line="265" w:lineRule="auto"/>
        <w:rPr>
          <w:sz w:val="20"/>
          <w:szCs w:val="20"/>
          <w:color w:val="auto"/>
        </w:rPr>
      </w:pPr>
      <w:r>
        <w:rPr>
          <w:rFonts w:ascii="Arial" w:cs="Arial" w:eastAsia="Arial" w:hAnsi="Arial"/>
          <w:sz w:val="17"/>
          <w:szCs w:val="17"/>
          <w:color w:val="auto"/>
        </w:rPr>
        <w:t>Certain of the Company’s business combinations involve potential payment of future consideration that is contingent upon the achievement of certain product development milestones and/or contingent on the acquired business reaching certain performance milestones. The Company records contingent consideration at fair value at the date of acquisition based on the consideration expected to be transferred, estimated as the probability weighted future cash flows, discounted back to present value. The fair value of contingent consideration is measured using projected payment dates, discount rates, probabilities of payment, and projected revenues (for revenue-based considerations). Projected revenues are based on the Company’s most recent internal operational budgets and long-range strategic plans. The discount rate used is determined at the time of measurement in accordance with accepted valuation methodologies. Changes in projected revenues, probabilities of payment, discount rates, and projected payment dates may result in adjustments to the fair value measurements. Contingent consideration is remeasured each reporting period using Level 3 inputs, and the change in fair value, including accretion for the passage of time, is recognized as income or expense within operating expenses in the Consolidated Statements of Operations. Contingent consideration payments made soon after the acquisition date are classified as investing activities in the Consolidated Statements of Cash Flows. Contingent consideration payments not made soon after the acquisition date that are related to the acquisition date fair value are reported as financing activities in the Consolidated Statements of Cash Flows, and amounts paid in excess of the original acquisition date fair value are reported as operating activities in the Consolidated Statements of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67" w:lineRule="exact"/>
        <w:rPr>
          <w:sz w:val="20"/>
          <w:szCs w:val="20"/>
          <w:color w:val="auto"/>
        </w:rPr>
      </w:pPr>
    </w:p>
    <w:p>
      <w:pPr>
        <w:ind w:firstLine="385"/>
        <w:spacing w:after="0" w:line="284" w:lineRule="auto"/>
        <w:rPr>
          <w:sz w:val="20"/>
          <w:szCs w:val="20"/>
          <w:color w:val="auto"/>
        </w:rPr>
      </w:pPr>
      <w:r>
        <w:rPr>
          <w:rFonts w:ascii="Arial" w:cs="Arial" w:eastAsia="Arial" w:hAnsi="Arial"/>
          <w:sz w:val="16"/>
          <w:szCs w:val="16"/>
          <w:color w:val="auto"/>
        </w:rPr>
        <w:t>Intangible assets other than goodwill, indefinite lived intangible assets and in process research and development ("IP R&amp;D") are amortized over their estimated useful lives, which range between two to eighteen years, on a straight-line basis over the expected period of benefit.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Prior to the first quarter of fiscal year 2023, the Company managed its operations as one reporting unit. At the beginning of the first quarter of fiscal year 2023, the Company began to manage its operations as two operating segments and two reporting units, namely Med Tech and Med Device (see Note 18 "Segment and Geographic Information" set forth in the Notes to our consolidated financial statements included in this Annual Report on Form 10-K).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ind w:right="300" w:firstLine="385"/>
        <w:spacing w:after="0" w:line="255"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37" w:lineRule="exact"/>
        <w:rPr>
          <w:sz w:val="20"/>
          <w:szCs w:val="20"/>
          <w:color w:val="auto"/>
        </w:rPr>
      </w:pPr>
    </w:p>
    <w:p>
      <w:pPr>
        <w:ind w:right="180" w:firstLine="401"/>
        <w:spacing w:after="0" w:line="270" w:lineRule="auto"/>
        <w:rPr>
          <w:sz w:val="20"/>
          <w:szCs w:val="20"/>
          <w:color w:val="auto"/>
        </w:rPr>
      </w:pPr>
      <w:r>
        <w:rPr>
          <w:rFonts w:ascii="Arial" w:cs="Arial" w:eastAsia="Arial" w:hAnsi="Arial"/>
          <w:sz w:val="17"/>
          <w:szCs w:val="17"/>
          <w:color w:val="auto"/>
        </w:rPr>
        <w:t>For goodwill, the impairment test requires a comparison of the estimated fair value of each reporting unit to which the goodwill is assigned to the carrying value of the assets and liabilities of those reporting units. The determination of reporting units also requires management judgment. The Company considers whether a reporting unit exists within a reportable segment based on the availability of discrete financial information. The Company operates as two operating segments with two reporting units and consequently evaluates goodwill for impairment based on an evaluation of the fair value of each reporting unit. If the carrying value of the reporting units exceed the fair value, the carrying value is reduced to its fair value through an adjustment to the goodwill balance, resulting in an impairment charge.</w:t>
      </w:r>
    </w:p>
    <w:p>
      <w:pPr>
        <w:spacing w:after="0" w:line="125" w:lineRule="exact"/>
        <w:rPr>
          <w:sz w:val="20"/>
          <w:szCs w:val="20"/>
          <w:color w:val="auto"/>
        </w:rPr>
      </w:pPr>
    </w:p>
    <w:p>
      <w:pPr>
        <w:ind w:right="200" w:firstLine="401"/>
        <w:spacing w:after="0" w:line="259" w:lineRule="auto"/>
        <w:rPr>
          <w:sz w:val="20"/>
          <w:szCs w:val="20"/>
          <w:color w:val="auto"/>
        </w:rPr>
      </w:pPr>
      <w:r>
        <w:rPr>
          <w:rFonts w:ascii="Arial" w:cs="Arial" w:eastAsia="Arial" w:hAnsi="Arial"/>
          <w:sz w:val="18"/>
          <w:szCs w:val="18"/>
          <w:color w:val="auto"/>
        </w:rPr>
        <w:t>As detailed in Note 9, "Goodwill and Intangible Assets" set forth in the Notes to our consolidated financial statements included in this Annual Report on Form 10-K, the Company recorded a goodwill impairment loss of $14.5 million for the year ended May 31, 2023 as the fair value of the Med Device reporting unit was less than its carrying value.</w:t>
      </w:r>
    </w:p>
    <w:p>
      <w:pPr>
        <w:spacing w:after="0" w:line="132" w:lineRule="exact"/>
        <w:rPr>
          <w:sz w:val="20"/>
          <w:szCs w:val="20"/>
          <w:color w:val="auto"/>
        </w:rPr>
      </w:pPr>
    </w:p>
    <w:p>
      <w:pPr>
        <w:ind w:right="600" w:firstLine="385"/>
        <w:spacing w:after="0" w:line="271" w:lineRule="auto"/>
        <w:rPr>
          <w:sz w:val="20"/>
          <w:szCs w:val="20"/>
          <w:color w:val="auto"/>
        </w:rPr>
      </w:pPr>
      <w:r>
        <w:rPr>
          <w:rFonts w:ascii="Arial" w:cs="Arial" w:eastAsia="Arial" w:hAnsi="Arial"/>
          <w:sz w:val="18"/>
          <w:szCs w:val="18"/>
          <w:color w:val="auto"/>
        </w:rPr>
        <w:t>There were no adjustments to goodwill for the Med Tech reporting unit for the year ended May 31, 2023 other than foreign currency translation adjustments.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2023 and 2022</w:t>
      </w:r>
    </w:p>
    <w:p>
      <w:pPr>
        <w:spacing w:after="0" w:line="171" w:lineRule="exact"/>
        <w:rPr>
          <w:sz w:val="20"/>
          <w:szCs w:val="20"/>
          <w:color w:val="auto"/>
        </w:rPr>
      </w:pPr>
    </w:p>
    <w:p>
      <w:pPr>
        <w:ind w:right="260" w:firstLine="385"/>
        <w:spacing w:after="0" w:line="301" w:lineRule="auto"/>
        <w:rPr>
          <w:sz w:val="20"/>
          <w:szCs w:val="20"/>
          <w:color w:val="auto"/>
        </w:rPr>
      </w:pPr>
      <w:r>
        <w:rPr>
          <w:rFonts w:ascii="Arial" w:cs="Arial" w:eastAsia="Arial" w:hAnsi="Arial"/>
          <w:sz w:val="17"/>
          <w:szCs w:val="17"/>
          <w:color w:val="auto"/>
        </w:rPr>
        <w:t>For the fiscal year ended May 31, 2023, the Company reported a net loss of $52.4 million, or a loss of $1.33 per diluted share, on net sales of $338.8 million compared to a net loss of $26.5 million, or a loss of $0.68 per diluted share, on net sales of $316.2 million in fiscal year 2022.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rebates and returns.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35"/>
              <w:spacing w:after="0"/>
              <w:rPr>
                <w:sz w:val="20"/>
                <w:szCs w:val="20"/>
                <w:color w:val="auto"/>
              </w:rPr>
            </w:pPr>
            <w:r>
              <w:rPr>
                <w:rFonts w:ascii="Arial" w:cs="Arial" w:eastAsia="Arial" w:hAnsi="Arial"/>
                <w:sz w:val="14"/>
                <w:szCs w:val="14"/>
                <w:color w:val="auto"/>
                <w:w w:val="91"/>
              </w:rPr>
              <w:t>Year ended May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2022</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Med Tech</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96,687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78,717</w:t>
            </w:r>
          </w:p>
        </w:tc>
        <w:tc>
          <w:tcPr>
            <w:tcW w:w="4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Med Device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237,502</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338,752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316,219</w:t>
            </w:r>
          </w:p>
        </w:tc>
        <w:tc>
          <w:tcPr>
            <w:tcW w:w="4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22,533</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Net Sales by Geography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265,963</w:t>
            </w:r>
          </w:p>
        </w:tc>
        <w:tc>
          <w:tcPr>
            <w:tcW w:w="4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40"/>
        </w:trPr>
        <w:tc>
          <w:tcPr>
            <w:tcW w:w="672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50,256</w:t>
            </w:r>
          </w:p>
        </w:tc>
        <w:tc>
          <w:tcPr>
            <w:tcW w:w="4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46"/>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316,219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For the year ended May 31, 2023, net sales increased $22.5 million to $338.8 million compared to the year ended May 31, 2022. At May 31, 2023, the Company had a backlog of $2.7 million compared to $8.4 million at the end of May 31, 2022.</w:t>
      </w:r>
    </w:p>
    <w:p>
      <w:pPr>
        <w:spacing w:after="0" w:line="12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Med Tech business net sales increased $18.0 million for the year ended May 31, 2023 compared to the prior year. The change in sales from the prior year was primarily driven by:</w:t>
      </w:r>
    </w:p>
    <w:p>
      <w:pPr>
        <w:spacing w:after="0" w:line="121" w:lineRule="exact"/>
        <w:rPr>
          <w:sz w:val="20"/>
          <w:szCs w:val="20"/>
          <w:color w:val="auto"/>
        </w:rPr>
      </w:pPr>
    </w:p>
    <w:p>
      <w:pPr>
        <w:ind w:left="640" w:hanging="31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Auryon sales of $12.0 million;</w:t>
      </w:r>
    </w:p>
    <w:p>
      <w:pPr>
        <w:spacing w:after="0" w:line="19" w:lineRule="exact"/>
        <w:rPr>
          <w:rFonts w:ascii="Arial" w:cs="Arial" w:eastAsia="Arial" w:hAnsi="Arial"/>
          <w:sz w:val="18"/>
          <w:szCs w:val="18"/>
          <w:color w:val="auto"/>
        </w:rPr>
      </w:pPr>
    </w:p>
    <w:p>
      <w:pPr>
        <w:ind w:left="640" w:right="80" w:hanging="312"/>
        <w:spacing w:after="0" w:line="24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in the thrombectomy platform of $3.0 million, which was driven by growth in the mechanical thrombectomy platform in AlphaVac sales of $5.0 million, partially offset by softness in AngioVac; and</w:t>
      </w:r>
    </w:p>
    <w:p>
      <w:pPr>
        <w:ind w:left="640" w:right="240" w:hanging="312"/>
        <w:spacing w:after="0" w:line="285"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NanoKnife sales of $3.0 million, which was driven by NanoKnife disposable sales in the U.S. and internationally which increased $3.3 million due to increased case volume. This increase was partially offset by decreased NanoKnife capital sales in the U.S.</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Med Device business net sales increased $4.6 million for the year ended May 31, 2023 compared to the prior year. The backlog, which primarily impacted sales of Core and Vascular Access products, was $2.7 million at May 31, 2023 compared to $8.4 million at May 31, 2022. The change in sales from the prior year was primarily driven by: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ind w:left="640" w:right="180" w:hanging="312"/>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sales of Core, Dialysis, Ports and Microwave sales of $5.4 million, $5.2 million, $1.4 million and $1.0 million, respectively. These increases were partially offset by decreased Venous, PICCs, Midlines and other Oncology and Vascular Access sales of $3.6 million, $2.4 million, $0.8 million and $1.6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w w:val="90"/>
              </w:rPr>
              <w:t>Year ended May 31,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 Change</w:t>
            </w:r>
          </w:p>
        </w:tc>
      </w:tr>
      <w:tr>
        <w:trPr>
          <w:trHeight w:val="22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 Tech</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61,966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52,584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r>
      <w:tr>
        <w:trPr>
          <w:trHeight w:val="234"/>
        </w:trPr>
        <w:tc>
          <w:tcPr>
            <w:tcW w:w="654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4"/>
        </w:trPr>
        <w:tc>
          <w:tcPr>
            <w:tcW w:w="65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Med Device</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112,280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113,148</w:t>
            </w:r>
          </w:p>
        </w:tc>
        <w:tc>
          <w:tcPr>
            <w:tcW w:w="38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 of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7"/>
        </w:trPr>
        <w:tc>
          <w:tcPr>
            <w:tcW w:w="6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1"/>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174,246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165,732</w:t>
            </w:r>
          </w:p>
        </w:tc>
        <w:tc>
          <w:tcPr>
            <w:tcW w:w="3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2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Total Company gross profit increased by $8.5 million compared to the prior year. The change from the prior year was primarily driven by:</w:t>
      </w:r>
    </w:p>
    <w:p>
      <w:pPr>
        <w:spacing w:after="0" w:line="167" w:lineRule="exact"/>
        <w:rPr>
          <w:sz w:val="20"/>
          <w:szCs w:val="20"/>
          <w:color w:val="auto"/>
        </w:rPr>
      </w:pPr>
    </w:p>
    <w:p>
      <w:pPr>
        <w:ind w:left="640" w:hanging="31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volume, which positively impacted gross profit by $13.2 million;</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volume and other incentives which positively impacted gross profit by $11.3 million</w:t>
      </w:r>
    </w:p>
    <w:p>
      <w:pPr>
        <w:spacing w:after="0" w:line="6" w:lineRule="exact"/>
        <w:rPr>
          <w:rFonts w:ascii="Arial" w:cs="Arial" w:eastAsia="Arial" w:hAnsi="Arial"/>
          <w:sz w:val="18"/>
          <w:szCs w:val="18"/>
          <w:color w:val="auto"/>
        </w:rPr>
      </w:pPr>
    </w:p>
    <w:p>
      <w:pPr>
        <w:ind w:left="640" w:hanging="312"/>
        <w:spacing w:after="0" w:line="236"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mix, which negatively impacted gross profit by $4.9 million;</w:t>
      </w:r>
    </w:p>
    <w:p>
      <w:pPr>
        <w:ind w:left="640" w:hanging="312"/>
        <w:spacing w:after="0" w:line="23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Inflationary costs on raw materials, labor shortages and freight costs, which negatively impacted gross profit by $8.1 million;</w:t>
      </w:r>
    </w:p>
    <w:p>
      <w:pPr>
        <w:ind w:left="640" w:hanging="312"/>
        <w:spacing w:after="0" w:line="23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Incremental depreciation on placement units of $2.2 million; and</w:t>
      </w:r>
    </w:p>
    <w:p>
      <w:pPr>
        <w:ind w:left="640" w:hanging="312"/>
        <w:spacing w:after="0" w:line="23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benefit of $0.8 million that was recorded as a result of the employee retention credit that the Company filed for under the provision of the CARES Act in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Med Tech segment gross profit increased by $9.4 million compared to the prior year. The change from the prior year was primarily driven by:</w:t>
      </w:r>
    </w:p>
    <w:p>
      <w:pPr>
        <w:spacing w:after="0" w:line="179" w:lineRule="exact"/>
        <w:rPr>
          <w:sz w:val="20"/>
          <w:szCs w:val="20"/>
          <w:color w:val="auto"/>
        </w:rPr>
      </w:pPr>
    </w:p>
    <w:p>
      <w:pPr>
        <w:ind w:left="640" w:hanging="31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volume, which positively impacted gross profit by $13.9 million;</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volume, manufacturing and other incentives which positively impacted gross profit by $2.1 million;</w:t>
      </w:r>
    </w:p>
    <w:p>
      <w:pPr>
        <w:spacing w:after="0" w:line="6" w:lineRule="exact"/>
        <w:rPr>
          <w:rFonts w:ascii="Arial" w:cs="Arial" w:eastAsia="Arial" w:hAnsi="Arial"/>
          <w:sz w:val="18"/>
          <w:szCs w:val="18"/>
          <w:color w:val="auto"/>
        </w:rPr>
      </w:pPr>
    </w:p>
    <w:p>
      <w:pPr>
        <w:ind w:left="640" w:hanging="312"/>
        <w:spacing w:after="0" w:line="236"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pressures and mix, which negatively impacted gross profit by $4.7 million;</w:t>
      </w:r>
    </w:p>
    <w:p>
      <w:pPr>
        <w:ind w:left="640" w:hanging="312"/>
        <w:spacing w:after="0" w:line="23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Inflationary costs on raw materials, labor shortages and freight costs, which negatively impacted gross profit by $0.5 million; and</w:t>
      </w:r>
    </w:p>
    <w:p>
      <w:pPr>
        <w:ind w:left="640" w:hanging="31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Incremental depreciation on placement units of $1.3 million.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Med Device segment gross profit decreased by $0.9 million compared to the prior year. The change from the prior year was primarily driven by:</w:t>
      </w:r>
    </w:p>
    <w:p>
      <w:pPr>
        <w:spacing w:after="0" w:line="219" w:lineRule="exact"/>
        <w:rPr>
          <w:sz w:val="20"/>
          <w:szCs w:val="20"/>
          <w:color w:val="auto"/>
        </w:rPr>
      </w:pPr>
    </w:p>
    <w:p>
      <w:pPr>
        <w:ind w:left="640" w:hanging="31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volume, which positively impacted gross profit by $2.1 million;</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 volume, manufacturing and other incentives which positively impacted gross profit by $8.6 million;</w:t>
      </w:r>
    </w:p>
    <w:p>
      <w:pPr>
        <w:spacing w:after="0" w:line="6" w:lineRule="exact"/>
        <w:rPr>
          <w:rFonts w:ascii="Arial" w:cs="Arial" w:eastAsia="Arial" w:hAnsi="Arial"/>
          <w:sz w:val="18"/>
          <w:szCs w:val="18"/>
          <w:color w:val="auto"/>
        </w:rPr>
      </w:pPr>
    </w:p>
    <w:p>
      <w:pPr>
        <w:ind w:left="640" w:hanging="312"/>
        <w:spacing w:after="0" w:line="23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pressures and mix, which negatively impacted gross profit by $3.7 million;</w:t>
      </w:r>
    </w:p>
    <w:p>
      <w:pPr>
        <w:ind w:left="640" w:hanging="312"/>
        <w:spacing w:after="0" w:line="21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Inflationary costs on raw materials, labor shortages and freight costs, which negatively impacted gross profit by $7.6 million; and</w:t>
      </w:r>
    </w:p>
    <w:p>
      <w:pPr>
        <w:ind w:left="640" w:hanging="31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Incremental depreciation on placement units of $0.3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Operating Expenses and Other Income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175"/>
              <w:spacing w:after="0"/>
              <w:rPr>
                <w:sz w:val="20"/>
                <w:szCs w:val="20"/>
                <w:color w:val="auto"/>
              </w:rPr>
            </w:pPr>
            <w:r>
              <w:rPr>
                <w:rFonts w:ascii="Arial" w:cs="Arial" w:eastAsia="Arial" w:hAnsi="Arial"/>
                <w:sz w:val="14"/>
                <w:szCs w:val="14"/>
                <w:color w:val="auto"/>
                <w:w w:val="90"/>
              </w:rPr>
              <w:t>Year ended May 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5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30,739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95,301</w:t>
            </w:r>
          </w:p>
        </w:tc>
        <w:tc>
          <w:tcPr>
            <w:tcW w:w="3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38,451</w:t>
            </w:r>
          </w:p>
        </w:tc>
        <w:tc>
          <w:tcPr>
            <w:tcW w:w="3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u w:val="single" w:color="auto"/>
          <w:color w:val="auto"/>
        </w:rPr>
        <w:t>Research and development expense</w:t>
      </w:r>
      <w:r>
        <w:rPr>
          <w:rFonts w:ascii="Arial" w:cs="Arial" w:eastAsia="Arial" w:hAnsi="Arial"/>
          <w:sz w:val="18"/>
          <w:szCs w:val="18"/>
          <w:color w:val="auto"/>
        </w:rPr>
        <w:t xml:space="preserve"> - Research and development (“R&amp;D”) expense includes internal and external costs to develop new products, enhance existing products, validate new and enhanced products, manage clinical, regulatory and medical affairs.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R&amp;D expense decreased $0.9 million compared to the prior year. The change from the prior year was primarily driven by:</w:t>
      </w:r>
    </w:p>
    <w:p>
      <w:pPr>
        <w:spacing w:after="0" w:line="167" w:lineRule="exact"/>
        <w:rPr>
          <w:sz w:val="20"/>
          <w:szCs w:val="20"/>
          <w:color w:val="auto"/>
        </w:rPr>
      </w:pPr>
    </w:p>
    <w:p>
      <w:pPr>
        <w:ind w:left="640" w:hanging="31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certain projects and clinical spend associated with the ongoing clinical trials, which decreased R&amp;D expense by $1.1 million;</w:t>
      </w:r>
    </w:p>
    <w:p>
      <w:pPr>
        <w:spacing w:after="0" w:line="31" w:lineRule="exact"/>
        <w:rPr>
          <w:rFonts w:ascii="Arial" w:cs="Arial" w:eastAsia="Arial" w:hAnsi="Arial"/>
          <w:sz w:val="17"/>
          <w:szCs w:val="17"/>
          <w:color w:val="auto"/>
        </w:rPr>
      </w:pPr>
    </w:p>
    <w:p>
      <w:pPr>
        <w:ind w:left="640" w:hanging="31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and benefits expenses, which decreased $0.3 million; and</w:t>
      </w:r>
    </w:p>
    <w:p>
      <w:pPr>
        <w:spacing w:after="0" w:line="6" w:lineRule="exact"/>
        <w:rPr>
          <w:rFonts w:ascii="Arial" w:cs="Arial" w:eastAsia="Arial" w:hAnsi="Arial"/>
          <w:sz w:val="18"/>
          <w:szCs w:val="18"/>
          <w:color w:val="auto"/>
        </w:rPr>
      </w:pPr>
    </w:p>
    <w:p>
      <w:pPr>
        <w:ind w:left="640" w:hanging="312"/>
        <w:spacing w:after="0" w:line="25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benefit of $0.5 million that was recorded as a result of the employee retention credit that the Company filed for under the provision of the CARES Act in the prior year.</w:t>
      </w:r>
    </w:p>
    <w:p>
      <w:pPr>
        <w:spacing w:after="0" w:line="21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u w:val="single" w:color="auto"/>
          <w:color w:val="auto"/>
        </w:rPr>
        <w:t>Sales and marketing expense</w:t>
      </w:r>
      <w:r>
        <w:rPr>
          <w:rFonts w:ascii="Arial" w:cs="Arial" w:eastAsia="Arial" w:hAnsi="Arial"/>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by $8.9 million compared to the prior year. The change from the prior year was primarily driven by:</w:t>
      </w:r>
    </w:p>
    <w:p>
      <w:pPr>
        <w:spacing w:after="0" w:line="167" w:lineRule="exact"/>
        <w:rPr>
          <w:sz w:val="20"/>
          <w:szCs w:val="20"/>
          <w:color w:val="auto"/>
        </w:rPr>
      </w:pPr>
    </w:p>
    <w:p>
      <w:pPr>
        <w:ind w:left="640" w:right="220" w:hanging="312"/>
        <w:spacing w:after="0" w:line="25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headcount from the build-out of the Auryon and mechanical thrombectomy sales and marketing teams, which increased compensation and benefits expense by $3.1 million;</w:t>
      </w:r>
    </w:p>
    <w:p>
      <w:pPr>
        <w:ind w:left="640" w:hanging="31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Travel, meeting, tradeshow and other selling expenses, which increased $3.7 million;</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fixed expenses (utilities, insurance, depreciation, etc.), which decreased $0.6 million; and</w:t>
      </w:r>
    </w:p>
    <w:p>
      <w:pPr>
        <w:spacing w:after="0" w:line="6" w:lineRule="exact"/>
        <w:rPr>
          <w:rFonts w:ascii="Arial" w:cs="Arial" w:eastAsia="Arial" w:hAnsi="Arial"/>
          <w:sz w:val="18"/>
          <w:szCs w:val="18"/>
          <w:color w:val="auto"/>
        </w:rPr>
      </w:pPr>
    </w:p>
    <w:p>
      <w:pPr>
        <w:ind w:left="640" w:right="100" w:hanging="312"/>
        <w:spacing w:after="0" w:line="256"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benefit of $2.8 million that was recorded as a result of the employee retention credit that the Company file for under the provision of the CARES Act in the prior year.</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8"/>
          <w:szCs w:val="18"/>
          <w:u w:val="single" w:color="auto"/>
          <w:color w:val="auto"/>
        </w:rPr>
        <w:t>General and administrative expense</w:t>
      </w:r>
      <w:r>
        <w:rPr>
          <w:rFonts w:ascii="Arial" w:cs="Arial" w:eastAsia="Arial" w:hAnsi="Arial"/>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by $1.6 million compared to the prior year. The change from the prior year was primarily driven by:</w:t>
      </w:r>
    </w:p>
    <w:p>
      <w:pPr>
        <w:spacing w:after="0" w:line="167" w:lineRule="exact"/>
        <w:rPr>
          <w:sz w:val="20"/>
          <w:szCs w:val="20"/>
          <w:color w:val="auto"/>
        </w:rPr>
      </w:pPr>
    </w:p>
    <w:p>
      <w:pPr>
        <w:ind w:left="640" w:hanging="31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and benefits expense, which decreased $0.5 million; and</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outside consultant spend for legal and IT which increased $1.9 million.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36"/>
              <w:spacing w:after="0"/>
              <w:rPr>
                <w:sz w:val="20"/>
                <w:szCs w:val="20"/>
                <w:color w:val="auto"/>
              </w:rPr>
            </w:pPr>
            <w:r>
              <w:rPr>
                <w:rFonts w:ascii="Arial" w:cs="Arial" w:eastAsia="Arial" w:hAnsi="Arial"/>
                <w:sz w:val="14"/>
                <w:szCs w:val="14"/>
                <w:color w:val="auto"/>
                <w:w w:val="91"/>
              </w:rPr>
              <w:t>Year ended May 31,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6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7"/>
        </w:trPr>
        <w:tc>
          <w:tcPr>
            <w:tcW w:w="66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4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7"/>
        </w:trPr>
        <w:tc>
          <w:tcPr>
            <w:tcW w:w="6680" w:type="dxa"/>
            <w:vAlign w:val="bottom"/>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9,042</w:t>
            </w:r>
          </w:p>
        </w:tc>
        <w:tc>
          <w:tcPr>
            <w:tcW w:w="4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 assets held by the Company.</w:t>
      </w:r>
    </w:p>
    <w:p>
      <w:pPr>
        <w:spacing w:after="0" w:line="167" w:lineRule="exact"/>
        <w:rPr>
          <w:sz w:val="20"/>
          <w:szCs w:val="20"/>
          <w:color w:val="auto"/>
        </w:rPr>
      </w:pPr>
    </w:p>
    <w:p>
      <w:pPr>
        <w:ind w:left="640" w:right="300" w:hanging="312"/>
        <w:spacing w:after="0" w:line="271"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expense decreased $0.7 million compared to the prior year. The decrease is due to assets that became fully amortized in fiscal year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Goodwill impairment</w:t>
      </w:r>
      <w:r>
        <w:rPr>
          <w:rFonts w:ascii="Arial" w:cs="Arial" w:eastAsia="Arial" w:hAnsi="Arial"/>
          <w:sz w:val="18"/>
          <w:szCs w:val="18"/>
          <w:color w:val="auto"/>
        </w:rPr>
        <w:t xml:space="preserve"> - Represents the impairment charge taken on goodwill.</w:t>
      </w:r>
    </w:p>
    <w:p>
      <w:pPr>
        <w:spacing w:after="0" w:line="167" w:lineRule="exact"/>
        <w:rPr>
          <w:sz w:val="20"/>
          <w:szCs w:val="20"/>
          <w:color w:val="auto"/>
        </w:rPr>
      </w:pPr>
    </w:p>
    <w:p>
      <w:pPr>
        <w:ind w:left="640" w:right="460" w:hanging="312"/>
        <w:spacing w:after="0" w:line="27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recorded a non-cash goodwill impairment charge of $14.5 million for the year ended May 31, 2023 as the fair value of the Med Device reporting unit was less than its carrying value.</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98" w:lineRule="exact"/>
        <w:rPr>
          <w:sz w:val="20"/>
          <w:szCs w:val="20"/>
          <w:color w:val="auto"/>
        </w:rPr>
      </w:pPr>
    </w:p>
    <w:p>
      <w:pPr>
        <w:ind w:left="640" w:right="280" w:hanging="312"/>
        <w:spacing w:after="0" w:line="335"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change in the fair value for the year ended May 31, 2023 is related to the Eximo contingent consideration and the increased probability of achieving the revenue milestones. The first revenue milestone was achieved in May 2023 and will be paid in the first quarter of fiscal year 2024.</w:t>
      </w:r>
    </w:p>
    <w:p>
      <w:pPr>
        <w:spacing w:after="0" w:line="155" w:lineRule="exact"/>
        <w:rPr>
          <w:sz w:val="20"/>
          <w:szCs w:val="20"/>
          <w:color w:val="auto"/>
        </w:rPr>
      </w:pPr>
    </w:p>
    <w:p>
      <w:pPr>
        <w:ind w:right="360"/>
        <w:spacing w:after="0" w:line="335" w:lineRule="auto"/>
        <w:rPr>
          <w:sz w:val="20"/>
          <w:szCs w:val="20"/>
          <w:color w:val="auto"/>
        </w:rPr>
      </w:pPr>
      <w:r>
        <w:rPr>
          <w:rFonts w:ascii="Arial" w:cs="Arial" w:eastAsia="Arial" w:hAnsi="Arial"/>
          <w:sz w:val="16"/>
          <w:szCs w:val="16"/>
          <w:u w:val="single" w:color="auto"/>
          <w:color w:val="auto"/>
        </w:rPr>
        <w:t>Acquisition, restructuring and other items, net</w:t>
      </w:r>
      <w:r>
        <w:rPr>
          <w:rFonts w:ascii="Arial" w:cs="Arial" w:eastAsia="Arial" w:hAnsi="Arial"/>
          <w:sz w:val="16"/>
          <w:szCs w:val="16"/>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increased by $6.6 million compared to the prior year. The change from the prior year was primarily driven by:</w:t>
      </w:r>
    </w:p>
    <w:p>
      <w:pPr>
        <w:spacing w:after="0" w:line="190" w:lineRule="exact"/>
        <w:rPr>
          <w:sz w:val="20"/>
          <w:szCs w:val="20"/>
          <w:color w:val="auto"/>
        </w:rPr>
      </w:pPr>
    </w:p>
    <w:p>
      <w:pPr>
        <w:ind w:left="640" w:hanging="31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which increased $2.4 million;</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Mergers and acquisition expense related to legal fees, which increased $0.3 million;</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relocation expense related to the move of certain manufacturing lines to Costa Rica, which increased $0.4 million;</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expenses (mainly severance associated with organizational changes), which decreased $0.1 million; and</w:t>
      </w:r>
    </w:p>
    <w:p>
      <w:pPr>
        <w:spacing w:after="0" w:line="6" w:lineRule="exact"/>
        <w:rPr>
          <w:rFonts w:ascii="Arial" w:cs="Arial" w:eastAsia="Arial" w:hAnsi="Arial"/>
          <w:sz w:val="18"/>
          <w:szCs w:val="18"/>
          <w:color w:val="auto"/>
        </w:rPr>
      </w:pPr>
    </w:p>
    <w:p>
      <w:pPr>
        <w:ind w:left="640" w:right="20" w:hanging="312"/>
        <w:spacing w:after="0" w:line="25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payment to the Israeli Innovation Authority of $3.5 million related to grant funds that were provided to Eximo to develop the Auryon laser prior to the acquisition in the second quarter of fiscal year 2020. These grant funds were fully repaid in the first quarter of fiscal year 2023 to satisfy the obligation which was otherwise being paid as a royalty based on a percentage of sales.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w:t>
      </w:r>
      <w:r>
        <w:rPr>
          <w:rFonts w:ascii="Arial" w:cs="Arial" w:eastAsia="Arial" w:hAnsi="Arial"/>
          <w:sz w:val="18"/>
          <w:szCs w:val="18"/>
          <w:color w:val="auto"/>
        </w:rPr>
        <w:t xml:space="preserve"> - Other expense includes interest expense, foreign currency impacts, bank fees, and amortization of deferred financing costs.</w:t>
      </w:r>
    </w:p>
    <w:p>
      <w:pPr>
        <w:spacing w:after="0" w:line="167" w:lineRule="exact"/>
        <w:rPr>
          <w:sz w:val="20"/>
          <w:szCs w:val="20"/>
          <w:color w:val="auto"/>
        </w:rPr>
      </w:pPr>
    </w:p>
    <w:p>
      <w:pPr>
        <w:ind w:left="640" w:right="20" w:hanging="312"/>
        <w:spacing w:after="0" w:line="271"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change in other expense of $1.8 million compared to the prior year, is primarily due to increased interest expense of $2.1 million and unrealized foreign currency fluctuations of $0.2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4"/>
                <w:szCs w:val="14"/>
                <w:color w:val="auto"/>
              </w:rPr>
              <w:t>Year ended May 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8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2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(1,995)</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27"/>
        </w:trPr>
        <w:tc>
          <w:tcPr>
            <w:tcW w:w="80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60" w:firstLine="401"/>
        <w:spacing w:after="0"/>
        <w:rPr>
          <w:sz w:val="20"/>
          <w:szCs w:val="20"/>
          <w:color w:val="auto"/>
        </w:rPr>
      </w:pPr>
      <w:r>
        <w:rPr>
          <w:rFonts w:ascii="Arial" w:cs="Arial" w:eastAsia="Arial" w:hAnsi="Arial"/>
          <w:sz w:val="18"/>
          <w:szCs w:val="18"/>
          <w:color w:val="auto"/>
        </w:rPr>
        <w:t>Our effective tax rate was a benefit of 3.7% for fiscal year 2023 compared with an effective tax rate benefit of 11.4% for the prior year. The current year and prior year effective tax rates differ from the U.S. statutory rate primarily due to the impact of the valuation allowance, foreign taxes, and other non-deductible permanent items (such as non-deductible meals and entertainment, Section 162(m) excess compensation), goodwill impairment and the impact of stock-based compensation.</w:t>
      </w:r>
    </w:p>
    <w:p>
      <w:pPr>
        <w:spacing w:after="0" w:line="229" w:lineRule="exact"/>
        <w:rPr>
          <w:sz w:val="20"/>
          <w:szCs w:val="20"/>
          <w:color w:val="auto"/>
        </w:rPr>
      </w:pPr>
    </w:p>
    <w:p>
      <w:pPr>
        <w:ind w:right="140" w:firstLine="401"/>
        <w:spacing w:after="0" w:line="297"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06" w:lineRule="exact"/>
        <w:rPr>
          <w:sz w:val="20"/>
          <w:szCs w:val="20"/>
          <w:color w:val="auto"/>
        </w:rPr>
      </w:pPr>
    </w:p>
    <w:p>
      <w:pPr>
        <w:ind w:right="100" w:firstLine="401"/>
        <w:spacing w:after="0" w:line="252"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2023.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regularly review our liquidity and anticipated capital requirements in light of the significant uncertainty created by the COVID-19 global pandemic.</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current cash on hand provides sufficient liquidity to meet our anticipated needs for capital for at least the next 12 months.</w:t>
      </w:r>
    </w:p>
    <w:p>
      <w:pPr>
        <w:spacing w:after="0" w:line="155" w:lineRule="exact"/>
        <w:rPr>
          <w:sz w:val="20"/>
          <w:szCs w:val="20"/>
          <w:color w:val="auto"/>
        </w:rPr>
      </w:pPr>
    </w:p>
    <w:p>
      <w:pPr>
        <w:jc w:val="both"/>
        <w:ind w:right="260" w:firstLine="385"/>
        <w:spacing w:after="0" w:line="307" w:lineRule="auto"/>
        <w:rPr>
          <w:sz w:val="20"/>
          <w:szCs w:val="20"/>
          <w:color w:val="auto"/>
        </w:rPr>
      </w:pPr>
      <w:r>
        <w:rPr>
          <w:rFonts w:ascii="Arial" w:cs="Arial" w:eastAsia="Arial" w:hAnsi="Arial"/>
          <w:sz w:val="16"/>
          <w:szCs w:val="16"/>
          <w:color w:val="auto"/>
        </w:rPr>
        <w:t>Our cash and cash equivalents totaled $44.6 million as of May 31, 2023, compared with $28.8 million as of May 31, 2022. As of May 31, 2023 and 2022, total debt outstanding related to the Credit Agreement was $50.0 million ($25.0 million on the Revolving Facility and $25.0 million on the Delayed Draw Term Loan) and $25.0 million, respectively. The fair value of the contingent consideration liability as of May 31, 2023 was $19.3 million.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our cash flows for the years ended May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4"/>
                <w:szCs w:val="14"/>
                <w:color w:val="auto"/>
              </w:rPr>
              <w:t>Year ended May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82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2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4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(19,307)</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15,795</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May 31, 2023 and 2022, cash flows consisted of the following: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(used in) operating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Years ended May 31, 2023 and 2022:</w:t>
      </w:r>
    </w:p>
    <w:p>
      <w:pPr>
        <w:spacing w:after="0" w:line="167" w:lineRule="exact"/>
        <w:rPr>
          <w:sz w:val="20"/>
          <w:szCs w:val="20"/>
          <w:color w:val="auto"/>
        </w:rPr>
      </w:pPr>
    </w:p>
    <w:p>
      <w:pPr>
        <w:ind w:left="640" w:right="320" w:hanging="312"/>
        <w:spacing w:after="0" w:line="267"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loss of $52.4 million and $26.5 million, respectively, plus the non-cash items, primarily driven by depreciation and amortization, goodwill impairment and stock-based compensation, along with the changes in working capital below, contributed to cash provided by operations of $0.1 million for the year ended May 31, 2023 and cash used in operations of $7.2 million for the year ended May 31, 2022.</w:t>
      </w:r>
    </w:p>
    <w:p>
      <w:pPr>
        <w:spacing w:after="0" w:line="2" w:lineRule="exact"/>
        <w:rPr>
          <w:rFonts w:ascii="Arial" w:cs="Arial" w:eastAsia="Arial" w:hAnsi="Arial"/>
          <w:sz w:val="17"/>
          <w:szCs w:val="17"/>
          <w:color w:val="auto"/>
        </w:rPr>
      </w:pPr>
    </w:p>
    <w:p>
      <w:pPr>
        <w:ind w:left="640" w:right="520" w:hanging="312"/>
        <w:spacing w:after="0" w:line="279"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year ended May 31, 2023, working capital was unfavorably impacted by increased accounts receivable and inventory on hand of $1.3 million and $8.2 million, respectively. This was partially offset by increased accounts payable and accrued liabilities of $2.1 million.</w:t>
      </w:r>
    </w:p>
    <w:p>
      <w:pPr>
        <w:ind w:left="640" w:right="180" w:hanging="312"/>
        <w:spacing w:after="0" w:line="252"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year ended May 31, 2022, working capital was unfavorably impacted by increased accounts receivable, inventory on hand and prepaids of $17.2 million, $2.8 million and $5.0 million respectively. This was partially offset by increased accounts payable and accrued liabilities of $3.9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Years ended May 31, 2023 and 2022:</w:t>
      </w:r>
    </w:p>
    <w:p>
      <w:pPr>
        <w:spacing w:after="0" w:line="167" w:lineRule="exact"/>
        <w:rPr>
          <w:sz w:val="20"/>
          <w:szCs w:val="20"/>
          <w:color w:val="auto"/>
        </w:rPr>
      </w:pPr>
    </w:p>
    <w:p>
      <w:pPr>
        <w:ind w:left="640" w:hanging="31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$3.8 million and $4.3 million, respectively, of cash was used for fixed asset additions;</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$5.4 million and $11.4 million, respectively, of cash was used for Auryon placement and evaluation unit additions;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$0.5 million of cash was used for the acquisition of an exclusive license in the first quarter of fiscal year 2023; and</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$3.6 million of cash was used for the QX Medical asset acquisition in the first quarter of fiscal year 2022.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financing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Years ended May 31, 2023 and 2022:</w:t>
      </w:r>
    </w:p>
    <w:p>
      <w:pPr>
        <w:spacing w:after="0" w:line="167" w:lineRule="exact"/>
        <w:rPr>
          <w:sz w:val="20"/>
          <w:szCs w:val="20"/>
          <w:color w:val="auto"/>
        </w:rPr>
      </w:pPr>
    </w:p>
    <w:p>
      <w:pPr>
        <w:ind w:left="640" w:right="240" w:hanging="312"/>
        <w:spacing w:after="0" w:line="251"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$70.0 million in proceeds on long-term debt less the repayment of $45.0 million associated with the new Credit Agreement in the first quarter of fiscal year 2023. The $25.0 million draw on the Delayed Draw Term Loan associated with the new Credit Agreement is to fund the historical and planned fiscal year 2023 purchases of Auryon placement and evaluation units. See Note 12 "Long-Term Debt" set forth in the Notes to the consolidated financial statements;</w:t>
      </w:r>
    </w:p>
    <w:p>
      <w:pPr>
        <w:spacing w:after="0" w:line="2" w:lineRule="exact"/>
        <w:rPr>
          <w:rFonts w:ascii="Arial" w:cs="Arial" w:eastAsia="Arial" w:hAnsi="Arial"/>
          <w:sz w:val="18"/>
          <w:szCs w:val="18"/>
          <w:color w:val="auto"/>
        </w:rPr>
      </w:pPr>
    </w:p>
    <w:p>
      <w:pPr>
        <w:ind w:left="640" w:hanging="31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$0.8 million of deferred financing costs associated with the new Credit Agreement;</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$5.0 million draw on the Revolving Facility in the first quarter of fiscal year 2022 for the QX Medical asset acquisition; and</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 million and $2.7 million, respectively, of proceeds from stock option and ESPP activity.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ind w:firstLine="385"/>
        <w:spacing w:after="0" w:line="267" w:lineRule="auto"/>
        <w:rPr>
          <w:sz w:val="20"/>
          <w:szCs w:val="20"/>
          <w:color w:val="auto"/>
        </w:rPr>
      </w:pPr>
      <w:r>
        <w:rPr>
          <w:rFonts w:ascii="Arial" w:cs="Arial" w:eastAsia="Arial" w:hAnsi="Arial"/>
          <w:sz w:val="17"/>
          <w:szCs w:val="17"/>
          <w:color w:val="auto"/>
        </w:rPr>
        <w:t>On August 30, 2022, the Company repaid all amounts outstanding under its then existing credit agreement and entered into a new Credit Agreement that provides for a $75.0 million Revolving Facility and a $30.0 million Delayed Draw Term Loan, and also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 The interest rate at May 31, 2023 applicable to each was 6.73%. The Company was in compliance with the Credit Agreement covenants as of May 31, 2023.</w:t>
      </w:r>
    </w:p>
    <w:p>
      <w:pPr>
        <w:spacing w:after="0" w:line="129" w:lineRule="exact"/>
        <w:rPr>
          <w:sz w:val="20"/>
          <w:szCs w:val="20"/>
          <w:color w:val="auto"/>
        </w:rPr>
      </w:pPr>
    </w:p>
    <w:p>
      <w:pPr>
        <w:ind w:right="120" w:firstLine="401"/>
        <w:spacing w:after="0" w:line="290" w:lineRule="auto"/>
        <w:rPr>
          <w:sz w:val="20"/>
          <w:szCs w:val="20"/>
          <w:color w:val="auto"/>
        </w:rPr>
      </w:pPr>
      <w:r>
        <w:rPr>
          <w:rFonts w:ascii="Arial" w:cs="Arial" w:eastAsia="Arial" w:hAnsi="Arial"/>
          <w:sz w:val="16"/>
          <w:szCs w:val="16"/>
          <w:color w:val="auto"/>
        </w:rPr>
        <w:t>In the first quarter of fiscal year 2023 and in connection with the new Credit Agreement, the Company drew $25.0 million on the Revolving Facility. The Company also drew $25.0 million on the Delayed Draw Term Loan to fund the historical and planned fiscal year 2023 purchases of Auryon placement and evaluation units for total long-term debt outstanding of $50.0 million. In the first quarter of fiscal year 2022, the Company made a $5.0 million draw on the Revolving Facility in conjunction with the QX Medical asset acquisition.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10" w:lineRule="exact"/>
        <w:rPr>
          <w:sz w:val="20"/>
          <w:szCs w:val="20"/>
          <w:color w:val="auto"/>
        </w:rPr>
      </w:pPr>
    </w:p>
    <w:p>
      <w:pPr>
        <w:ind w:right="160" w:firstLine="385"/>
        <w:spacing w:after="0" w:line="290" w:lineRule="auto"/>
        <w:rPr>
          <w:sz w:val="20"/>
          <w:szCs w:val="20"/>
          <w:color w:val="auto"/>
        </w:rPr>
      </w:pPr>
      <w:r>
        <w:rPr>
          <w:rFonts w:ascii="Arial" w:cs="Arial" w:eastAsia="Arial" w:hAnsi="Arial"/>
          <w:sz w:val="16"/>
          <w:szCs w:val="16"/>
          <w:color w:val="auto"/>
        </w:rPr>
        <w:t>Subsequent to fiscal year 2023, on June 8, 2023, the Company entered into an asset purchase agreement (the "Asset Purchase Agreement") with Merit Medical Systems, Inc. ("Merit") pursuant to which Merit acquired the dialysis product portfolio and BioSentry tract sealant system biopsy businesses. The Company and Merit entered into various agreements to facilitate the transition to Merit, including a Transactions Services Agreement and Contract Manufacturing Agreement. The purchase price for the asset sale was $100.0 million in cash subject to the terms and conditions of the Asset Purchase Agreement. In conjunction with the Asset Purchase Agreement, on June 8, 2023, AngioDynamics used a portion of the consideration received to repay all amounts owed under AngioDynamics’ existing Credit Agreement, dated as of August 30, 2022, and as a result, the Credit Agreement was extinguished.</w:t>
      </w:r>
    </w:p>
    <w:p>
      <w:pPr>
        <w:spacing w:after="0" w:line="110" w:lineRule="exact"/>
        <w:rPr>
          <w:sz w:val="20"/>
          <w:szCs w:val="20"/>
          <w:color w:val="auto"/>
        </w:rPr>
      </w:pPr>
    </w:p>
    <w:p>
      <w:pPr>
        <w:ind w:right="80" w:firstLine="385"/>
        <w:spacing w:after="0" w:line="271" w:lineRule="auto"/>
        <w:rPr>
          <w:sz w:val="20"/>
          <w:szCs w:val="20"/>
          <w:color w:val="auto"/>
        </w:rPr>
      </w:pPr>
      <w:r>
        <w:rPr>
          <w:rFonts w:ascii="Arial" w:cs="Arial" w:eastAsia="Arial" w:hAnsi="Arial"/>
          <w:sz w:val="18"/>
          <w:szCs w:val="18"/>
          <w:color w:val="auto"/>
        </w:rPr>
        <w:t>Our contractual obligations as of May 31, 2023 are set forth in the table below (in thousands). We have no variable interest entities or other off-balance sheet obligations.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gridSpan w:val="7"/>
          </w:tcPr>
          <w:p>
            <w:pPr>
              <w:jc w:val="right"/>
              <w:ind w:right="293"/>
              <w:spacing w:after="0"/>
              <w:rPr>
                <w:sz w:val="20"/>
                <w:szCs w:val="20"/>
                <w:color w:val="auto"/>
              </w:rPr>
            </w:pPr>
            <w:r>
              <w:rPr>
                <w:rFonts w:ascii="Arial" w:cs="Arial" w:eastAsia="Arial" w:hAnsi="Arial"/>
                <w:sz w:val="14"/>
                <w:szCs w:val="14"/>
                <w:color w:val="auto"/>
                <w:w w:val="96"/>
              </w:rPr>
              <w:t>Cash payments due by period as of May 31, 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27"/>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97"/>
              <w:spacing w:after="0" w:line="127" w:lineRule="exact"/>
              <w:rPr>
                <w:sz w:val="20"/>
                <w:szCs w:val="20"/>
                <w:color w:val="auto"/>
              </w:rPr>
            </w:pPr>
            <w:r>
              <w:rPr>
                <w:rFonts w:ascii="Arial" w:cs="Arial" w:eastAsia="Arial" w:hAnsi="Arial"/>
                <w:sz w:val="14"/>
                <w:szCs w:val="14"/>
                <w:color w:val="auto"/>
              </w:rPr>
              <w:t>Less than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275"/>
              <w:spacing w:after="0" w:line="127" w:lineRule="exact"/>
              <w:rPr>
                <w:sz w:val="20"/>
                <w:szCs w:val="20"/>
                <w:color w:val="auto"/>
              </w:rPr>
            </w:pPr>
            <w:r>
              <w:rPr>
                <w:rFonts w:ascii="Arial" w:cs="Arial" w:eastAsia="Arial" w:hAnsi="Arial"/>
                <w:sz w:val="14"/>
                <w:szCs w:val="14"/>
                <w:color w:val="auto"/>
              </w:rPr>
              <w:t>After 5</w:t>
            </w:r>
          </w:p>
        </w:tc>
      </w:tr>
      <w:tr>
        <w:trPr>
          <w:trHeight w:val="19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One Year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1-3 Years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w w:val="98"/>
              </w:rPr>
              <w:t>3-5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Years</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7"/>
        </w:trPr>
        <w:tc>
          <w:tcPr>
            <w:tcW w:w="5200" w:type="dxa"/>
            <w:vAlign w:val="bottom"/>
          </w:tcPr>
          <w:p>
            <w:pPr>
              <w:ind w:left="340"/>
              <w:spacing w:after="0"/>
              <w:rPr>
                <w:sz w:val="20"/>
                <w:szCs w:val="20"/>
                <w:color w:val="auto"/>
              </w:rPr>
            </w:pPr>
            <w:r>
              <w:rPr>
                <w:rFonts w:ascii="Arial" w:cs="Arial" w:eastAsia="Arial" w:hAnsi="Arial"/>
                <w:sz w:val="18"/>
                <w:szCs w:val="18"/>
                <w:color w:val="auto"/>
              </w:rPr>
              <w:t>Long term debt and interest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50,108</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20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5200" w:type="dxa"/>
            <w:vAlign w:val="bottom"/>
          </w:tcPr>
          <w:p>
            <w:pPr>
              <w:ind w:left="340"/>
              <w:spacing w:after="0" w:line="241"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20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 xml:space="preserve">Acquisition-related future obligations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Royalties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21,640</w:t>
            </w:r>
          </w:p>
        </w:tc>
      </w:tr>
      <w:tr>
        <w:trPr>
          <w:trHeight w:val="246"/>
        </w:trPr>
        <w:tc>
          <w:tcPr>
            <w:tcW w:w="5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240" w:hanging="233"/>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Operating leases include short-term leases that are not recorded on our Consolidated Balance Sheets under ASU No. 2016-02</w:t>
      </w:r>
      <w:r>
        <w:rPr>
          <w:rFonts w:ascii="Arial" w:cs="Arial" w:eastAsia="Arial" w:hAnsi="Arial"/>
          <w:sz w:val="17"/>
          <w:szCs w:val="17"/>
          <w:color w:val="auto"/>
        </w:rPr>
        <w:t>.</w:t>
      </w:r>
    </w:p>
    <w:p>
      <w:pPr>
        <w:spacing w:after="0" w:line="36" w:lineRule="exact"/>
        <w:rPr>
          <w:rFonts w:ascii="Arial" w:cs="Arial" w:eastAsia="Arial" w:hAnsi="Arial"/>
          <w:sz w:val="16"/>
          <w:szCs w:val="16"/>
          <w:color w:val="auto"/>
        </w:rPr>
      </w:pPr>
    </w:p>
    <w:p>
      <w:pPr>
        <w:ind w:left="240" w:hanging="233"/>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inventory purchase obligations are not reflected on our Consolidated Balance Sheets under accounting principles generally accepted in the United States of America.</w:t>
      </w:r>
    </w:p>
    <w:p>
      <w:pPr>
        <w:spacing w:after="0" w:line="52" w:lineRule="exact"/>
        <w:rPr>
          <w:rFonts w:ascii="Arial" w:cs="Arial" w:eastAsia="Arial" w:hAnsi="Arial"/>
          <w:sz w:val="14"/>
          <w:szCs w:val="14"/>
          <w:color w:val="auto"/>
        </w:rPr>
      </w:pPr>
    </w:p>
    <w:p>
      <w:pPr>
        <w:ind w:right="40" w:firstLine="7"/>
        <w:spacing w:after="0" w:line="259" w:lineRule="auto"/>
        <w:tabs>
          <w:tab w:leader="none" w:pos="218"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2022 and 2021</w:t>
      </w:r>
    </w:p>
    <w:p>
      <w:pPr>
        <w:spacing w:after="0" w:line="171" w:lineRule="exact"/>
        <w:rPr>
          <w:sz w:val="20"/>
          <w:szCs w:val="20"/>
          <w:color w:val="auto"/>
        </w:rPr>
      </w:pPr>
    </w:p>
    <w:p>
      <w:pPr>
        <w:jc w:val="both"/>
        <w:ind w:right="60" w:firstLine="385"/>
        <w:spacing w:after="0" w:line="335" w:lineRule="auto"/>
        <w:rPr>
          <w:sz w:val="20"/>
          <w:szCs w:val="20"/>
          <w:color w:val="auto"/>
        </w:rPr>
      </w:pPr>
      <w:r>
        <w:rPr>
          <w:rFonts w:ascii="Arial" w:cs="Arial" w:eastAsia="Arial" w:hAnsi="Arial"/>
          <w:sz w:val="16"/>
          <w:szCs w:val="16"/>
          <w:color w:val="auto"/>
        </w:rPr>
        <w:t>For management discussion and analysis of our 2022 financial results and liquidity compared with 2021, see Part II, Item 7 "Management's Discussion and Analysis of Financial Condition and Results of Operations" in our Annual Report on Form 10-K for the year ended May 31, 2022 filed on July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Refer to Note 1 of the Notes to the consolidated financial statements for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884"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1" w:lineRule="exact"/>
        <w:rPr>
          <w:sz w:val="20"/>
          <w:szCs w:val="20"/>
          <w:color w:val="auto"/>
        </w:rPr>
      </w:pPr>
    </w:p>
    <w:p>
      <w:pPr>
        <w:ind w:right="140" w:firstLine="385"/>
        <w:spacing w:after="0" w:line="271"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21" w:lineRule="exact"/>
        <w:rPr>
          <w:sz w:val="20"/>
          <w:szCs w:val="20"/>
          <w:color w:val="auto"/>
        </w:rPr>
      </w:pPr>
    </w:p>
    <w:p>
      <w:pPr>
        <w:jc w:val="both"/>
        <w:ind w:firstLine="385"/>
        <w:spacing w:after="0" w:line="293" w:lineRule="auto"/>
        <w:rPr>
          <w:sz w:val="20"/>
          <w:szCs w:val="20"/>
          <w:color w:val="auto"/>
        </w:rPr>
      </w:pPr>
      <w:r>
        <w:rPr>
          <w:rFonts w:ascii="Arial" w:cs="Arial" w:eastAsia="Arial" w:hAnsi="Arial"/>
          <w:sz w:val="16"/>
          <w:szCs w:val="16"/>
          <w:color w:val="auto"/>
        </w:rPr>
        <w:t>We transact sales in currencies other than the U.S. Dollar, particularly the Euro, British pound and Canadian dollar. Approximately 4.7% of our sales in fiscal year 2023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 Income. Significant non-functional balances include accounts receivable due from some of our international customers.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right="100" w:firstLine="401"/>
        <w:spacing w:after="0" w:line="269" w:lineRule="auto"/>
        <w:rPr>
          <w:sz w:val="20"/>
          <w:szCs w:val="20"/>
          <w:color w:val="auto"/>
        </w:rPr>
      </w:pPr>
      <w:r>
        <w:rPr>
          <w:rFonts w:ascii="Arial" w:cs="Arial" w:eastAsia="Arial" w:hAnsi="Arial"/>
          <w:sz w:val="17"/>
          <w:szCs w:val="17"/>
          <w:color w:val="auto"/>
        </w:rPr>
        <w:t>Interest on the Revolving Facility and Delayed Draw Term Loan is based, at the Company's option, on a rate equal to (i) the Secured Overnight Financing Rate ("SOFR") plus 0.10% (subject to a floor of 0%), or (ii) if the Company elects to treat a borrowing as an ABR Borrowing, an alternate base rate based on SOFR, plus, in each case, an applicable margin of 1.25%, 1.50% or 1.75%, depending on the leverage ratio. If any amounts are not paid when due, such overdue amounts will bear interest at an amount generally equal to 2.0% plus the existing loan rate. The Credit Agreement also carries a commitment fee in the case of the Revolving Facility, and a ticking fee, in the case of the Delayed Draw Term Loans of 0.20% to 0.25% per annum on the unused portion. As of May 31, 2023, there was $25.0 million outstanding on the Delayed Draw Term Loan and $25.0 million outstanding on the Revolving Facility and the interest rate at May 31, 2023 was 6.73%.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71" w:lineRule="exact"/>
        <w:rPr>
          <w:sz w:val="20"/>
          <w:szCs w:val="20"/>
          <w:color w:val="auto"/>
        </w:rPr>
      </w:pPr>
    </w:p>
    <w:p>
      <w:pPr>
        <w:ind w:right="880" w:firstLine="385"/>
        <w:spacing w:after="0" w:line="271"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Revolving Facility and trade accounts receivable.</w:t>
      </w:r>
    </w:p>
    <w:p>
      <w:pPr>
        <w:spacing w:after="0" w:line="121" w:lineRule="exact"/>
        <w:rPr>
          <w:sz w:val="20"/>
          <w:szCs w:val="20"/>
          <w:color w:val="auto"/>
        </w:rPr>
      </w:pPr>
    </w:p>
    <w:p>
      <w:pPr>
        <w:ind w:firstLine="385"/>
        <w:spacing w:after="0" w:line="281"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three investment grade banks. The Company has the ability to draw equally amongst the five banks which limits the concentration of credit risk of one institution.</w:t>
      </w:r>
    </w:p>
    <w:p>
      <w:pPr>
        <w:spacing w:after="0" w:line="116" w:lineRule="exact"/>
        <w:rPr>
          <w:sz w:val="20"/>
          <w:szCs w:val="20"/>
          <w:color w:val="auto"/>
        </w:rPr>
      </w:pPr>
    </w:p>
    <w:p>
      <w:pPr>
        <w:ind w:right="40" w:firstLine="401"/>
        <w:spacing w:after="0" w:line="253"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right="100" w:firstLine="385"/>
        <w:spacing w:after="0" w:line="271" w:lineRule="auto"/>
        <w:rPr>
          <w:sz w:val="20"/>
          <w:szCs w:val="20"/>
          <w:color w:val="auto"/>
        </w:rPr>
      </w:pPr>
      <w:r>
        <w:rPr>
          <w:rFonts w:ascii="Arial" w:cs="Arial" w:eastAsia="Arial" w:hAnsi="Arial"/>
          <w:sz w:val="18"/>
          <w:szCs w:val="18"/>
          <w:color w:val="auto"/>
        </w:rPr>
        <w:t>Financial statements and supplementary data required by Part II, Item 8 are included in Part IV of this report and indexed under Item 15 (a) (1) and (2) of this report, and are incorporated by reference into this Item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right="20" w:firstLine="385"/>
        <w:spacing w:after="0" w:line="288"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1" w:lineRule="exact"/>
        <w:rPr>
          <w:sz w:val="20"/>
          <w:szCs w:val="20"/>
          <w:color w:val="auto"/>
        </w:rPr>
      </w:pPr>
    </w:p>
    <w:p>
      <w:pPr>
        <w:ind w:right="260" w:firstLine="385"/>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07" w:lineRule="exact"/>
        <w:rPr>
          <w:sz w:val="20"/>
          <w:szCs w:val="20"/>
          <w:color w:val="auto"/>
        </w:rPr>
      </w:pPr>
    </w:p>
    <w:p>
      <w:pPr>
        <w:ind w:left="640" w:hanging="312"/>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31" w:lineRule="exact"/>
        <w:rPr>
          <w:rFonts w:ascii="Arial" w:cs="Arial" w:eastAsia="Arial" w:hAnsi="Arial"/>
          <w:sz w:val="17"/>
          <w:szCs w:val="17"/>
          <w:color w:val="auto"/>
        </w:rPr>
      </w:pPr>
    </w:p>
    <w:p>
      <w:pPr>
        <w:ind w:left="640" w:hanging="312"/>
        <w:spacing w:after="0" w:line="248"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ind w:left="640" w:right="40" w:hanging="312"/>
        <w:spacing w:after="0" w:line="25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4"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100" w:firstLine="385"/>
        <w:spacing w:after="0" w:line="307" w:lineRule="auto"/>
        <w:rPr>
          <w:sz w:val="20"/>
          <w:szCs w:val="20"/>
          <w:color w:val="auto"/>
        </w:rPr>
      </w:pPr>
      <w:r>
        <w:rPr>
          <w:rFonts w:ascii="Arial" w:cs="Arial" w:eastAsia="Arial" w:hAnsi="Arial"/>
          <w:sz w:val="16"/>
          <w:szCs w:val="16"/>
          <w:color w:val="auto"/>
        </w:rPr>
        <w:t xml:space="preserve">Our management has assessed the effectiveness of our internal control over financial reporting as of May 31, 2023.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Based on this evaluation, management concluded that our internal control over financial reporting was effective as of May 31, 2023.</w:t>
      </w:r>
    </w:p>
    <w:p>
      <w:pPr>
        <w:spacing w:after="0" w:line="96" w:lineRule="exact"/>
        <w:rPr>
          <w:sz w:val="20"/>
          <w:szCs w:val="20"/>
          <w:color w:val="auto"/>
        </w:rPr>
      </w:pPr>
    </w:p>
    <w:p>
      <w:pPr>
        <w:ind w:right="500" w:firstLine="385"/>
        <w:spacing w:after="0" w:line="271" w:lineRule="auto"/>
        <w:rPr>
          <w:sz w:val="20"/>
          <w:szCs w:val="20"/>
          <w:color w:val="auto"/>
        </w:rPr>
      </w:pPr>
      <w:r>
        <w:rPr>
          <w:rFonts w:ascii="Arial" w:cs="Arial" w:eastAsia="Arial" w:hAnsi="Arial"/>
          <w:sz w:val="18"/>
          <w:szCs w:val="18"/>
          <w:color w:val="auto"/>
        </w:rPr>
        <w:t>The effectiveness of our internal control over financial reporting as of May 31, 2023 has been audited by Deloitte &amp; Touche LLP, an independent registered public accounting firm, as stated in their report which appears herein.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firstLine="385"/>
        <w:spacing w:after="0" w:line="271" w:lineRule="auto"/>
        <w:rPr>
          <w:sz w:val="20"/>
          <w:szCs w:val="20"/>
          <w:color w:val="auto"/>
        </w:rPr>
      </w:pPr>
      <w:r>
        <w:rPr>
          <w:rFonts w:ascii="Arial" w:cs="Arial" w:eastAsia="Arial" w:hAnsi="Arial"/>
          <w:sz w:val="18"/>
          <w:szCs w:val="18"/>
          <w:color w:val="auto"/>
        </w:rPr>
        <w:t>There was no change in our internal control over financial reporting for the fiscal year ended May 31,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7" w:name="page48"/>
    <w:bookmarkEnd w:id="47"/>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rPr>
          <w:sz w:val="20"/>
          <w:szCs w:val="20"/>
          <w:color w:val="auto"/>
        </w:rPr>
      </w:pPr>
      <w:r>
        <w:rPr>
          <w:rFonts w:ascii="Arial" w:cs="Arial" w:eastAsia="Arial" w:hAnsi="Arial"/>
          <w:sz w:val="18"/>
          <w:szCs w:val="18"/>
          <w:color w:val="auto"/>
        </w:rPr>
        <w:t>Latham, New York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We have audited the internal control over financial reporting of AngioDynamics, Inc. and subsidiaries (the “Company”) as of May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May 31, 2023, based on</w:t>
      </w:r>
    </w:p>
    <w:p>
      <w:pPr>
        <w:spacing w:after="0"/>
        <w:rPr>
          <w:sz w:val="20"/>
          <w:szCs w:val="20"/>
          <w:color w:val="auto"/>
        </w:rPr>
      </w:pPr>
      <w:r>
        <w:rPr>
          <w:rFonts w:ascii="Arial" w:cs="Arial" w:eastAsia="Arial" w:hAnsi="Arial"/>
          <w:sz w:val="18"/>
          <w:szCs w:val="18"/>
          <w:color w:val="auto"/>
        </w:rPr>
        <w:t xml:space="preserve">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21"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May 31, 2023, of the Company and our report dated August 3, 2023, expressed an unqualified opinion on those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5"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August 3, 2023</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Foreign Jurisdictions that Prevent Inspections.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124" w:right="1440"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right="60" w:firstLine="385"/>
        <w:spacing w:after="0" w:line="307" w:lineRule="auto"/>
        <w:rPr>
          <w:sz w:val="20"/>
          <w:szCs w:val="20"/>
          <w:color w:val="auto"/>
        </w:rPr>
      </w:pPr>
      <w:r>
        <w:rPr>
          <w:rFonts w:ascii="Arial" w:cs="Arial" w:eastAsia="Arial" w:hAnsi="Arial"/>
          <w:sz w:val="16"/>
          <w:szCs w:val="16"/>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2023. The information included in the Proxy Statement under the respective headings noted below is incorporated herein by reference.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1"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by this caption is incorporated herein by reference to our Proxy Statement under the heading “Executive Compensation”.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by this caption is incorporated herein by reference to our Proxy Statement under the heading “Ownership of Securities”.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1" w:lineRule="exact"/>
        <w:rPr>
          <w:sz w:val="20"/>
          <w:szCs w:val="20"/>
          <w:color w:val="auto"/>
        </w:rPr>
      </w:pPr>
    </w:p>
    <w:p>
      <w:pPr>
        <w:ind w:right="400" w:firstLine="385"/>
        <w:spacing w:after="0" w:line="271"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 “Certain Relationships and Related Transactions”.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1" w:lineRule="exact"/>
        <w:rPr>
          <w:sz w:val="20"/>
          <w:szCs w:val="20"/>
          <w:color w:val="auto"/>
        </w:rPr>
      </w:pPr>
    </w:p>
    <w:p>
      <w:pPr>
        <w:jc w:val="both"/>
        <w:ind w:right="360" w:firstLine="385"/>
        <w:spacing w:after="0" w:line="259"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83" w:right="3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IV</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(a)(1) </w:t>
      </w:r>
      <w:r>
        <w:rPr>
          <w:rFonts w:ascii="Arial" w:cs="Arial" w:eastAsia="Arial" w:hAnsi="Arial"/>
          <w:sz w:val="18"/>
          <w:szCs w:val="18"/>
          <w:b w:val="1"/>
          <w:bCs w:val="1"/>
          <w:i w:val="1"/>
          <w:iCs w:val="1"/>
          <w:color w:val="auto"/>
        </w:rPr>
        <w:t>Financial Statements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consolidated financial statements and supplementary data of Registrant and its subsidiaries required by Part II, Item 8, are included in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Part IV of this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0" w:type="dxa"/>
            <w:vAlign w:val="bottom"/>
            <w:gridSpan w:val="12"/>
          </w:tcPr>
          <w:p>
            <w:pPr>
              <w:spacing w:after="0"/>
              <w:rPr>
                <w:sz w:val="20"/>
                <w:szCs w:val="20"/>
                <w:color w:val="auto"/>
              </w:rPr>
            </w:pPr>
            <w:r>
              <w:rPr>
                <w:rFonts w:ascii="Arial" w:cs="Arial" w:eastAsia="Arial" w:hAnsi="Arial"/>
                <w:sz w:val="18"/>
                <w:szCs w:val="18"/>
                <w:color w:val="0000FF"/>
              </w:rPr>
              <w:t>Report of Independent Registered Public Accounting Firm (PCAOB I</w:t>
            </w:r>
            <w:r>
              <w:rPr>
                <w:rFonts w:ascii="Arial" w:cs="Arial" w:eastAsia="Arial" w:hAnsi="Arial"/>
                <w:sz w:val="18"/>
                <w:szCs w:val="18"/>
                <w:color w:val="3051F2"/>
              </w:rPr>
              <w:t>D</w:t>
            </w:r>
            <w:r>
              <w:rPr>
                <w:rFonts w:ascii="Arial" w:cs="Arial" w:eastAsia="Arial" w:hAnsi="Arial"/>
                <w:sz w:val="18"/>
                <w:szCs w:val="18"/>
                <w:color w:val="0000FF"/>
              </w:rPr>
              <w:t xml:space="preserve"> </w:t>
            </w:r>
            <w:r>
              <w:rPr>
                <w:rFonts w:ascii="Arial" w:cs="Arial" w:eastAsia="Arial" w:hAnsi="Arial"/>
                <w:sz w:val="18"/>
                <w:szCs w:val="18"/>
                <w:color w:val="0E32E1"/>
              </w:rPr>
              <w:t>34)</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9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Consolidated Statements of Operations—Year ended May 31, 2023, 2022 and 2021</w:t>
            </w:r>
          </w:p>
        </w:tc>
        <w:tc>
          <w:tcPr>
            <w:tcW w:w="504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6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Consolidated Statements of Comprehensive Loss - Year ended May 31, 2023, 2022 and 2021</w:t>
            </w:r>
          </w:p>
        </w:tc>
        <w:tc>
          <w:tcPr>
            <w:tcW w:w="4360" w:type="dxa"/>
            <w:vAlign w:val="bottom"/>
            <w:gridSpan w:val="2"/>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53</w:t>
            </w: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1000" w:type="dxa"/>
            <w:vAlign w:val="bottom"/>
            <w:gridSpan w:val="12"/>
          </w:tcPr>
          <w:p>
            <w:pPr>
              <w:spacing w:after="0"/>
              <w:rPr>
                <w:sz w:val="20"/>
                <w:szCs w:val="20"/>
                <w:color w:val="auto"/>
              </w:rPr>
            </w:pPr>
            <w:r>
              <w:rPr>
                <w:rFonts w:ascii="Arial" w:cs="Arial" w:eastAsia="Arial" w:hAnsi="Arial"/>
                <w:sz w:val="18"/>
                <w:szCs w:val="18"/>
                <w:color w:val="0000FF"/>
              </w:rPr>
              <w:t>Consolidated Balance Sheets—May 31, 2023 and May 31, 2022</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Consolidated Statements of Stockholders’ Equity—Year ended May 31, 2023, 2022 and 2021</w:t>
            </w:r>
          </w:p>
        </w:tc>
        <w:tc>
          <w:tcPr>
            <w:tcW w:w="43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c>
          <w:tcPr>
            <w:tcW w:w="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0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Consolidated Statements of Cash Flows—Year ended May 31, 2023, 2022 and 2021</w:t>
            </w:r>
          </w:p>
        </w:tc>
        <w:tc>
          <w:tcPr>
            <w:tcW w:w="4980" w:type="dxa"/>
            <w:vAlign w:val="bottom"/>
            <w:gridSpan w:val="3"/>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1000" w:type="dxa"/>
            <w:vAlign w:val="bottom"/>
            <w:gridSpan w:val="12"/>
          </w:tcPr>
          <w:p>
            <w:pPr>
              <w:spacing w:after="0"/>
              <w:rPr>
                <w:sz w:val="20"/>
                <w:szCs w:val="20"/>
                <w:color w:val="auto"/>
              </w:rPr>
            </w:pPr>
            <w:r>
              <w:rPr>
                <w:rFonts w:ascii="Arial" w:cs="Arial" w:eastAsia="Arial" w:hAnsi="Arial"/>
                <w:sz w:val="18"/>
                <w:szCs w:val="18"/>
                <w:color w:val="0000FF"/>
              </w:rPr>
              <w:t>Notes to Consolidated Financial Statements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0"/>
        </w:trPr>
        <w:tc>
          <w:tcPr>
            <w:tcW w:w="11020" w:type="dxa"/>
            <w:vAlign w:val="bottom"/>
            <w:gridSpan w:val="13"/>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i w:val="1"/>
                <w:iCs w:val="1"/>
                <w:color w:val="auto"/>
              </w:rPr>
              <w:t>Financial Statement Schedules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4"/>
        </w:trPr>
        <w:tc>
          <w:tcPr>
            <w:tcW w:w="11020" w:type="dxa"/>
            <w:vAlign w:val="bottom"/>
            <w:gridSpan w:val="13"/>
          </w:tcPr>
          <w:p>
            <w:pPr>
              <w:spacing w:after="0"/>
              <w:rPr>
                <w:sz w:val="20"/>
                <w:szCs w:val="20"/>
                <w:color w:val="auto"/>
              </w:rPr>
            </w:pPr>
            <w:r>
              <w:rPr>
                <w:rFonts w:ascii="Arial" w:cs="Arial" w:eastAsia="Arial" w:hAnsi="Arial"/>
                <w:sz w:val="18"/>
                <w:szCs w:val="18"/>
                <w:color w:val="auto"/>
              </w:rPr>
              <w:t>The following consolidated financial statement schedule is included in Part IV of this report: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6"/>
        </w:trPr>
        <w:tc>
          <w:tcPr>
            <w:tcW w:w="20" w:type="dxa"/>
            <w:vAlign w:val="bottom"/>
          </w:tcPr>
          <w:p>
            <w:pPr>
              <w:spacing w:after="0"/>
              <w:rPr>
                <w:sz w:val="24"/>
                <w:szCs w:val="24"/>
                <w:color w:val="auto"/>
              </w:rPr>
            </w:pPr>
          </w:p>
        </w:tc>
        <w:tc>
          <w:tcPr>
            <w:tcW w:w="34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Schedule II—Valuation and qualifying accounts</w:t>
            </w:r>
          </w:p>
        </w:tc>
        <w:tc>
          <w:tcPr>
            <w:tcW w:w="7560" w:type="dxa"/>
            <w:vAlign w:val="bottom"/>
            <w:gridSpan w:val="9"/>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81</w:t>
            </w:r>
          </w:p>
        </w:tc>
        <w:tc>
          <w:tcPr>
            <w:tcW w:w="40" w:type="dxa"/>
            <w:vAlign w:val="bottom"/>
          </w:tcPr>
          <w:p>
            <w:pPr>
              <w:spacing w:after="0"/>
              <w:rPr>
                <w:sz w:val="24"/>
                <w:szCs w:val="24"/>
                <w:color w:val="auto"/>
              </w:rPr>
            </w:pPr>
          </w:p>
        </w:tc>
      </w:tr>
      <w:tr>
        <w:trPr>
          <w:trHeight w:val="380"/>
        </w:trPr>
        <w:tc>
          <w:tcPr>
            <w:tcW w:w="20" w:type="dxa"/>
            <w:vAlign w:val="bottom"/>
          </w:tcPr>
          <w:p>
            <w:pPr>
              <w:spacing w:after="0"/>
              <w:rPr>
                <w:sz w:val="24"/>
                <w:szCs w:val="24"/>
                <w:color w:val="auto"/>
              </w:rPr>
            </w:pPr>
          </w:p>
        </w:tc>
        <w:tc>
          <w:tcPr>
            <w:tcW w:w="11000" w:type="dxa"/>
            <w:vAlign w:val="bottom"/>
            <w:gridSpan w:val="12"/>
          </w:tcPr>
          <w:p>
            <w:pPr>
              <w:ind w:left="380"/>
              <w:spacing w:after="0"/>
              <w:rPr>
                <w:sz w:val="20"/>
                <w:szCs w:val="20"/>
                <w:color w:val="auto"/>
              </w:rPr>
            </w:pPr>
            <w:r>
              <w:rPr>
                <w:rFonts w:ascii="Arial" w:cs="Arial" w:eastAsia="Arial" w:hAnsi="Arial"/>
                <w:sz w:val="18"/>
                <w:szCs w:val="18"/>
                <w:color w:val="auto"/>
                <w:w w:val="92"/>
              </w:rPr>
              <w:t>All other schedules are omitted because they are not applicable, not required, or because the required information is included in the consolidated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11020" w:type="dxa"/>
            <w:vAlign w:val="bottom"/>
            <w:gridSpan w:val="13"/>
          </w:tcPr>
          <w:p>
            <w:pPr>
              <w:spacing w:after="0"/>
              <w:rPr>
                <w:sz w:val="20"/>
                <w:szCs w:val="20"/>
                <w:color w:val="auto"/>
              </w:rPr>
            </w:pPr>
            <w:r>
              <w:rPr>
                <w:rFonts w:ascii="Arial" w:cs="Arial" w:eastAsia="Arial" w:hAnsi="Arial"/>
                <w:sz w:val="18"/>
                <w:szCs w:val="18"/>
                <w:color w:val="auto"/>
              </w:rPr>
              <w:t>financial statements or notes thereto.</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8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i w:val="1"/>
                <w:iCs w:val="1"/>
                <w:color w:val="0000FF"/>
                <w:w w:val="87"/>
              </w:rPr>
              <w:t>(b) Exhibits</w:t>
            </w:r>
          </w:p>
        </w:tc>
        <w:tc>
          <w:tcPr>
            <w:tcW w:w="10120" w:type="dxa"/>
            <w:vAlign w:val="bottom"/>
            <w:gridSpan w:val="11"/>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82</w:t>
            </w:r>
          </w:p>
        </w:tc>
        <w:tc>
          <w:tcPr>
            <w:tcW w:w="40" w:type="dxa"/>
            <w:vAlign w:val="bottom"/>
          </w:tcPr>
          <w:p>
            <w:pPr>
              <w:spacing w:after="0"/>
              <w:rPr>
                <w:sz w:val="18"/>
                <w:szCs w:val="18"/>
                <w:color w:val="auto"/>
              </w:rPr>
            </w:pPr>
          </w:p>
        </w:tc>
      </w:tr>
      <w:tr>
        <w:trPr>
          <w:trHeight w:val="875"/>
        </w:trPr>
        <w:tc>
          <w:tcPr>
            <w:tcW w:w="5980" w:type="dxa"/>
            <w:vAlign w:val="bottom"/>
            <w:gridSpan w:val="9"/>
          </w:tcPr>
          <w:p>
            <w:pPr>
              <w:jc w:val="right"/>
              <w:ind w:right="2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1" w:name="page52"/>
    <w:bookmarkEnd w:id="51"/>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rPr>
          <w:sz w:val="20"/>
          <w:szCs w:val="20"/>
          <w:color w:val="auto"/>
        </w:rPr>
      </w:pPr>
      <w:r>
        <w:rPr>
          <w:rFonts w:ascii="Arial" w:cs="Arial" w:eastAsia="Arial" w:hAnsi="Arial"/>
          <w:sz w:val="18"/>
          <w:szCs w:val="18"/>
          <w:color w:val="auto"/>
        </w:rPr>
        <w:t>Latham, New York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8" w:lineRule="exact"/>
        <w:rPr>
          <w:sz w:val="20"/>
          <w:szCs w:val="20"/>
          <w:color w:val="auto"/>
        </w:rPr>
      </w:pPr>
    </w:p>
    <w:p>
      <w:pPr>
        <w:spacing w:after="0" w:line="218" w:lineRule="auto"/>
        <w:rPr>
          <w:sz w:val="20"/>
          <w:szCs w:val="20"/>
          <w:color w:val="auto"/>
        </w:rPr>
      </w:pPr>
      <w:r>
        <w:rPr>
          <w:rFonts w:ascii="Arial" w:cs="Arial" w:eastAsia="Arial" w:hAnsi="Arial"/>
          <w:sz w:val="16"/>
          <w:szCs w:val="16"/>
          <w:color w:val="auto"/>
        </w:rPr>
        <w:t>We have audited the accompanying consolidated balance sheets of AngioDynamics, Inc. and subsidiaries (the "Company") as of May 31, 2023 and 2022, the related consolidated statements of operations, comprehensive income (loss), stockholders' equity, and cash flows, for each of the three years in the period ended May 31, 2023, and the related notes and the schedule listed in the Index at Item 15 (collectively referred to as the "financial statements"). In our opinion, the financial statements present fairly, in all material respects, the financial position of the Company as of May 31, 2023 and 2022, and the results of</w:t>
      </w:r>
    </w:p>
    <w:p>
      <w:pPr>
        <w:spacing w:after="0" w:line="3"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its operations and its cash flows for each of the three years in the period ended May 31, 2023, in conformity with accounting principles generally accepted in the United States of America.</w:t>
      </w:r>
    </w:p>
    <w:p>
      <w:pPr>
        <w:spacing w:after="0" w:line="108"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May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August 3, 2023, expressed an unqualified opinion on the Company's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it relates.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 Excess Quantities and Obsolescence — Refer to Notes 1 &amp; 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4" w:lineRule="exact"/>
        <w:rPr>
          <w:sz w:val="20"/>
          <w:szCs w:val="20"/>
          <w:color w:val="auto"/>
        </w:rPr>
      </w:pPr>
    </w:p>
    <w:p>
      <w:pPr>
        <w:jc w:val="both"/>
        <w:ind w:right="120"/>
        <w:spacing w:after="0" w:line="238" w:lineRule="auto"/>
        <w:rPr>
          <w:sz w:val="20"/>
          <w:szCs w:val="20"/>
          <w:color w:val="auto"/>
        </w:rPr>
      </w:pPr>
      <w:r>
        <w:rPr>
          <w:rFonts w:ascii="Arial" w:cs="Arial" w:eastAsia="Arial" w:hAnsi="Arial"/>
          <w:sz w:val="16"/>
          <w:szCs w:val="16"/>
          <w:color w:val="auto"/>
        </w:rPr>
        <w:t>The Company evaluates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As of May 31, 2023, the Company has inventories of $55.3 million, net of excess quantities and obsolescence reserves.</w:t>
      </w:r>
    </w:p>
    <w:p>
      <w:pPr>
        <w:spacing w:after="0" w:line="12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identified the reserve for excess quantities and obsolete inventory as a critical audit matter because of the significant estimates and assumptions management makes to quantify and to record the reserve, including the determination of expected demand. This required a high degree of auditor judgment and an increased extent of effort when performing audit procedures to evaluate the methodology and the reasonableness of assumptions including expected demand.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4"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Our audit procedures related to the reserve for excess quantities and obsolete inventory including management’s estimate of expected demand, included the following, among others:</w:t>
      </w:r>
    </w:p>
    <w:p>
      <w:pPr>
        <w:spacing w:after="0" w:line="121" w:lineRule="exact"/>
        <w:rPr>
          <w:sz w:val="20"/>
          <w:szCs w:val="20"/>
          <w:color w:val="auto"/>
        </w:rPr>
      </w:pPr>
    </w:p>
    <w:p>
      <w:pPr>
        <w:ind w:left="640" w:right="720" w:hanging="312"/>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design and effectiveness of controls over inventory, including those over the estimation of reserves for excess quantities and obsolescence.</w:t>
      </w:r>
    </w:p>
    <w:p>
      <w:pPr>
        <w:ind w:left="640" w:right="460" w:hanging="312"/>
        <w:spacing w:after="0" w:line="25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evaluated the reasonableness of the Company's excess and obsolete inventory policy, considering historical experience and the underlying assumptions.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52" w:name="page53"/>
    <w:bookmarkEnd w:id="52"/>
    <w:p>
      <w:pPr>
        <w:ind w:left="640" w:right="200" w:hanging="312"/>
        <w:spacing w:after="0" w:line="25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tested the calculation of the excess and obsolete reserve pursuant to the Company's policy, on a sample basis, including the completeness and accuracy of the data used in the calculation.</w:t>
      </w:r>
    </w:p>
    <w:p>
      <w:pPr>
        <w:ind w:left="640" w:right="100" w:hanging="312"/>
        <w:spacing w:after="0" w:line="24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performed a retrospective review by comparing management’s prior year projections of future demand by product, with actual product sales in the current year to identify potential bias in the inventory reserve.</w:t>
      </w:r>
    </w:p>
    <w:p>
      <w:pPr>
        <w:ind w:left="640" w:right="160" w:hanging="312"/>
        <w:spacing w:after="0" w:line="285"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held discussions with senior financial and operating management to determine whether any strategic, regulatory, or operational changes in the business were consistent with the projections of future demand that were utilized as the basis for the reserves recorded.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for the Med Device Reporting Unit - Refer to Notes 1 &amp; 9</w:t>
      </w:r>
    </w:p>
    <w:p>
      <w:pPr>
        <w:spacing w:after="0" w:line="1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At May 31, 2023, the Company's goodwill specific to the Med Device reporting unit was $40 million. As discussed in Note 1 of the consolidated financial statements, goodwill is not amortized but rather is tested for impairment at least annually or more frequently if impairment indicators arise. In connection with the Company’s determination that assets held for sale criteria was met as of May 31, 2023 with regard to a portion of its Med Device reporting unit, the Company identified a triggering event requiring further assessment relating to the recoverability of its goodwill and therefore after performing its annual test on its measurement date of April 30, 2023, performed an updated goodwill impairment test as of May 31, 2023.</w:t>
      </w:r>
    </w:p>
    <w:p>
      <w:pPr>
        <w:spacing w:after="0" w:line="19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Company determined the amount of goodwill attributable to the disposal group and to the portion of the remaining Med Device reporting unit on a relative fair value basis. The Company recorded a goodwill impairment charge of $14.5 million relating to its Med Device reporting unit for the year ended May 31, 2023.</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Auditing the annual goodwill impairment involves significant audit effort, as well as a degree of complexity and auditor judgment due to the estimation required in determining the fair value of the reporting units or components thereof. In particular, the fair value estimates involve judgmental assumptions including the amount and timing of expected future cash flows from revenue growth rates, EBITA margins, weighting of fair values, and discount rates. The audit effort involved the use of professionals with specialized skill and knowledge.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48" w:lineRule="exact"/>
        <w:rPr>
          <w:sz w:val="20"/>
          <w:szCs w:val="20"/>
          <w:color w:val="auto"/>
        </w:rPr>
      </w:pPr>
    </w:p>
    <w:p>
      <w:pPr>
        <w:ind w:left="640" w:hanging="312"/>
        <w:spacing w:after="0" w:line="253"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Company’s annual goodwill impairment analysis and its conclusions related to its updated goodwill assessment as of May 31, 2023. This included controls over management’s review of the revenue growth rates, EBITA margins, weighting of the fair values, and discount rates used in the valuation models.</w:t>
      </w:r>
    </w:p>
    <w:p>
      <w:pPr>
        <w:ind w:left="640" w:right="420" w:hanging="312"/>
        <w:spacing w:after="0" w:line="248"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performed risk assessment procedures over the Company’s goodwill impairment analysis, and evaluated the sensitivity of certain business assumptions, including</w:t>
      </w:r>
    </w:p>
    <w:p>
      <w:pPr>
        <w:ind w:left="1300" w:hanging="33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Revenue growth rates</w:t>
      </w:r>
    </w:p>
    <w:p>
      <w:pPr>
        <w:spacing w:after="0" w:line="6" w:lineRule="exact"/>
        <w:rPr>
          <w:rFonts w:ascii="Arial" w:cs="Arial" w:eastAsia="Arial" w:hAnsi="Arial"/>
          <w:sz w:val="18"/>
          <w:szCs w:val="18"/>
          <w:color w:val="auto"/>
        </w:rPr>
      </w:pPr>
    </w:p>
    <w:p>
      <w:pPr>
        <w:ind w:left="1300" w:hanging="33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EBITA margins</w:t>
      </w:r>
    </w:p>
    <w:p>
      <w:pPr>
        <w:spacing w:after="0" w:line="6" w:lineRule="exact"/>
        <w:rPr>
          <w:rFonts w:ascii="Arial" w:cs="Arial" w:eastAsia="Arial" w:hAnsi="Arial"/>
          <w:sz w:val="18"/>
          <w:szCs w:val="18"/>
          <w:color w:val="auto"/>
        </w:rPr>
      </w:pPr>
    </w:p>
    <w:p>
      <w:pPr>
        <w:ind w:left="1300" w:hanging="33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Weighting of fair values</w:t>
      </w:r>
    </w:p>
    <w:p>
      <w:pPr>
        <w:spacing w:after="0" w:line="6" w:lineRule="exact"/>
        <w:rPr>
          <w:rFonts w:ascii="Arial" w:cs="Arial" w:eastAsia="Arial" w:hAnsi="Arial"/>
          <w:sz w:val="18"/>
          <w:szCs w:val="18"/>
          <w:color w:val="auto"/>
        </w:rPr>
      </w:pPr>
    </w:p>
    <w:p>
      <w:pPr>
        <w:ind w:left="1300" w:hanging="33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Discount rates used in the valuation models</w:t>
      </w:r>
    </w:p>
    <w:p>
      <w:pPr>
        <w:spacing w:after="0" w:line="6" w:lineRule="exact"/>
        <w:rPr>
          <w:rFonts w:ascii="Arial" w:cs="Arial" w:eastAsia="Arial" w:hAnsi="Arial"/>
          <w:sz w:val="18"/>
          <w:szCs w:val="18"/>
          <w:color w:val="auto"/>
        </w:rPr>
      </w:pPr>
    </w:p>
    <w:p>
      <w:pPr>
        <w:ind w:left="640" w:hanging="312"/>
        <w:spacing w:after="0" w:line="248"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considered the historical accuracy of management's estimates and evaluated the forecasts for reasonableness, comparing to historical results and internal communications to management and the Board of Directors, as well as information generated from analyst and industry reports for the Company and certain of its peer companies.</w:t>
      </w:r>
    </w:p>
    <w:p>
      <w:pPr>
        <w:ind w:left="640" w:right="20" w:hanging="312"/>
        <w:spacing w:after="0" w:line="274"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revenue growth rates, EBITA margins, weighting of fair values, and discount rates and reasonableness of the valuation methodology, including testing the underlying source information and the mathematical accuracy of the calculations, and developing a range of independent estimates and comparing to those selected by management.</w:t>
      </w:r>
    </w:p>
    <w:p>
      <w:pPr>
        <w:spacing w:after="0" w:line="187"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We considered the existence of contradictory evidence based on consideration of internal communication to management and the Board of Directors, Company press releases, and analysts' reports, as well as any changes within the business.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August 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88" w:right="379" w:bottom="1440" w:gutter="0" w:footer="0" w:header="0"/>
        </w:sectPr>
      </w:pPr>
    </w:p>
    <w:bookmarkStart w:id="53" w:name="page54"/>
    <w:bookmarkEnd w:id="53"/>
    <w:p>
      <w:pPr>
        <w:ind w:left="4180"/>
        <w:spacing w:after="0"/>
        <w:rPr>
          <w:sz w:val="20"/>
          <w:szCs w:val="20"/>
          <w:color w:val="auto"/>
        </w:rPr>
      </w:pPr>
      <w:r>
        <w:rPr>
          <w:rFonts w:ascii="Arial" w:cs="Arial" w:eastAsia="Arial" w:hAnsi="Arial"/>
          <w:sz w:val="18"/>
          <w:szCs w:val="18"/>
          <w:b w:val="1"/>
          <w:bCs w:val="1"/>
          <w:color w:val="auto"/>
        </w:rPr>
        <w:t>AngioDynamics, Inc. and Subsidiaries</w:t>
      </w:r>
    </w:p>
    <w:p>
      <w:pPr>
        <w:spacing w:after="0" w:line="10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color w:val="auto"/>
                <w:w w:val="91"/>
              </w:rPr>
              <w:t>Year ended May 31,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316,219</w:t>
            </w:r>
          </w:p>
        </w:tc>
        <w:tc>
          <w:tcPr>
            <w:tcW w:w="4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291,010</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164,506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134,222</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165,732</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156,788</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36,390</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81,306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35,918</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18,136</w:t>
            </w:r>
          </w:p>
        </w:tc>
        <w:tc>
          <w:tcPr>
            <w:tcW w:w="0" w:type="dxa"/>
            <w:vAlign w:val="bottom"/>
          </w:tcPr>
          <w:p>
            <w:pPr>
              <w:spacing w:after="0"/>
              <w:rPr>
                <w:sz w:val="1"/>
                <w:szCs w:val="1"/>
                <w:color w:val="auto"/>
              </w:rPr>
            </w:pPr>
          </w:p>
        </w:tc>
      </w:tr>
      <w:tr>
        <w:trPr>
          <w:trHeight w:val="241"/>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restructuring and other items,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20,232</w:t>
            </w:r>
          </w:p>
        </w:tc>
        <w:tc>
          <w:tcPr>
            <w:tcW w:w="0" w:type="dxa"/>
            <w:vAlign w:val="bottom"/>
          </w:tcPr>
          <w:p>
            <w:pPr>
              <w:spacing w:after="0"/>
              <w:rPr>
                <w:sz w:val="1"/>
                <w:szCs w:val="1"/>
                <w:color w:val="auto"/>
              </w:rPr>
            </w:pPr>
          </w:p>
        </w:tc>
      </w:tr>
      <w:tr>
        <w:trPr>
          <w:trHeight w:val="220"/>
        </w:trPr>
        <w:tc>
          <w:tcPr>
            <w:tcW w:w="672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225,427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194,203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192,071</w:t>
            </w: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(28,471)</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(35,283)</w:t>
            </w:r>
          </w:p>
        </w:tc>
        <w:tc>
          <w:tcPr>
            <w:tcW w:w="0" w:type="dxa"/>
            <w:vAlign w:val="bottom"/>
          </w:tcPr>
          <w:p>
            <w:pPr>
              <w:spacing w:after="0"/>
              <w:rPr>
                <w:sz w:val="1"/>
                <w:szCs w:val="1"/>
                <w:color w:val="auto"/>
              </w:rPr>
            </w:pPr>
          </w:p>
        </w:tc>
      </w:tr>
      <w:tr>
        <w:trPr>
          <w:trHeight w:val="207"/>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Other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(29,949)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32"/>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194"/>
        </w:trPr>
        <w:tc>
          <w:tcPr>
            <w:tcW w:w="6720" w:type="dxa"/>
            <w:vAlign w:val="bottom"/>
          </w:tcPr>
          <w:p>
            <w:pPr>
              <w:ind w:left="660"/>
              <w:spacing w:after="0" w:line="194"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(52,442)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(26,547)</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31"/>
              <w:spacing w:after="0" w:line="194"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(31,548)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Loss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(0.68)</w:t>
            </w:r>
          </w:p>
        </w:tc>
        <w:tc>
          <w:tcPr>
            <w:tcW w:w="4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39,009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4" w:name="page55"/>
    <w:bookmarkEnd w:id="54"/>
    <w:p>
      <w:pPr>
        <w:ind w:left="4180"/>
        <w:spacing w:after="0"/>
        <w:rPr>
          <w:sz w:val="20"/>
          <w:szCs w:val="20"/>
          <w:color w:val="auto"/>
        </w:rPr>
      </w:pPr>
      <w:r>
        <w:rPr>
          <w:rFonts w:ascii="Arial" w:cs="Arial" w:eastAsia="Arial" w:hAnsi="Arial"/>
          <w:sz w:val="18"/>
          <w:szCs w:val="18"/>
          <w:b w:val="1"/>
          <w:bCs w:val="1"/>
          <w:color w:val="auto"/>
        </w:rPr>
        <w:t>AngioDynamics, Inc. and Subsidiaries</w:t>
      </w:r>
    </w:p>
    <w:p>
      <w:pPr>
        <w:spacing w:after="0" w:line="10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35"/>
              <w:spacing w:after="0"/>
              <w:rPr>
                <w:sz w:val="20"/>
                <w:szCs w:val="20"/>
                <w:color w:val="auto"/>
              </w:rPr>
            </w:pPr>
            <w:r>
              <w:rPr>
                <w:rFonts w:ascii="Arial" w:cs="Arial" w:eastAsia="Arial" w:hAnsi="Arial"/>
                <w:sz w:val="14"/>
                <w:szCs w:val="14"/>
                <w:color w:val="auto"/>
                <w:w w:val="91"/>
              </w:rPr>
              <w:t>Year ended May 31,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8"/>
        </w:trPr>
        <w:tc>
          <w:tcPr>
            <w:tcW w:w="6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(31,548)</w:t>
            </w: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4,494</w:t>
            </w:r>
          </w:p>
        </w:tc>
      </w:tr>
      <w:tr>
        <w:trPr>
          <w:trHeight w:val="234"/>
        </w:trPr>
        <w:tc>
          <w:tcPr>
            <w:tcW w:w="6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0"/>
              </w:rPr>
              <w:t>Income tax benefit (expense) related to items of other comprehensive income (loss)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6720" w:type="dxa"/>
            <w:vAlign w:val="bottom"/>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w:t>
            </w: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 net of tax</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May 31, 2023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May 31, 2022</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28,825</w:t>
            </w:r>
          </w:p>
        </w:tc>
      </w:tr>
      <w:tr>
        <w:trPr>
          <w:trHeight w:val="227"/>
        </w:trPr>
        <w:tc>
          <w:tcPr>
            <w:tcW w:w="8260" w:type="dxa"/>
            <w:vAlign w:val="bottom"/>
          </w:tcPr>
          <w:p>
            <w:pPr>
              <w:ind w:left="340"/>
              <w:spacing w:after="0"/>
              <w:rPr>
                <w:sz w:val="20"/>
                <w:szCs w:val="20"/>
                <w:color w:val="auto"/>
              </w:rPr>
            </w:pPr>
            <w:r>
              <w:rPr>
                <w:rFonts w:ascii="Arial" w:cs="Arial" w:eastAsia="Arial" w:hAnsi="Arial"/>
                <w:sz w:val="18"/>
                <w:szCs w:val="18"/>
                <w:color w:val="auto"/>
              </w:rPr>
              <w:t>Accounts receivable, net of allowances of $2,150 and $1,939, respectively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52,304</w:t>
            </w:r>
          </w:p>
        </w:tc>
      </w:tr>
      <w:tr>
        <w:trPr>
          <w:trHeight w:val="22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51,392</w:t>
            </w:r>
          </w:p>
        </w:tc>
      </w:tr>
      <w:tr>
        <w:trPr>
          <w:trHeight w:val="234"/>
        </w:trPr>
        <w:tc>
          <w:tcPr>
            <w:tcW w:w="826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10,824</w:t>
            </w:r>
          </w:p>
        </w:tc>
      </w:tr>
      <w:tr>
        <w:trPr>
          <w:trHeight w:val="234"/>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assets held for sale</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826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163,542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143,345</w:t>
            </w:r>
          </w:p>
        </w:tc>
      </w:tr>
      <w:tr>
        <w:trPr>
          <w:trHeight w:val="24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45,005</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152,380</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201,058</w:t>
            </w:r>
          </w:p>
        </w:tc>
      </w:tr>
      <w:tr>
        <w:trPr>
          <w:trHeight w:val="234"/>
        </w:trPr>
        <w:tc>
          <w:tcPr>
            <w:tcW w:w="82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10,963</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 held for sale</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82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532,637</w:t>
            </w: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552,751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28,047</w:t>
            </w:r>
          </w:p>
        </w:tc>
      </w:tr>
      <w:tr>
        <w:trPr>
          <w:trHeight w:val="234"/>
        </w:trPr>
        <w:tc>
          <w:tcPr>
            <w:tcW w:w="82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34,842</w:t>
            </w:r>
          </w:p>
        </w:tc>
      </w:tr>
      <w:tr>
        <w:trPr>
          <w:trHeight w:val="23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contingent consideration</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w:t>
            </w:r>
          </w:p>
        </w:tc>
      </w:tr>
      <w:tr>
        <w:trPr>
          <w:trHeight w:val="227"/>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r>
      <w:tr>
        <w:trPr>
          <w:trHeight w:val="221"/>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74,324</w:t>
            </w:r>
          </w:p>
        </w:tc>
      </w:tr>
      <w:tr>
        <w:trPr>
          <w:trHeight w:val="234"/>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8,165</w:t>
            </w: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r>
      <w:tr>
        <w:trPr>
          <w:trHeight w:val="221"/>
        </w:trPr>
        <w:tc>
          <w:tcPr>
            <w:tcW w:w="826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154,341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128,262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Preferred stock, par value $0.01 per share, 5,000,000 shares authorized; no shares issued and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6"/>
        </w:trPr>
        <w:tc>
          <w:tcPr>
            <w:tcW w:w="8260" w:type="dxa"/>
            <w:vAlign w:val="bottom"/>
          </w:tcPr>
          <w:p>
            <w:pPr>
              <w:ind w:left="340"/>
              <w:spacing w:after="0" w:line="186" w:lineRule="exact"/>
              <w:rPr>
                <w:sz w:val="20"/>
                <w:szCs w:val="20"/>
                <w:color w:val="auto"/>
              </w:rPr>
            </w:pPr>
            <w:r>
              <w:rPr>
                <w:rFonts w:ascii="Arial" w:cs="Arial" w:eastAsia="Arial" w:hAnsi="Arial"/>
                <w:sz w:val="18"/>
                <w:szCs w:val="18"/>
                <w:color w:val="auto"/>
                <w:w w:val="90"/>
              </w:rPr>
              <w:t>Common stock, par value $0.01 per share, 75,000,000 shares authorized; 39,981,422 and 39,541,173 shares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8260" w:type="dxa"/>
            <w:vAlign w:val="bottom"/>
          </w:tcPr>
          <w:p>
            <w:pPr>
              <w:ind w:left="340"/>
              <w:spacing w:after="0"/>
              <w:rPr>
                <w:sz w:val="20"/>
                <w:szCs w:val="20"/>
                <w:color w:val="auto"/>
              </w:rPr>
            </w:pPr>
            <w:r>
              <w:rPr>
                <w:rFonts w:ascii="Arial" w:cs="Arial" w:eastAsia="Arial" w:hAnsi="Arial"/>
                <w:sz w:val="18"/>
                <w:szCs w:val="18"/>
                <w:color w:val="auto"/>
              </w:rPr>
              <w:t>issued and 39,611,422 and 39,171,173 shares outstanding at May 31, 2023 and 2022, respectively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586,879</w:t>
            </w:r>
          </w:p>
        </w:tc>
      </w:tr>
      <w:tr>
        <w:trPr>
          <w:trHeight w:val="234"/>
        </w:trPr>
        <w:tc>
          <w:tcPr>
            <w:tcW w:w="82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(210,855)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(158,413)</w:t>
            </w:r>
          </w:p>
        </w:tc>
      </w:tr>
      <w:tr>
        <w:trPr>
          <w:trHeight w:val="23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370,000 shares, at cost at May 31, 2023 and 2022, respectively</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r>
      <w:tr>
        <w:trPr>
          <w:trHeight w:val="227"/>
        </w:trPr>
        <w:tc>
          <w:tcPr>
            <w:tcW w:w="826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r>
      <w:tr>
        <w:trPr>
          <w:trHeight w:val="234"/>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378,296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424,489</w:t>
            </w:r>
          </w:p>
        </w:tc>
      </w:tr>
      <w:tr>
        <w:trPr>
          <w:trHeight w:val="220"/>
        </w:trPr>
        <w:tc>
          <w:tcPr>
            <w:tcW w:w="826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532,637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552,751</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6" w:name="page57"/>
    <w:bookmarkEnd w:id="56"/>
    <w:p>
      <w:pPr>
        <w:ind w:left="4180"/>
        <w:spacing w:after="0"/>
        <w:rPr>
          <w:sz w:val="20"/>
          <w:szCs w:val="20"/>
          <w:color w:val="auto"/>
        </w:rPr>
      </w:pPr>
      <w:r>
        <w:rPr>
          <w:rFonts w:ascii="Arial" w:cs="Arial" w:eastAsia="Arial" w:hAnsi="Arial"/>
          <w:sz w:val="18"/>
          <w:szCs w:val="18"/>
          <w:b w:val="1"/>
          <w:bCs w:val="1"/>
          <w:color w:val="auto"/>
        </w:rPr>
        <w:t>AngioDynamics, Inc. and Subsidiaries</w:t>
      </w:r>
    </w:p>
    <w:p>
      <w:pPr>
        <w:spacing w:after="0" w:line="6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060" w:type="dxa"/>
            <w:vAlign w:val="bottom"/>
            <w:gridSpan w:val="4"/>
          </w:tcPr>
          <w:p>
            <w:pPr>
              <w:jc w:val="right"/>
              <w:ind w:right="509"/>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Accumulated</w:t>
            </w:r>
          </w:p>
        </w:tc>
        <w:tc>
          <w:tcPr>
            <w:tcW w:w="1800" w:type="dxa"/>
            <w:vAlign w:val="bottom"/>
            <w:gridSpan w:val="4"/>
          </w:tcPr>
          <w:p>
            <w:pPr>
              <w:jc w:val="right"/>
              <w:ind w:right="409"/>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restart"/>
          </w:tcPr>
          <w:p>
            <w:pPr>
              <w:jc w:val="right"/>
              <w:ind w:right="129"/>
              <w:spacing w:after="0" w:line="142"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restart"/>
          </w:tcPr>
          <w:p>
            <w:pPr>
              <w:jc w:val="center"/>
              <w:ind w:right="280"/>
              <w:spacing w:after="0" w:line="142" w:lineRule="exact"/>
              <w:rPr>
                <w:sz w:val="20"/>
                <w:szCs w:val="20"/>
                <w:color w:val="auto"/>
              </w:rPr>
            </w:pPr>
            <w:r>
              <w:rPr>
                <w:rFonts w:ascii="Arial" w:cs="Arial" w:eastAsia="Arial" w:hAnsi="Arial"/>
                <w:sz w:val="14"/>
                <w:szCs w:val="14"/>
                <w:color w:val="auto"/>
                <w:w w:val="93"/>
              </w:rPr>
              <w:t>other</w:t>
            </w: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1000" w:type="dxa"/>
            <w:vAlign w:val="bottom"/>
            <w:vMerge w:val="restart"/>
          </w:tcPr>
          <w:p>
            <w:pPr>
              <w:jc w:val="right"/>
              <w:ind w:right="249"/>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69"/>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49"/>
              <w:spacing w:after="0" w:line="139" w:lineRule="exact"/>
              <w:rPr>
                <w:sz w:val="20"/>
                <w:szCs w:val="20"/>
                <w:color w:val="auto"/>
              </w:rPr>
            </w:pPr>
            <w:r>
              <w:rPr>
                <w:rFonts w:ascii="Arial" w:cs="Arial" w:eastAsia="Arial" w:hAnsi="Arial"/>
                <w:sz w:val="14"/>
                <w:szCs w:val="14"/>
                <w:color w:val="auto"/>
              </w:rPr>
              <w:t>paid 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29"/>
              <w:spacing w:after="0" w:line="139"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39" w:lineRule="exact"/>
              <w:rPr>
                <w:sz w:val="20"/>
                <w:szCs w:val="20"/>
                <w:color w:val="auto"/>
              </w:rPr>
            </w:pPr>
            <w:r>
              <w:rPr>
                <w:rFonts w:ascii="Arial" w:cs="Arial" w:eastAsia="Arial" w:hAnsi="Arial"/>
                <w:sz w:val="14"/>
                <w:szCs w:val="14"/>
                <w:color w:val="auto"/>
                <w:w w:val="90"/>
              </w:rPr>
              <w:t>comprehensive</w:t>
            </w:r>
          </w:p>
        </w:tc>
        <w:tc>
          <w:tcPr>
            <w:tcW w:w="880" w:type="dxa"/>
            <w:vAlign w:val="bottom"/>
            <w:vMerge w:val="restart"/>
          </w:tcPr>
          <w:p>
            <w:pPr>
              <w:jc w:val="right"/>
              <w:ind w:right="169"/>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9"/>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income (loss)</w:t>
            </w: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60" w:type="dxa"/>
            <w:vAlign w:val="bottom"/>
          </w:tcPr>
          <w:p>
            <w:pPr>
              <w:ind w:left="340"/>
              <w:spacing w:after="0"/>
              <w:rPr>
                <w:sz w:val="20"/>
                <w:szCs w:val="20"/>
                <w:color w:val="auto"/>
              </w:rPr>
            </w:pPr>
            <w:r>
              <w:rPr>
                <w:rFonts w:ascii="Arial" w:cs="Arial" w:eastAsia="Arial" w:hAnsi="Arial"/>
                <w:sz w:val="14"/>
                <w:szCs w:val="14"/>
                <w:b w:val="1"/>
                <w:bCs w:val="1"/>
                <w:color w:val="auto"/>
              </w:rPr>
              <w:t>Balance at May 31,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38,448,536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561,871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(100,318)</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center"/>
              <w:ind w:left="609"/>
              <w:spacing w:after="0"/>
              <w:rPr>
                <w:sz w:val="20"/>
                <w:szCs w:val="20"/>
                <w:color w:val="auto"/>
              </w:rPr>
            </w:pPr>
            <w:r>
              <w:rPr>
                <w:rFonts w:ascii="Arial" w:cs="Arial" w:eastAsia="Arial" w:hAnsi="Arial"/>
                <w:sz w:val="14"/>
                <w:szCs w:val="14"/>
                <w:color w:val="auto"/>
                <w:w w:val="94"/>
              </w:rPr>
              <w:t>(1,341)</w:t>
            </w:r>
          </w:p>
        </w:tc>
        <w:tc>
          <w:tcPr>
            <w:tcW w:w="12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454,872</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(31,548)</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4"/>
                <w:szCs w:val="14"/>
                <w:color w:val="auto"/>
              </w:rPr>
              <w:t>123,536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152"/>
        </w:trPr>
        <w:tc>
          <w:tcPr>
            <w:tcW w:w="246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w w:val="97"/>
              </w:rPr>
              <w:t>Issuance/cancellation of restricted stock</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Arial" w:cs="Arial" w:eastAsia="Arial" w:hAnsi="Arial"/>
                <w:sz w:val="14"/>
                <w:szCs w:val="14"/>
                <w:color w:val="auto"/>
              </w:rPr>
              <w:t>Purchase of common stock under</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tcPr>
          <w:p>
            <w:pPr>
              <w:jc w:val="right"/>
              <w:spacing w:after="0"/>
              <w:rPr>
                <w:sz w:val="20"/>
                <w:szCs w:val="20"/>
                <w:color w:val="auto"/>
              </w:rPr>
            </w:pPr>
            <w:r>
              <w:rPr>
                <w:rFonts w:ascii="Arial" w:cs="Arial" w:eastAsia="Arial" w:hAnsi="Arial"/>
                <w:sz w:val="14"/>
                <w:szCs w:val="14"/>
                <w:color w:val="auto"/>
              </w:rPr>
              <w:t>164,194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8,625</w:t>
            </w:r>
          </w:p>
        </w:tc>
        <w:tc>
          <w:tcPr>
            <w:tcW w:w="0" w:type="dxa"/>
            <w:vAlign w:val="bottom"/>
          </w:tcPr>
          <w:p>
            <w:pPr>
              <w:spacing w:after="0"/>
              <w:rPr>
                <w:sz w:val="1"/>
                <w:szCs w:val="1"/>
                <w:color w:val="auto"/>
              </w:rPr>
            </w:pPr>
          </w:p>
        </w:tc>
      </w:tr>
      <w:tr>
        <w:trPr>
          <w:trHeight w:val="194"/>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7"/>
              </w:rPr>
              <w:t>Other comprehensive income, net of tax</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629"/>
              <w:spacing w:after="0"/>
              <w:rPr>
                <w:sz w:val="20"/>
                <w:szCs w:val="20"/>
                <w:color w:val="auto"/>
              </w:rPr>
            </w:pPr>
            <w:r>
              <w:rPr>
                <w:rFonts w:ascii="Arial" w:cs="Arial" w:eastAsia="Arial" w:hAnsi="Arial"/>
                <w:sz w:val="14"/>
                <w:szCs w:val="14"/>
                <w:color w:val="auto"/>
                <w:w w:val="91"/>
              </w:rPr>
              <w:t>4,494</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4,494</w:t>
            </w:r>
          </w:p>
        </w:tc>
        <w:tc>
          <w:tcPr>
            <w:tcW w:w="0" w:type="dxa"/>
            <w:vAlign w:val="bottom"/>
          </w:tcPr>
          <w:p>
            <w:pPr>
              <w:spacing w:after="0"/>
              <w:rPr>
                <w:sz w:val="1"/>
                <w:szCs w:val="1"/>
                <w:color w:val="auto"/>
              </w:rPr>
            </w:pPr>
          </w:p>
        </w:tc>
      </w:tr>
      <w:tr>
        <w:trPr>
          <w:trHeight w:val="201"/>
        </w:trPr>
        <w:tc>
          <w:tcPr>
            <w:tcW w:w="24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Balance at May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38,920,951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ind w:left="629"/>
              <w:spacing w:after="0"/>
              <w:rPr>
                <w:sz w:val="20"/>
                <w:szCs w:val="20"/>
                <w:color w:val="auto"/>
              </w:rPr>
            </w:pPr>
            <w:r>
              <w:rPr>
                <w:rFonts w:ascii="Arial" w:cs="Arial" w:eastAsia="Arial" w:hAnsi="Arial"/>
                <w:sz w:val="14"/>
                <w:szCs w:val="14"/>
                <w:color w:val="auto"/>
                <w:w w:val="91"/>
              </w:rPr>
              <w:t>3,153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439,457</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(26,547)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(26,547)</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2,707</w:t>
            </w: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Arial" w:cs="Arial" w:eastAsia="Arial" w:hAnsi="Arial"/>
                <w:sz w:val="14"/>
                <w:szCs w:val="14"/>
                <w:color w:val="auto"/>
                <w:w w:val="97"/>
              </w:rPr>
              <w:t>Issuance/cancellation of restricted stock</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60" w:type="dxa"/>
            <w:vAlign w:val="bottom"/>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tcPr>
          <w:p>
            <w:pPr>
              <w:jc w:val="right"/>
              <w:spacing w:after="0"/>
              <w:rPr>
                <w:sz w:val="20"/>
                <w:szCs w:val="20"/>
                <w:color w:val="auto"/>
              </w:rPr>
            </w:pPr>
            <w:r>
              <w:rPr>
                <w:rFonts w:ascii="Arial" w:cs="Arial" w:eastAsia="Arial" w:hAnsi="Arial"/>
                <w:sz w:val="14"/>
                <w:szCs w:val="14"/>
                <w:color w:val="auto"/>
              </w:rPr>
              <w:t>299,544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Issuance/cancellation of performance</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units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59,371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460" w:type="dxa"/>
            <w:vAlign w:val="bottom"/>
          </w:tcPr>
          <w:p>
            <w:pPr>
              <w:ind w:left="20"/>
              <w:spacing w:after="0" w:line="134" w:lineRule="exact"/>
              <w:rPr>
                <w:sz w:val="20"/>
                <w:szCs w:val="20"/>
                <w:color w:val="auto"/>
              </w:rPr>
            </w:pPr>
            <w:r>
              <w:rPr>
                <w:rFonts w:ascii="Arial" w:cs="Arial" w:eastAsia="Arial" w:hAnsi="Arial"/>
                <w:sz w:val="14"/>
                <w:szCs w:val="14"/>
                <w:color w:val="auto"/>
              </w:rPr>
              <w:t>Purchase of common stock under</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98,586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10,692</w:t>
            </w:r>
          </w:p>
        </w:tc>
        <w:tc>
          <w:tcPr>
            <w:tcW w:w="0" w:type="dxa"/>
            <w:vAlign w:val="bottom"/>
          </w:tcPr>
          <w:p>
            <w:pPr>
              <w:spacing w:after="0"/>
              <w:rPr>
                <w:sz w:val="1"/>
                <w:szCs w:val="1"/>
                <w:color w:val="auto"/>
              </w:rPr>
            </w:pPr>
          </w:p>
        </w:tc>
      </w:tr>
      <w:tr>
        <w:trPr>
          <w:trHeight w:val="194"/>
        </w:trPr>
        <w:tc>
          <w:tcPr>
            <w:tcW w:w="246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609"/>
              <w:spacing w:after="0"/>
              <w:rPr>
                <w:sz w:val="20"/>
                <w:szCs w:val="20"/>
                <w:color w:val="auto"/>
              </w:rPr>
            </w:pPr>
            <w:r>
              <w:rPr>
                <w:rFonts w:ascii="Arial" w:cs="Arial" w:eastAsia="Arial" w:hAnsi="Arial"/>
                <w:sz w:val="14"/>
                <w:szCs w:val="14"/>
                <w:color w:val="auto"/>
                <w:w w:val="94"/>
              </w:rPr>
              <w:t>(1,796)</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w:t>
            </w:r>
          </w:p>
        </w:tc>
        <w:tc>
          <w:tcPr>
            <w:tcW w:w="0" w:type="dxa"/>
            <w:vAlign w:val="bottom"/>
          </w:tcPr>
          <w:p>
            <w:pPr>
              <w:spacing w:after="0"/>
              <w:rPr>
                <w:sz w:val="1"/>
                <w:szCs w:val="1"/>
                <w:color w:val="auto"/>
              </w:rPr>
            </w:pPr>
          </w:p>
        </w:tc>
      </w:tr>
      <w:tr>
        <w:trPr>
          <w:trHeight w:val="201"/>
        </w:trPr>
        <w:tc>
          <w:tcPr>
            <w:tcW w:w="24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Balance at May 31,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39,541,173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586,879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ind w:left="629"/>
              <w:spacing w:after="0"/>
              <w:rPr>
                <w:sz w:val="20"/>
                <w:szCs w:val="20"/>
                <w:color w:val="auto"/>
              </w:rPr>
            </w:pPr>
            <w:r>
              <w:rPr>
                <w:rFonts w:ascii="Arial" w:cs="Arial" w:eastAsia="Arial" w:hAnsi="Arial"/>
                <w:sz w:val="14"/>
                <w:szCs w:val="14"/>
                <w:color w:val="auto"/>
                <w:w w:val="91"/>
              </w:rPr>
              <w:t>1,357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424,489</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(52,442)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(52,442)</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Arial" w:cs="Arial" w:eastAsia="Arial" w:hAnsi="Arial"/>
                <w:sz w:val="14"/>
                <w:szCs w:val="14"/>
                <w:color w:val="auto"/>
                <w:w w:val="97"/>
              </w:rPr>
              <w:t>Issuance/cancellation of restricted stock</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60" w:type="dxa"/>
            <w:vAlign w:val="bottom"/>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tcPr>
          <w:p>
            <w:pPr>
              <w:jc w:val="right"/>
              <w:spacing w:after="0"/>
              <w:rPr>
                <w:sz w:val="20"/>
                <w:szCs w:val="20"/>
                <w:color w:val="auto"/>
              </w:rPr>
            </w:pPr>
            <w:r>
              <w:rPr>
                <w:rFonts w:ascii="Arial" w:cs="Arial" w:eastAsia="Arial" w:hAnsi="Arial"/>
                <w:sz w:val="14"/>
                <w:szCs w:val="14"/>
                <w:color w:val="auto"/>
              </w:rPr>
              <w:t>239,028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Issuance/cancellation of performance</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units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34"/>
        </w:trPr>
        <w:tc>
          <w:tcPr>
            <w:tcW w:w="2460" w:type="dxa"/>
            <w:vAlign w:val="bottom"/>
          </w:tcPr>
          <w:p>
            <w:pPr>
              <w:ind w:left="20"/>
              <w:spacing w:after="0" w:line="134" w:lineRule="exact"/>
              <w:rPr>
                <w:sz w:val="20"/>
                <w:szCs w:val="20"/>
                <w:color w:val="auto"/>
              </w:rPr>
            </w:pPr>
            <w:r>
              <w:rPr>
                <w:rFonts w:ascii="Arial" w:cs="Arial" w:eastAsia="Arial" w:hAnsi="Arial"/>
                <w:sz w:val="14"/>
                <w:szCs w:val="14"/>
                <w:color w:val="auto"/>
              </w:rPr>
              <w:t>Purchase of common stock under</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149,778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2,046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11,158</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609"/>
              <w:spacing w:after="0"/>
              <w:rPr>
                <w:sz w:val="20"/>
                <w:szCs w:val="20"/>
                <w:color w:val="auto"/>
              </w:rPr>
            </w:pPr>
            <w:r>
              <w:rPr>
                <w:rFonts w:ascii="Arial" w:cs="Arial" w:eastAsia="Arial" w:hAnsi="Arial"/>
                <w:sz w:val="14"/>
                <w:szCs w:val="14"/>
                <w:color w:val="auto"/>
                <w:w w:val="94"/>
              </w:rPr>
              <w:t>(6,080)</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(6,080)</w:t>
            </w: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Balance at May 31, 2023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39,981,422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94"/>
              </w:rPr>
              <w:t>(4,723)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378,296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24"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color w:val="auto"/>
                <w:w w:val="91"/>
              </w:rPr>
              <w:t>Year ended May 31,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2021</w:t>
            </w: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67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(52,442)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(26,547)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(31,548)</w:t>
            </w:r>
          </w:p>
        </w:tc>
      </w:tr>
      <w:tr>
        <w:trPr>
          <w:trHeight w:val="23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Adjustments to reconcile net loss to net cash provided by (used in)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67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25,916</w:t>
            </w:r>
          </w:p>
        </w:tc>
      </w:tr>
      <w:tr>
        <w:trPr>
          <w:trHeight w:val="241"/>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r>
      <w:tr>
        <w:trPr>
          <w:trHeight w:val="227"/>
        </w:trPr>
        <w:tc>
          <w:tcPr>
            <w:tcW w:w="6720" w:type="dxa"/>
            <w:vAlign w:val="bottom"/>
          </w:tcPr>
          <w:p>
            <w:pPr>
              <w:ind w:left="66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 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r>
      <w:tr>
        <w:trPr>
          <w:trHeight w:val="234"/>
        </w:trPr>
        <w:tc>
          <w:tcPr>
            <w:tcW w:w="6720" w:type="dxa"/>
            <w:vAlign w:val="bottom"/>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4"/>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 provision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r>
      <w:tr>
        <w:trPr>
          <w:trHeight w:val="227"/>
        </w:trPr>
        <w:tc>
          <w:tcPr>
            <w:tcW w:w="6720" w:type="dxa"/>
            <w:vAlign w:val="bottom"/>
          </w:tcPr>
          <w:p>
            <w:pPr>
              <w:ind w:left="660"/>
              <w:spacing w:after="0"/>
              <w:rPr>
                <w:sz w:val="20"/>
                <w:szCs w:val="20"/>
                <w:color w:val="auto"/>
              </w:rPr>
            </w:pPr>
            <w:r>
              <w:rPr>
                <w:rFonts w:ascii="Arial" w:cs="Arial" w:eastAsia="Arial" w:hAnsi="Arial"/>
                <w:sz w:val="18"/>
                <w:szCs w:val="18"/>
                <w:color w:val="auto"/>
              </w:rPr>
              <w:t>Changes in accounts receivable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41"/>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Asset impairments and disposals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w:t>
            </w:r>
          </w:p>
        </w:tc>
      </w:tr>
      <w:tr>
        <w:trPr>
          <w:trHeight w:val="227"/>
        </w:trPr>
        <w:tc>
          <w:tcPr>
            <w:tcW w:w="6720" w:type="dxa"/>
            <w:vAlign w:val="bottom"/>
          </w:tcPr>
          <w:p>
            <w:pPr>
              <w:ind w:left="6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8"/>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6720" w:type="dxa"/>
            <w:vAlign w:val="bottom"/>
          </w:tcPr>
          <w:p>
            <w:pPr>
              <w:ind w:left="11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(4,162)</w:t>
            </w:r>
          </w:p>
        </w:tc>
      </w:tr>
      <w:tr>
        <w:trPr>
          <w:trHeight w:val="234"/>
        </w:trPr>
        <w:tc>
          <w:tcPr>
            <w:tcW w:w="6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r>
      <w:tr>
        <w:trPr>
          <w:trHeight w:val="227"/>
        </w:trPr>
        <w:tc>
          <w:tcPr>
            <w:tcW w:w="6720" w:type="dxa"/>
            <w:vAlign w:val="bottom"/>
          </w:tcPr>
          <w:p>
            <w:pPr>
              <w:ind w:left="1100"/>
              <w:spacing w:after="0"/>
              <w:rPr>
                <w:sz w:val="20"/>
                <w:szCs w:val="20"/>
                <w:color w:val="auto"/>
              </w:rPr>
            </w:pPr>
            <w:r>
              <w:rPr>
                <w:rFonts w:ascii="Arial" w:cs="Arial" w:eastAsia="Arial" w:hAnsi="Arial"/>
                <w:sz w:val="18"/>
                <w:szCs w:val="18"/>
                <w:color w:val="auto"/>
              </w:rPr>
              <w:t>Prepaid expenses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(3,181)</w:t>
            </w:r>
          </w:p>
        </w:tc>
      </w:tr>
      <w:tr>
        <w:trPr>
          <w:trHeight w:val="241"/>
        </w:trPr>
        <w:tc>
          <w:tcPr>
            <w:tcW w:w="6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Accounts payable, accrued and other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r>
      <w:tr>
        <w:trPr>
          <w:trHeight w:val="220"/>
        </w:trPr>
        <w:tc>
          <w:tcPr>
            <w:tcW w:w="6720" w:type="dxa"/>
            <w:vAlign w:val="bottom"/>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24,093</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(5,187)</w:t>
            </w:r>
          </w:p>
        </w:tc>
      </w:tr>
      <w:tr>
        <w:trPr>
          <w:trHeight w:val="241"/>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placement and evaluation units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Cash paid for acquisitions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7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Proceeds from issuance of and borrowings on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34"/>
        </w:trPr>
        <w:tc>
          <w:tcPr>
            <w:tcW w:w="6720" w:type="dxa"/>
            <w:vAlign w:val="bottom"/>
          </w:tcPr>
          <w:p>
            <w:pPr>
              <w:ind w:left="340"/>
              <w:spacing w:after="0"/>
              <w:rPr>
                <w:sz w:val="20"/>
                <w:szCs w:val="20"/>
                <w:color w:val="auto"/>
              </w:rPr>
            </w:pPr>
            <w:r>
              <w:rPr>
                <w:rFonts w:ascii="Arial" w:cs="Arial" w:eastAsia="Arial" w:hAnsi="Arial"/>
                <w:sz w:val="18"/>
                <w:szCs w:val="18"/>
                <w:color w:val="auto"/>
              </w:rPr>
              <w:t>Proceeds from borrowings on long-term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 on long-term debt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21"/>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r>
      <w:tr>
        <w:trPr>
          <w:trHeight w:val="228"/>
        </w:trPr>
        <w:tc>
          <w:tcPr>
            <w:tcW w:w="67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27"/>
        </w:trPr>
        <w:tc>
          <w:tcPr>
            <w:tcW w:w="6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54,435</w:t>
            </w:r>
          </w:p>
        </w:tc>
      </w:tr>
      <w:tr>
        <w:trPr>
          <w:trHeight w:val="24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8" w:name="page59"/>
    <w:bookmarkEnd w:id="58"/>
    <w:p>
      <w:pPr>
        <w:ind w:left="4180"/>
        <w:spacing w:after="0"/>
        <w:rPr>
          <w:sz w:val="20"/>
          <w:szCs w:val="20"/>
          <w:color w:val="auto"/>
        </w:rPr>
      </w:pPr>
      <w:r>
        <w:rPr>
          <w:rFonts w:ascii="Arial" w:cs="Arial" w:eastAsia="Arial" w:hAnsi="Arial"/>
          <w:sz w:val="18"/>
          <w:szCs w:val="18"/>
          <w:b w:val="1"/>
          <w:bCs w:val="1"/>
          <w:color w:val="auto"/>
        </w:rPr>
        <w:t>AngioDynamics, Inc. and Subsidiaries</w:t>
      </w:r>
    </w:p>
    <w:p>
      <w:pPr>
        <w:spacing w:after="0" w:line="10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Year ended May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7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2022</w:t>
            </w: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color w:val="auto"/>
              </w:rPr>
              <w:t>2021</w:t>
            </w:r>
          </w:p>
        </w:tc>
      </w:tr>
      <w:tr>
        <w:trPr>
          <w:trHeight w:val="227"/>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7"/>
        </w:trPr>
        <w:tc>
          <w:tcPr>
            <w:tcW w:w="6720" w:type="dxa"/>
            <w:vAlign w:val="bottom"/>
          </w:tcPr>
          <w:p>
            <w:pPr>
              <w:ind w:left="660"/>
              <w:spacing w:after="0"/>
              <w:rPr>
                <w:sz w:val="20"/>
                <w:szCs w:val="20"/>
                <w:color w:val="auto"/>
              </w:rPr>
            </w:pPr>
            <w:r>
              <w:rPr>
                <w:rFonts w:ascii="Arial" w:cs="Arial" w:eastAsia="Arial" w:hAnsi="Arial"/>
                <w:sz w:val="18"/>
                <w:szCs w:val="18"/>
                <w:color w:val="auto"/>
              </w:rPr>
              <w:t>Increase (decrease) in accounts payable for purchases of fixed assets</w:t>
            </w: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124</w:t>
            </w:r>
          </w:p>
        </w:tc>
        <w:tc>
          <w:tcPr>
            <w:tcW w:w="10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575"/>
              <w:spacing w:after="0"/>
              <w:rPr>
                <w:sz w:val="20"/>
                <w:szCs w:val="20"/>
                <w:color w:val="auto"/>
              </w:rPr>
            </w:pPr>
            <w:r>
              <w:rPr>
                <w:rFonts w:ascii="Arial" w:cs="Arial" w:eastAsia="Arial" w:hAnsi="Arial"/>
                <w:sz w:val="18"/>
                <w:szCs w:val="18"/>
                <w:color w:val="auto"/>
                <w:w w:val="95"/>
              </w:rPr>
              <w:t>(139)</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during the year for: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6720" w:type="dxa"/>
            <w:vAlign w:val="bottom"/>
          </w:tcPr>
          <w:p>
            <w:pPr>
              <w:ind w:left="660"/>
              <w:spacing w:after="0"/>
              <w:rPr>
                <w:sz w:val="20"/>
                <w:szCs w:val="20"/>
                <w:color w:val="auto"/>
              </w:rPr>
            </w:pPr>
            <w:r>
              <w:rPr>
                <w:rFonts w:ascii="Arial" w:cs="Arial" w:eastAsia="Arial" w:hAnsi="Arial"/>
                <w:sz w:val="18"/>
                <w:szCs w:val="18"/>
                <w:color w:val="auto"/>
              </w:rPr>
              <w:t>Interest</w:t>
            </w: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2,577</w:t>
            </w:r>
          </w:p>
        </w:tc>
        <w:tc>
          <w:tcPr>
            <w:tcW w:w="10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595"/>
              <w:spacing w:after="0"/>
              <w:rPr>
                <w:sz w:val="20"/>
                <w:szCs w:val="20"/>
                <w:color w:val="auto"/>
              </w:rPr>
            </w:pPr>
            <w:r>
              <w:rPr>
                <w:rFonts w:ascii="Arial" w:cs="Arial" w:eastAsia="Arial" w:hAnsi="Arial"/>
                <w:sz w:val="18"/>
                <w:szCs w:val="18"/>
                <w:color w:val="auto"/>
                <w:w w:val="86"/>
              </w:rPr>
              <w:t>731</w:t>
            </w:r>
          </w:p>
        </w:tc>
      </w:tr>
      <w:tr>
        <w:trPr>
          <w:trHeight w:val="234"/>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86"/>
              </w:rPr>
              <w:t>313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AngioDynamics, Inc. and Subsidiaries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7" w:lineRule="exact"/>
        <w:rPr>
          <w:sz w:val="20"/>
          <w:szCs w:val="20"/>
          <w:color w:val="auto"/>
        </w:rPr>
      </w:pPr>
    </w:p>
    <w:p>
      <w:pPr>
        <w:ind w:right="1460"/>
        <w:spacing w:after="0" w:line="436" w:lineRule="auto"/>
        <w:rPr>
          <w:sz w:val="20"/>
          <w:szCs w:val="20"/>
          <w:color w:val="auto"/>
        </w:rPr>
      </w:pPr>
      <w:r>
        <w:rPr>
          <w:rFonts w:ascii="Arial" w:cs="Arial" w:eastAsia="Arial" w:hAnsi="Arial"/>
          <w:sz w:val="18"/>
          <w:szCs w:val="18"/>
          <w:b w:val="1"/>
          <w:bCs w:val="1"/>
          <w:color w:val="auto"/>
        </w:rPr>
        <w:t xml:space="preserve">1. BASIS OF PRESENTATION, BUSINESS DESCRIPTION AND SUMMARY OF SIGNIFICANT ACCOUNTING POLICIES </w:t>
      </w:r>
      <w:r>
        <w:rPr>
          <w:rFonts w:ascii="Arial" w:cs="Arial" w:eastAsia="Arial" w:hAnsi="Arial"/>
          <w:sz w:val="18"/>
          <w:szCs w:val="18"/>
          <w:b w:val="1"/>
          <w:bCs w:val="1"/>
          <w:i w:val="1"/>
          <w:iCs w:val="1"/>
          <w:color w:val="auto"/>
        </w:rPr>
        <w:t>Basis of Presentation and Description of Business</w:t>
      </w:r>
    </w:p>
    <w:p>
      <w:pPr>
        <w:spacing w:after="0" w:line="1" w:lineRule="exact"/>
        <w:rPr>
          <w:sz w:val="20"/>
          <w:szCs w:val="20"/>
          <w:color w:val="auto"/>
        </w:rPr>
      </w:pPr>
    </w:p>
    <w:p>
      <w:pPr>
        <w:ind w:right="200" w:firstLine="385"/>
        <w:spacing w:after="0" w:line="271" w:lineRule="auto"/>
        <w:rPr>
          <w:sz w:val="20"/>
          <w:szCs w:val="20"/>
          <w:color w:val="auto"/>
        </w:rPr>
      </w:pPr>
      <w:r>
        <w:rPr>
          <w:rFonts w:ascii="Arial" w:cs="Arial" w:eastAsia="Arial" w:hAnsi="Arial"/>
          <w:sz w:val="18"/>
          <w:szCs w:val="18"/>
          <w:color w:val="auto"/>
        </w:rPr>
        <w:t>The consolidated financial statements include the accounts of AngioDynamics, Inc. and its wholly owned subsidiaries, (collectively, the "Company", "we", "our", or "us").</w:t>
      </w:r>
    </w:p>
    <w:p>
      <w:pPr>
        <w:spacing w:after="0" w:line="121" w:lineRule="exact"/>
        <w:rPr>
          <w:sz w:val="20"/>
          <w:szCs w:val="20"/>
          <w:color w:val="auto"/>
        </w:rPr>
      </w:pPr>
    </w:p>
    <w:p>
      <w:pPr>
        <w:ind w:right="340" w:firstLine="385"/>
        <w:spacing w:after="0" w:line="271" w:lineRule="auto"/>
        <w:rPr>
          <w:sz w:val="20"/>
          <w:szCs w:val="20"/>
          <w:color w:val="auto"/>
        </w:rPr>
      </w:pPr>
      <w:r>
        <w:rPr>
          <w:rFonts w:ascii="Arial" w:cs="Arial" w:eastAsia="Arial" w:hAnsi="Arial"/>
          <w:sz w:val="18"/>
          <w:szCs w:val="18"/>
          <w:color w:val="auto"/>
        </w:rPr>
        <w:t>The Company is a leading and transformative medical technology company focused on restoring healthy blood flow in the body's vascular system, expanding cancer treatment options and improving the quality of life for patients.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67" w:lineRule="exact"/>
        <w:rPr>
          <w:sz w:val="20"/>
          <w:szCs w:val="20"/>
          <w:color w:val="auto"/>
        </w:rPr>
      </w:pPr>
    </w:p>
    <w:p>
      <w:pPr>
        <w:ind w:right="100" w:firstLine="385"/>
        <w:spacing w:after="0" w:line="271" w:lineRule="auto"/>
        <w:rPr>
          <w:sz w:val="20"/>
          <w:szCs w:val="20"/>
          <w:color w:val="auto"/>
        </w:rPr>
      </w:pPr>
      <w:r>
        <w:rPr>
          <w:rFonts w:ascii="Arial" w:cs="Arial" w:eastAsia="Arial" w:hAnsi="Arial"/>
          <w:sz w:val="18"/>
          <w:szCs w:val="18"/>
          <w:color w:val="auto"/>
        </w:rPr>
        <w:t>The consolidated financial statements and accompanying notes have been prepared in conformity with accounting principles generally accepted in the United States of America ("GAAP").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7" w:lineRule="exact"/>
        <w:rPr>
          <w:sz w:val="20"/>
          <w:szCs w:val="20"/>
          <w:color w:val="auto"/>
        </w:rPr>
      </w:pPr>
    </w:p>
    <w:p>
      <w:pPr>
        <w:ind w:right="160" w:firstLine="385"/>
        <w:spacing w:after="0" w:line="271" w:lineRule="auto"/>
        <w:rPr>
          <w:sz w:val="20"/>
          <w:szCs w:val="20"/>
          <w:color w:val="auto"/>
        </w:rPr>
      </w:pPr>
      <w:r>
        <w:rPr>
          <w:rFonts w:ascii="Arial" w:cs="Arial" w:eastAsia="Arial" w:hAnsi="Arial"/>
          <w:sz w:val="18"/>
          <w:szCs w:val="18"/>
          <w:color w:val="auto"/>
        </w:rPr>
        <w:t>The consolidated financial statements include the accounts of AngioDynamics and its subsidiaries (all of which are wholly owned). All intercompany balances and transactions have been eliminated.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7" w:lineRule="exact"/>
        <w:rPr>
          <w:sz w:val="20"/>
          <w:szCs w:val="20"/>
          <w:color w:val="auto"/>
        </w:rPr>
      </w:pPr>
    </w:p>
    <w:p>
      <w:pPr>
        <w:jc w:val="both"/>
        <w:ind w:right="320" w:firstLine="385"/>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7" w:lineRule="exact"/>
        <w:rPr>
          <w:sz w:val="20"/>
          <w:szCs w:val="20"/>
          <w:color w:val="auto"/>
        </w:rPr>
      </w:pPr>
    </w:p>
    <w:p>
      <w:pPr>
        <w:jc w:val="both"/>
        <w:ind w:right="180" w:firstLine="385"/>
        <w:spacing w:after="0" w:line="259" w:lineRule="auto"/>
        <w:rPr>
          <w:sz w:val="20"/>
          <w:szCs w:val="20"/>
          <w:color w:val="auto"/>
        </w:rPr>
      </w:pPr>
      <w:r>
        <w:rPr>
          <w:rFonts w:ascii="Arial" w:cs="Arial" w:eastAsia="Arial" w:hAnsi="Arial"/>
          <w:sz w:val="18"/>
          <w:szCs w:val="18"/>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Instruments</w:t>
      </w:r>
    </w:p>
    <w:p>
      <w:pPr>
        <w:spacing w:after="0" w:line="167" w:lineRule="exact"/>
        <w:rPr>
          <w:sz w:val="20"/>
          <w:szCs w:val="20"/>
          <w:color w:val="auto"/>
        </w:rPr>
      </w:pPr>
    </w:p>
    <w:p>
      <w:pPr>
        <w:ind w:right="100" w:firstLine="385"/>
        <w:spacing w:after="0" w:line="293" w:lineRule="auto"/>
        <w:rPr>
          <w:sz w:val="20"/>
          <w:szCs w:val="20"/>
          <w:color w:val="auto"/>
        </w:rPr>
      </w:pPr>
      <w:r>
        <w:rPr>
          <w:rFonts w:ascii="Arial" w:cs="Arial" w:eastAsia="Arial" w:hAnsi="Arial"/>
          <w:sz w:val="16"/>
          <w:szCs w:val="16"/>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The Company measures and records derivative financial instruments at fair value. See Note 5, "Fair Value of Financial Instruments" set forth in the Notes to our consolidated financial statements included in this Annual Report on Form 10-K, for further discussion of financial instruments that are carried at fair value on a recurring and nonrecurring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67" w:lineRule="exact"/>
        <w:rPr>
          <w:sz w:val="20"/>
          <w:szCs w:val="20"/>
          <w:color w:val="auto"/>
        </w:rPr>
      </w:pPr>
    </w:p>
    <w:p>
      <w:pPr>
        <w:ind w:firstLine="385"/>
        <w:spacing w:after="0" w:line="269" w:lineRule="auto"/>
        <w:rPr>
          <w:sz w:val="20"/>
          <w:szCs w:val="20"/>
          <w:color w:val="auto"/>
        </w:rPr>
      </w:pPr>
      <w:r>
        <w:rPr>
          <w:rFonts w:ascii="Arial" w:cs="Arial" w:eastAsia="Arial" w:hAnsi="Arial"/>
          <w:sz w:val="17"/>
          <w:szCs w:val="17"/>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 and the provisions established, the Company cannot guarantee that the same credit loss rates will be experienced in the future. The Company writes off accounts receivable when they are determined to be uncollectible.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4" w:lineRule="exact"/>
        <w:rPr>
          <w:sz w:val="20"/>
          <w:szCs w:val="20"/>
          <w:color w:val="auto"/>
        </w:rPr>
      </w:pPr>
    </w:p>
    <w:p>
      <w:pPr>
        <w:ind w:right="80" w:firstLine="385"/>
        <w:spacing w:after="0" w:line="244" w:lineRule="auto"/>
        <w:rPr>
          <w:sz w:val="20"/>
          <w:szCs w:val="20"/>
          <w:color w:val="auto"/>
        </w:rPr>
      </w:pPr>
      <w:r>
        <w:rPr>
          <w:rFonts w:ascii="Arial" w:cs="Arial" w:eastAsia="Arial" w:hAnsi="Arial"/>
          <w:sz w:val="18"/>
          <w:szCs w:val="18"/>
          <w:color w:val="auto"/>
        </w:rPr>
        <w:t>Inventories are stated at the lower of cost or net realizable value based on the first-in, first-out cost method and consist of raw materials, work in process and finished goods. The standard cost of finished goods and work-in-process inventory is composed of material, labor and manufacturing overhead, which approximates actual cost. In addition to stating inventory at the</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83" w:right="379" w:bottom="1440" w:gutter="0" w:footer="0" w:header="0"/>
        </w:sectPr>
      </w:pPr>
    </w:p>
    <w:bookmarkStart w:id="60" w:name="page61"/>
    <w:bookmarkEnd w:id="60"/>
    <w:p>
      <w:pPr>
        <w:ind w:right="320"/>
        <w:spacing w:after="0" w:line="259" w:lineRule="auto"/>
        <w:rPr>
          <w:sz w:val="20"/>
          <w:szCs w:val="20"/>
          <w:color w:val="auto"/>
        </w:rPr>
      </w:pPr>
      <w:r>
        <w:rPr>
          <w:rFonts w:ascii="Arial" w:cs="Arial" w:eastAsia="Arial" w:hAnsi="Arial"/>
          <w:sz w:val="17"/>
          <w:szCs w:val="17"/>
          <w:color w:val="auto"/>
        </w:rPr>
        <w:t>lower of cost or net realizable value, we also evaluate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An increase to inventory reserves results in a corresponding increase in cost of revenue. Inventories are written off against the reserve when they are physically disposed.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67" w:lineRule="exact"/>
        <w:rPr>
          <w:sz w:val="20"/>
          <w:szCs w:val="20"/>
          <w:color w:val="auto"/>
        </w:rPr>
      </w:pPr>
    </w:p>
    <w:p>
      <w:pPr>
        <w:ind w:right="180" w:firstLine="385"/>
        <w:spacing w:after="0" w:line="255"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Placement and evaluation units represent capital equipment placed at customer locations under placement or evaluation agreements for which depreciation expense is included in cost of sales on the Consolidated Statements of Operations. Refer below for useful lives by category: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5240" w:type="dxa"/>
            <w:vAlign w:val="bottom"/>
          </w:tcPr>
          <w:p>
            <w:pPr>
              <w:jc w:val="center"/>
              <w:ind w:left="2951"/>
              <w:spacing w:after="0"/>
              <w:rPr>
                <w:sz w:val="20"/>
                <w:szCs w:val="20"/>
                <w:color w:val="auto"/>
              </w:rPr>
            </w:pPr>
            <w:r>
              <w:rPr>
                <w:rFonts w:ascii="Arial" w:cs="Arial" w:eastAsia="Arial" w:hAnsi="Arial"/>
                <w:sz w:val="18"/>
                <w:szCs w:val="18"/>
                <w:color w:val="auto"/>
                <w:w w:val="89"/>
              </w:rPr>
              <w:t>Estimated useful lives</w:t>
            </w:r>
          </w:p>
        </w:tc>
      </w:tr>
      <w:tr>
        <w:trPr>
          <w:trHeight w:val="228"/>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building improvements</w:t>
            </w:r>
          </w:p>
        </w:tc>
        <w:tc>
          <w:tcPr>
            <w:tcW w:w="5240" w:type="dxa"/>
            <w:vAlign w:val="bottom"/>
            <w:shd w:val="clear" w:color="auto" w:fill="CCEEFF"/>
          </w:tcPr>
          <w:p>
            <w:pPr>
              <w:jc w:val="center"/>
              <w:ind w:left="2951"/>
              <w:spacing w:after="0"/>
              <w:rPr>
                <w:sz w:val="20"/>
                <w:szCs w:val="20"/>
                <w:color w:val="auto"/>
              </w:rPr>
            </w:pPr>
            <w:r>
              <w:rPr>
                <w:rFonts w:ascii="Arial" w:cs="Arial" w:eastAsia="Arial" w:hAnsi="Arial"/>
                <w:sz w:val="18"/>
                <w:szCs w:val="18"/>
                <w:color w:val="auto"/>
                <w:w w:val="88"/>
              </w:rPr>
              <w:t>4 to 39 years</w:t>
            </w:r>
          </w:p>
        </w:tc>
      </w:tr>
      <w:tr>
        <w:trPr>
          <w:trHeight w:val="234"/>
        </w:trPr>
        <w:tc>
          <w:tcPr>
            <w:tcW w:w="6000" w:type="dxa"/>
            <w:vAlign w:val="bottom"/>
          </w:tcPr>
          <w:p>
            <w:pPr>
              <w:ind w:left="20"/>
              <w:spacing w:after="0"/>
              <w:rPr>
                <w:sz w:val="20"/>
                <w:szCs w:val="20"/>
                <w:color w:val="auto"/>
              </w:rPr>
            </w:pPr>
            <w:r>
              <w:rPr>
                <w:rFonts w:ascii="Arial" w:cs="Arial" w:eastAsia="Arial" w:hAnsi="Arial"/>
                <w:sz w:val="18"/>
                <w:szCs w:val="18"/>
                <w:color w:val="auto"/>
              </w:rPr>
              <w:t>Computer software and equipment</w:t>
            </w:r>
          </w:p>
        </w:tc>
        <w:tc>
          <w:tcPr>
            <w:tcW w:w="5240" w:type="dxa"/>
            <w:vAlign w:val="bottom"/>
          </w:tcPr>
          <w:p>
            <w:pPr>
              <w:jc w:val="center"/>
              <w:ind w:left="2951"/>
              <w:spacing w:after="0"/>
              <w:rPr>
                <w:sz w:val="20"/>
                <w:szCs w:val="20"/>
                <w:color w:val="auto"/>
              </w:rPr>
            </w:pPr>
            <w:r>
              <w:rPr>
                <w:rFonts w:ascii="Arial" w:cs="Arial" w:eastAsia="Arial" w:hAnsi="Arial"/>
                <w:sz w:val="18"/>
                <w:szCs w:val="18"/>
                <w:color w:val="auto"/>
                <w:w w:val="89"/>
              </w:rPr>
              <w:t>2 to 5 years</w:t>
            </w:r>
          </w:p>
        </w:tc>
      </w:tr>
      <w:tr>
        <w:trPr>
          <w:trHeight w:val="23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5240" w:type="dxa"/>
            <w:vAlign w:val="bottom"/>
            <w:shd w:val="clear" w:color="auto" w:fill="CCEEFF"/>
          </w:tcPr>
          <w:p>
            <w:pPr>
              <w:jc w:val="center"/>
              <w:ind w:left="2951"/>
              <w:spacing w:after="0"/>
              <w:rPr>
                <w:sz w:val="20"/>
                <w:szCs w:val="20"/>
                <w:color w:val="auto"/>
              </w:rPr>
            </w:pPr>
            <w:r>
              <w:rPr>
                <w:rFonts w:ascii="Arial" w:cs="Arial" w:eastAsia="Arial" w:hAnsi="Arial"/>
                <w:sz w:val="18"/>
                <w:szCs w:val="18"/>
                <w:color w:val="auto"/>
                <w:w w:val="89"/>
              </w:rPr>
              <w:t>5 to 8 years</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Placement and evaluation units</w:t>
            </w:r>
          </w:p>
        </w:tc>
        <w:tc>
          <w:tcPr>
            <w:tcW w:w="5240" w:type="dxa"/>
            <w:vAlign w:val="bottom"/>
          </w:tcPr>
          <w:p>
            <w:pPr>
              <w:jc w:val="center"/>
              <w:ind w:left="2951"/>
              <w:spacing w:after="0"/>
              <w:rPr>
                <w:sz w:val="20"/>
                <w:szCs w:val="20"/>
                <w:color w:val="auto"/>
              </w:rPr>
            </w:pPr>
            <w:r>
              <w:rPr>
                <w:rFonts w:ascii="Arial" w:cs="Arial" w:eastAsia="Arial" w:hAnsi="Arial"/>
                <w:sz w:val="18"/>
                <w:szCs w:val="18"/>
                <w:color w:val="auto"/>
                <w:w w:val="88"/>
              </w:rPr>
              <w:t>5 years</w:t>
            </w:r>
          </w:p>
        </w:tc>
      </w:tr>
    </w:tbl>
    <w:p>
      <w:pPr>
        <w:spacing w:after="0" w:line="147"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67" w:lineRule="exact"/>
        <w:rPr>
          <w:sz w:val="20"/>
          <w:szCs w:val="20"/>
          <w:color w:val="auto"/>
        </w:rPr>
      </w:pPr>
    </w:p>
    <w:p>
      <w:pPr>
        <w:ind w:firstLine="385"/>
        <w:spacing w:after="0" w:line="284" w:lineRule="auto"/>
        <w:rPr>
          <w:sz w:val="20"/>
          <w:szCs w:val="20"/>
          <w:color w:val="auto"/>
        </w:rPr>
      </w:pPr>
      <w:r>
        <w:rPr>
          <w:rFonts w:ascii="Arial" w:cs="Arial" w:eastAsia="Arial" w:hAnsi="Arial"/>
          <w:sz w:val="16"/>
          <w:szCs w:val="16"/>
          <w:color w:val="auto"/>
        </w:rPr>
        <w:t>Intangible assets other than goodwill, indefinite lived intangible assets and in process research and development ("IP R&amp;D") are amortized over their estimated useful lives, which range between two to eighteen years, on a straight-line basis over the expected period of benefit.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Prior to the first quarter of fiscal year 2023, the Company managed its operations as one reporting unit. At the beginning of the first quarter of fiscal year 2023, the Company began to manage its operations as two operating segments and two reporting units, namely Med Tech and Med Device (see Note 18 "Segments and Geographic Information" set forth in the Notes to our consolidated financial statements included in this Annual Report on Form 10-K).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16" w:lineRule="exact"/>
        <w:rPr>
          <w:sz w:val="20"/>
          <w:szCs w:val="20"/>
          <w:color w:val="auto"/>
        </w:rPr>
      </w:pPr>
    </w:p>
    <w:p>
      <w:pPr>
        <w:ind w:right="300" w:firstLine="385"/>
        <w:spacing w:after="0" w:line="255"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37" w:lineRule="exact"/>
        <w:rPr>
          <w:sz w:val="20"/>
          <w:szCs w:val="20"/>
          <w:color w:val="auto"/>
        </w:rPr>
      </w:pPr>
    </w:p>
    <w:p>
      <w:pPr>
        <w:ind w:right="180" w:firstLine="401"/>
        <w:spacing w:after="0" w:line="270" w:lineRule="auto"/>
        <w:rPr>
          <w:sz w:val="20"/>
          <w:szCs w:val="20"/>
          <w:color w:val="auto"/>
        </w:rPr>
      </w:pPr>
      <w:r>
        <w:rPr>
          <w:rFonts w:ascii="Arial" w:cs="Arial" w:eastAsia="Arial" w:hAnsi="Arial"/>
          <w:sz w:val="17"/>
          <w:szCs w:val="17"/>
          <w:color w:val="auto"/>
        </w:rPr>
        <w:t>For goodwill, the impairment test requires a comparison of the estimated fair value of each reporting unit to which the goodwill is assigned to the carrying value of the assets and liabilities of those reporting units. The determination of reporting units also requires management judgment. The Company considers whether a reporting unit exists within a reportable segment based on the availability of discrete financial information. The Company operates as two operating segments with two reporting units and consequently evaluates goodwill for impairment based on an evaluation of the fair value of each reporting unit. If the carrying value of the reporting units exceed the fair value, the carrying value is reduced to its fair value through an adjustment to the goodwill balance, resulting in an impairment charge.</w:t>
      </w:r>
    </w:p>
    <w:p>
      <w:pPr>
        <w:spacing w:after="0" w:line="125" w:lineRule="exact"/>
        <w:rPr>
          <w:sz w:val="20"/>
          <w:szCs w:val="20"/>
          <w:color w:val="auto"/>
        </w:rPr>
      </w:pPr>
    </w:p>
    <w:p>
      <w:pPr>
        <w:ind w:right="200" w:firstLine="401"/>
        <w:spacing w:after="0" w:line="259" w:lineRule="auto"/>
        <w:rPr>
          <w:sz w:val="20"/>
          <w:szCs w:val="20"/>
          <w:color w:val="auto"/>
        </w:rPr>
      </w:pPr>
      <w:r>
        <w:rPr>
          <w:rFonts w:ascii="Arial" w:cs="Arial" w:eastAsia="Arial" w:hAnsi="Arial"/>
          <w:sz w:val="18"/>
          <w:szCs w:val="18"/>
          <w:color w:val="auto"/>
        </w:rPr>
        <w:t>As detailed in Note 9, "Goodwill and Intangible Assets" set forth in the Notes to our consolidated financial statements included in this Annual Report on Form 10-K, the Company recorded a goodwill impairment loss of $14.5 million for the year ended May 31, 2023 as the fair value of the Med Device reporting unit was less than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67"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7" w:lineRule="exact"/>
        <w:rPr>
          <w:sz w:val="20"/>
          <w:szCs w:val="20"/>
          <w:color w:val="auto"/>
        </w:rPr>
      </w:pPr>
    </w:p>
    <w:p>
      <w:pPr>
        <w:ind w:right="60" w:firstLine="385"/>
        <w:spacing w:after="0" w:line="307" w:lineRule="auto"/>
        <w:rPr>
          <w:sz w:val="20"/>
          <w:szCs w:val="20"/>
          <w:color w:val="auto"/>
        </w:rPr>
      </w:pPr>
      <w:r>
        <w:rPr>
          <w:rFonts w:ascii="Arial" w:cs="Arial" w:eastAsia="Arial" w:hAnsi="Arial"/>
          <w:sz w:val="16"/>
          <w:szCs w:val="16"/>
          <w:color w:val="auto"/>
        </w:rPr>
        <w:t>The Company recognizes revenue when it transfers control of promised goods or services to its customers in an amount that reflects the consideration to which the Company expects to be entitled to in exchange for those goods and services. See Note 4, “Revenue from Contracts with Customers” set forth in the Notes to our consolidated financial statements included in this Annual Report on Form 10-K for further discussion on revenue.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7" w:lineRule="exact"/>
        <w:rPr>
          <w:sz w:val="20"/>
          <w:szCs w:val="20"/>
          <w:color w:val="auto"/>
        </w:rPr>
      </w:pPr>
    </w:p>
    <w:p>
      <w:pPr>
        <w:ind w:right="140" w:firstLine="385"/>
        <w:spacing w:after="0" w:line="259" w:lineRule="auto"/>
        <w:rPr>
          <w:sz w:val="20"/>
          <w:szCs w:val="20"/>
          <w:color w:val="auto"/>
        </w:rPr>
      </w:pPr>
      <w:r>
        <w:rPr>
          <w:rFonts w:ascii="Arial" w:cs="Arial" w:eastAsia="Arial" w:hAnsi="Arial"/>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7" w:lineRule="exact"/>
        <w:rPr>
          <w:sz w:val="20"/>
          <w:szCs w:val="20"/>
          <w:color w:val="auto"/>
        </w:rPr>
      </w:pPr>
    </w:p>
    <w:p>
      <w:pPr>
        <w:ind w:right="20" w:firstLine="385"/>
        <w:spacing w:after="0" w:line="293" w:lineRule="auto"/>
        <w:rPr>
          <w:sz w:val="20"/>
          <w:szCs w:val="20"/>
          <w:color w:val="auto"/>
        </w:rPr>
      </w:pPr>
      <w:r>
        <w:rPr>
          <w:rFonts w:ascii="Arial" w:cs="Arial" w:eastAsia="Arial" w:hAnsi="Arial"/>
          <w:sz w:val="16"/>
          <w:szCs w:val="16"/>
          <w:color w:val="auto"/>
        </w:rPr>
        <w:t>The Company calculates income tax expense for each jurisdiction in which it operates. This involves estimating actual current taxes due plus assessing temporary differences arising from differing treatment for tax and accounting purposes that are 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Statements of Operations.</w:t>
      </w:r>
    </w:p>
    <w:p>
      <w:pPr>
        <w:spacing w:after="0" w:line="107" w:lineRule="exact"/>
        <w:rPr>
          <w:sz w:val="20"/>
          <w:szCs w:val="20"/>
          <w:color w:val="auto"/>
        </w:rPr>
      </w:pPr>
    </w:p>
    <w:p>
      <w:pPr>
        <w:ind w:right="20" w:firstLine="385"/>
        <w:spacing w:after="0" w:line="253"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7" w:lineRule="exact"/>
        <w:rPr>
          <w:sz w:val="20"/>
          <w:szCs w:val="20"/>
          <w:color w:val="auto"/>
        </w:rPr>
      </w:pPr>
    </w:p>
    <w:p>
      <w:pPr>
        <w:ind w:right="80" w:firstLine="385"/>
        <w:spacing w:after="0" w:line="269" w:lineRule="auto"/>
        <w:rPr>
          <w:sz w:val="20"/>
          <w:szCs w:val="20"/>
          <w:color w:val="auto"/>
        </w:rPr>
      </w:pPr>
      <w:r>
        <w:rPr>
          <w:rFonts w:ascii="Arial" w:cs="Arial" w:eastAsia="Arial" w:hAnsi="Arial"/>
          <w:sz w:val="17"/>
          <w:szCs w:val="17"/>
          <w:color w:val="auto"/>
        </w:rPr>
        <w:t>Stock-based compensation expense reflects the fair value of stock-based awards measured at the grant date and recognized over the relevant service period. The expense recognized includes the impact of forfeitures as they occur.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67" w:lineRule="exact"/>
        <w:rPr>
          <w:sz w:val="20"/>
          <w:szCs w:val="20"/>
          <w:color w:val="auto"/>
        </w:rPr>
      </w:pPr>
    </w:p>
    <w:p>
      <w:pPr>
        <w:ind w:right="140" w:firstLine="385"/>
        <w:spacing w:after="0" w:line="275" w:lineRule="auto"/>
        <w:rPr>
          <w:sz w:val="20"/>
          <w:szCs w:val="20"/>
          <w:color w:val="auto"/>
        </w:rPr>
      </w:pPr>
      <w:r>
        <w:rPr>
          <w:rFonts w:ascii="Arial" w:cs="Arial" w:eastAsia="Arial" w:hAnsi="Arial"/>
          <w:sz w:val="17"/>
          <w:szCs w:val="17"/>
          <w:color w:val="auto"/>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07" w:lineRule="exact"/>
        <w:rPr>
          <w:sz w:val="20"/>
          <w:szCs w:val="20"/>
          <w:color w:val="auto"/>
        </w:rPr>
      </w:pPr>
    </w:p>
    <w:p>
      <w:pPr>
        <w:ind w:right="140" w:firstLine="385"/>
        <w:spacing w:after="0" w:line="255" w:lineRule="auto"/>
        <w:rPr>
          <w:sz w:val="20"/>
          <w:szCs w:val="20"/>
          <w:color w:val="auto"/>
        </w:rPr>
      </w:pPr>
      <w:r>
        <w:rPr>
          <w:rFonts w:ascii="Arial" w:cs="Arial" w:eastAsia="Arial" w:hAnsi="Arial"/>
          <w:sz w:val="18"/>
          <w:szCs w:val="18"/>
          <w:color w:val="auto"/>
        </w:rPr>
        <w:t>Transaction gains or losses that arise from exchange rate fluctuations on transactions denominated in a currency other than the functional currency are included in Other income (expense), net in the Consolidated Statements of Operations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67" w:lineRule="exact"/>
        <w:rPr>
          <w:sz w:val="20"/>
          <w:szCs w:val="20"/>
          <w:color w:val="auto"/>
        </w:rPr>
      </w:pPr>
    </w:p>
    <w:p>
      <w:pPr>
        <w:ind w:right="580" w:firstLine="385"/>
        <w:spacing w:after="0" w:line="271" w:lineRule="auto"/>
        <w:rPr>
          <w:sz w:val="20"/>
          <w:szCs w:val="20"/>
          <w:color w:val="auto"/>
        </w:rPr>
      </w:pPr>
      <w:r>
        <w:rPr>
          <w:rFonts w:ascii="Arial" w:cs="Arial" w:eastAsia="Arial" w:hAnsi="Arial"/>
          <w:sz w:val="18"/>
          <w:szCs w:val="18"/>
          <w:color w:val="auto"/>
        </w:rPr>
        <w:t>The Company is exposed to market risks, including changes in foreign currency and interest rates. The Company periodically enters into certain derivative financial instruments to hedge the underlying economic exposure.</w:t>
      </w:r>
    </w:p>
    <w:p>
      <w:pPr>
        <w:spacing w:after="0" w:line="121" w:lineRule="exact"/>
        <w:rPr>
          <w:sz w:val="20"/>
          <w:szCs w:val="20"/>
          <w:color w:val="auto"/>
        </w:rPr>
      </w:pPr>
    </w:p>
    <w:p>
      <w:pPr>
        <w:ind w:right="60" w:firstLine="385"/>
        <w:spacing w:after="0" w:line="251" w:lineRule="auto"/>
        <w:rPr>
          <w:sz w:val="20"/>
          <w:szCs w:val="20"/>
          <w:color w:val="auto"/>
        </w:rPr>
      </w:pPr>
      <w:r>
        <w:rPr>
          <w:rFonts w:ascii="Arial" w:cs="Arial" w:eastAsia="Arial" w:hAnsi="Arial"/>
          <w:sz w:val="18"/>
          <w:szCs w:val="18"/>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 extent they are effective as hedges, are recorded in accumulated other comprehensive income (loss). There were no derivative instruments held by the Company as of May 31, 2023 and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7" w:lineRule="exact"/>
        <w:rPr>
          <w:sz w:val="20"/>
          <w:szCs w:val="20"/>
          <w:color w:val="auto"/>
        </w:rPr>
      </w:pPr>
    </w:p>
    <w:p>
      <w:pPr>
        <w:ind w:right="60" w:firstLine="385"/>
        <w:spacing w:after="0" w:line="253" w:lineRule="auto"/>
        <w:rPr>
          <w:sz w:val="20"/>
          <w:szCs w:val="20"/>
          <w:color w:val="auto"/>
        </w:rPr>
      </w:pPr>
      <w:r>
        <w:rPr>
          <w:rFonts w:ascii="Arial" w:cs="Arial" w:eastAsia="Arial" w:hAnsi="Arial"/>
          <w:sz w:val="18"/>
          <w:szCs w:val="18"/>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Standard</w:t>
            </w:r>
          </w:p>
        </w:tc>
        <w:tc>
          <w:tcPr>
            <w:tcW w:w="3800" w:type="dxa"/>
            <w:vAlign w:val="bottom"/>
          </w:tcPr>
          <w:p>
            <w:pPr>
              <w:ind w:left="150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Effective Date</w:t>
            </w:r>
          </w:p>
        </w:tc>
        <w:tc>
          <w:tcPr>
            <w:tcW w:w="40" w:type="dxa"/>
            <w:vAlign w:val="bottom"/>
          </w:tcPr>
          <w:p>
            <w:pPr>
              <w:spacing w:after="0"/>
              <w:rPr>
                <w:sz w:val="16"/>
                <w:szCs w:val="16"/>
                <w:color w:val="auto"/>
              </w:rPr>
            </w:pPr>
          </w:p>
        </w:tc>
        <w:tc>
          <w:tcPr>
            <w:tcW w:w="3760" w:type="dxa"/>
            <w:vAlign w:val="bottom"/>
            <w:gridSpan w:val="3"/>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5"/>
        </w:trPr>
        <w:tc>
          <w:tcPr>
            <w:tcW w:w="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7"/>
        </w:trPr>
        <w:tc>
          <w:tcPr>
            <w:tcW w:w="2420" w:type="dxa"/>
            <w:vAlign w:val="bottom"/>
            <w:tcBorders>
              <w:right w:val="single" w:sz="8" w:color="auto"/>
            </w:tcBorders>
            <w:gridSpan w:val="2"/>
          </w:tcPr>
          <w:p>
            <w:pPr>
              <w:ind w:left="20"/>
              <w:spacing w:after="0" w:line="167" w:lineRule="exact"/>
              <w:rPr>
                <w:sz w:val="20"/>
                <w:szCs w:val="20"/>
                <w:color w:val="auto"/>
              </w:rPr>
            </w:pPr>
            <w:r>
              <w:rPr>
                <w:rFonts w:ascii="Arial" w:cs="Arial" w:eastAsia="Arial" w:hAnsi="Arial"/>
                <w:sz w:val="18"/>
                <w:szCs w:val="18"/>
                <w:color w:val="auto"/>
              </w:rPr>
              <w:t>ASU 2021-10, Government</w:t>
            </w:r>
          </w:p>
        </w:tc>
        <w:tc>
          <w:tcPr>
            <w:tcW w:w="3800" w:type="dxa"/>
            <w:vAlign w:val="bottom"/>
            <w:tcBorders>
              <w:right w:val="single" w:sz="8" w:color="auto"/>
            </w:tcBorders>
          </w:tcPr>
          <w:p>
            <w:pPr>
              <w:spacing w:after="0" w:line="167" w:lineRule="exact"/>
              <w:rPr>
                <w:sz w:val="20"/>
                <w:szCs w:val="20"/>
                <w:color w:val="auto"/>
              </w:rPr>
            </w:pPr>
            <w:r>
              <w:rPr>
                <w:rFonts w:ascii="Arial" w:cs="Arial" w:eastAsia="Arial" w:hAnsi="Arial"/>
                <w:sz w:val="18"/>
                <w:szCs w:val="18"/>
                <w:color w:val="auto"/>
                <w:w w:val="90"/>
              </w:rPr>
              <w:t>This ASU increases the transparency of government</w:t>
            </w:r>
          </w:p>
        </w:tc>
        <w:tc>
          <w:tcPr>
            <w:tcW w:w="1220" w:type="dxa"/>
            <w:vAlign w:val="bottom"/>
            <w:tcBorders>
              <w:right w:val="single" w:sz="8" w:color="auto"/>
            </w:tcBorders>
          </w:tcPr>
          <w:p>
            <w:pPr>
              <w:ind w:left="140"/>
              <w:spacing w:after="0" w:line="167" w:lineRule="exact"/>
              <w:rPr>
                <w:sz w:val="20"/>
                <w:szCs w:val="20"/>
                <w:color w:val="auto"/>
              </w:rPr>
            </w:pPr>
            <w:r>
              <w:rPr>
                <w:rFonts w:ascii="Arial" w:cs="Arial" w:eastAsia="Arial" w:hAnsi="Arial"/>
                <w:sz w:val="18"/>
                <w:szCs w:val="18"/>
                <w:color w:val="auto"/>
                <w:w w:val="99"/>
              </w:rPr>
              <w:t>June 1, 2022</w:t>
            </w:r>
          </w:p>
        </w:tc>
        <w:tc>
          <w:tcPr>
            <w:tcW w:w="3740" w:type="dxa"/>
            <w:vAlign w:val="bottom"/>
            <w:gridSpan w:val="2"/>
          </w:tcPr>
          <w:p>
            <w:pPr>
              <w:ind w:left="20"/>
              <w:spacing w:after="0" w:line="167" w:lineRule="exact"/>
              <w:rPr>
                <w:sz w:val="20"/>
                <w:szCs w:val="20"/>
                <w:color w:val="auto"/>
              </w:rPr>
            </w:pPr>
            <w:r>
              <w:rPr>
                <w:rFonts w:ascii="Arial" w:cs="Arial" w:eastAsia="Arial" w:hAnsi="Arial"/>
                <w:sz w:val="18"/>
                <w:szCs w:val="18"/>
                <w:color w:val="auto"/>
                <w:w w:val="90"/>
              </w:rPr>
              <w:t>The Company adopted the new standard in the first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2420" w:type="dxa"/>
            <w:vAlign w:val="bottom"/>
            <w:tcBorders>
              <w:right w:val="single" w:sz="8" w:color="auto"/>
            </w:tcBorders>
            <w:gridSpan w:val="2"/>
          </w:tcPr>
          <w:p>
            <w:pPr>
              <w:ind w:left="20"/>
              <w:spacing w:after="0" w:line="188" w:lineRule="exact"/>
              <w:rPr>
                <w:sz w:val="20"/>
                <w:szCs w:val="20"/>
                <w:color w:val="auto"/>
              </w:rPr>
            </w:pPr>
            <w:r>
              <w:rPr>
                <w:rFonts w:ascii="Arial" w:cs="Arial" w:eastAsia="Arial" w:hAnsi="Arial"/>
                <w:sz w:val="18"/>
                <w:szCs w:val="18"/>
                <w:color w:val="auto"/>
              </w:rPr>
              <w:t>Assistance (Topic 832):</w:t>
            </w:r>
          </w:p>
        </w:tc>
        <w:tc>
          <w:tcPr>
            <w:tcW w:w="380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w w:val="92"/>
              </w:rPr>
              <w:t>assistance to include the disclosure of (1) the types</w:t>
            </w:r>
          </w:p>
        </w:tc>
        <w:tc>
          <w:tcPr>
            <w:tcW w:w="1220" w:type="dxa"/>
            <w:vAlign w:val="bottom"/>
            <w:tcBorders>
              <w:right w:val="single" w:sz="8" w:color="auto"/>
            </w:tcBorders>
          </w:tcPr>
          <w:p>
            <w:pPr>
              <w:spacing w:after="0"/>
              <w:rPr>
                <w:sz w:val="16"/>
                <w:szCs w:val="16"/>
                <w:color w:val="auto"/>
              </w:rPr>
            </w:pPr>
          </w:p>
        </w:tc>
        <w:tc>
          <w:tcPr>
            <w:tcW w:w="3800" w:type="dxa"/>
            <w:vAlign w:val="bottom"/>
            <w:gridSpan w:val="4"/>
          </w:tcPr>
          <w:p>
            <w:pPr>
              <w:ind w:left="20"/>
              <w:spacing w:after="0" w:line="188" w:lineRule="exact"/>
              <w:rPr>
                <w:sz w:val="20"/>
                <w:szCs w:val="20"/>
                <w:color w:val="auto"/>
              </w:rPr>
            </w:pPr>
            <w:r>
              <w:rPr>
                <w:rFonts w:ascii="Arial" w:cs="Arial" w:eastAsia="Arial" w:hAnsi="Arial"/>
                <w:sz w:val="18"/>
                <w:szCs w:val="18"/>
                <w:color w:val="auto"/>
                <w:w w:val="97"/>
              </w:rPr>
              <w:t>quarter of fiscal year 2023 and it did not have an</w:t>
            </w:r>
          </w:p>
        </w:tc>
      </w:tr>
      <w:tr>
        <w:trPr>
          <w:trHeight w:val="187"/>
        </w:trPr>
        <w:tc>
          <w:tcPr>
            <w:tcW w:w="2420" w:type="dxa"/>
            <w:vAlign w:val="bottom"/>
            <w:tcBorders>
              <w:right w:val="single" w:sz="8" w:color="auto"/>
            </w:tcBorders>
            <w:gridSpan w:val="2"/>
          </w:tcPr>
          <w:p>
            <w:pPr>
              <w:ind w:left="20"/>
              <w:spacing w:after="0" w:line="188" w:lineRule="exact"/>
              <w:rPr>
                <w:sz w:val="20"/>
                <w:szCs w:val="20"/>
                <w:color w:val="auto"/>
              </w:rPr>
            </w:pPr>
            <w:r>
              <w:rPr>
                <w:rFonts w:ascii="Arial" w:cs="Arial" w:eastAsia="Arial" w:hAnsi="Arial"/>
                <w:sz w:val="18"/>
                <w:szCs w:val="18"/>
                <w:color w:val="auto"/>
                <w:w w:val="91"/>
              </w:rPr>
              <w:t>Disclosures by Business Entities</w:t>
            </w:r>
          </w:p>
        </w:tc>
        <w:tc>
          <w:tcPr>
            <w:tcW w:w="380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of assistance, (2) an entity's accounting for the</w:t>
            </w:r>
          </w:p>
        </w:tc>
        <w:tc>
          <w:tcPr>
            <w:tcW w:w="1220" w:type="dxa"/>
            <w:vAlign w:val="bottom"/>
            <w:tcBorders>
              <w:right w:val="single" w:sz="8" w:color="auto"/>
            </w:tcBorders>
          </w:tcPr>
          <w:p>
            <w:pPr>
              <w:spacing w:after="0"/>
              <w:rPr>
                <w:sz w:val="16"/>
                <w:szCs w:val="16"/>
                <w:color w:val="auto"/>
              </w:rPr>
            </w:pPr>
          </w:p>
        </w:tc>
        <w:tc>
          <w:tcPr>
            <w:tcW w:w="3800" w:type="dxa"/>
            <w:vAlign w:val="bottom"/>
            <w:gridSpan w:val="4"/>
          </w:tcPr>
          <w:p>
            <w:pPr>
              <w:ind w:left="20"/>
              <w:spacing w:after="0" w:line="188" w:lineRule="exact"/>
              <w:rPr>
                <w:sz w:val="20"/>
                <w:szCs w:val="20"/>
                <w:color w:val="auto"/>
              </w:rPr>
            </w:pPr>
            <w:r>
              <w:rPr>
                <w:rFonts w:ascii="Arial" w:cs="Arial" w:eastAsia="Arial" w:hAnsi="Arial"/>
                <w:sz w:val="18"/>
                <w:szCs w:val="18"/>
                <w:color w:val="auto"/>
                <w:w w:val="99"/>
              </w:rPr>
              <w:t>impact on the Company's consolidated financial</w:t>
            </w:r>
          </w:p>
        </w:tc>
      </w:tr>
      <w:tr>
        <w:trPr>
          <w:trHeight w:val="213"/>
        </w:trPr>
        <w:tc>
          <w:tcPr>
            <w:tcW w:w="2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about Government Assistance</w:t>
            </w:r>
          </w:p>
        </w:tc>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assistance, and (3) the effect of the assistance on an</w:t>
            </w:r>
          </w:p>
        </w:tc>
        <w:tc>
          <w:tcPr>
            <w:tcW w:w="1220" w:type="dxa"/>
            <w:vAlign w:val="bottom"/>
            <w:tcBorders>
              <w:right w:val="single" w:sz="8" w:color="auto"/>
            </w:tcBorders>
          </w:tcPr>
          <w:p>
            <w:pPr>
              <w:spacing w:after="0"/>
              <w:rPr>
                <w:sz w:val="18"/>
                <w:szCs w:val="18"/>
                <w:color w:val="auto"/>
              </w:rPr>
            </w:pPr>
          </w:p>
        </w:tc>
        <w:tc>
          <w:tcPr>
            <w:tcW w:w="3800" w:type="dxa"/>
            <w:vAlign w:val="bottom"/>
            <w:gridSpan w:val="4"/>
          </w:tcPr>
          <w:p>
            <w:pPr>
              <w:ind w:left="20"/>
              <w:spacing w:after="0"/>
              <w:rPr>
                <w:sz w:val="20"/>
                <w:szCs w:val="20"/>
                <w:color w:val="auto"/>
              </w:rPr>
            </w:pPr>
            <w:r>
              <w:rPr>
                <w:rFonts w:ascii="Arial" w:cs="Arial" w:eastAsia="Arial" w:hAnsi="Arial"/>
                <w:sz w:val="18"/>
                <w:szCs w:val="18"/>
                <w:color w:val="auto"/>
              </w:rPr>
              <w:t>statements.</w:t>
            </w:r>
          </w:p>
        </w:tc>
      </w:tr>
      <w:tr>
        <w:trPr>
          <w:trHeight w:val="235"/>
        </w:trPr>
        <w:tc>
          <w:tcPr>
            <w:tcW w:w="4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entity's financial statements.</w:t>
            </w:r>
          </w:p>
        </w:tc>
        <w:tc>
          <w:tcPr>
            <w:tcW w:w="12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40"/>
        </w:trPr>
        <w:tc>
          <w:tcPr>
            <w:tcW w:w="40" w:type="dxa"/>
            <w:vAlign w:val="bottom"/>
          </w:tcPr>
          <w:p>
            <w:pPr>
              <w:spacing w:after="0"/>
              <w:rPr>
                <w:sz w:val="24"/>
                <w:szCs w:val="24"/>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Recently Issued Accounting Pronouncements - Not Yet Applicable or Adopted</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2380" w:type="dxa"/>
            <w:vAlign w:val="bottom"/>
          </w:tcPr>
          <w:p>
            <w:pPr>
              <w:ind w:left="900"/>
              <w:spacing w:after="0"/>
              <w:rPr>
                <w:sz w:val="20"/>
                <w:szCs w:val="20"/>
                <w:color w:val="auto"/>
              </w:rPr>
            </w:pPr>
            <w:r>
              <w:rPr>
                <w:rFonts w:ascii="Arial" w:cs="Arial" w:eastAsia="Arial" w:hAnsi="Arial"/>
                <w:sz w:val="14"/>
                <w:szCs w:val="14"/>
                <w:b w:val="1"/>
                <w:bCs w:val="1"/>
                <w:color w:val="auto"/>
              </w:rPr>
              <w:t>Standard</w:t>
            </w:r>
          </w:p>
        </w:tc>
        <w:tc>
          <w:tcPr>
            <w:tcW w:w="3800" w:type="dxa"/>
            <w:vAlign w:val="bottom"/>
          </w:tcPr>
          <w:p>
            <w:pPr>
              <w:ind w:left="154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Pr>
          <w:p>
            <w:pPr>
              <w:ind w:left="200"/>
              <w:spacing w:after="0"/>
              <w:rPr>
                <w:sz w:val="20"/>
                <w:szCs w:val="20"/>
                <w:color w:val="auto"/>
              </w:rPr>
            </w:pPr>
            <w:r>
              <w:rPr>
                <w:rFonts w:ascii="Arial" w:cs="Arial" w:eastAsia="Arial" w:hAnsi="Arial"/>
                <w:sz w:val="14"/>
                <w:szCs w:val="14"/>
                <w:b w:val="1"/>
                <w:bCs w:val="1"/>
                <w:color w:val="auto"/>
              </w:rPr>
              <w:t>Effective Date</w:t>
            </w:r>
          </w:p>
        </w:tc>
        <w:tc>
          <w:tcPr>
            <w:tcW w:w="40" w:type="dxa"/>
            <w:vAlign w:val="bottom"/>
          </w:tcPr>
          <w:p>
            <w:pPr>
              <w:spacing w:after="0"/>
              <w:rPr>
                <w:sz w:val="16"/>
                <w:szCs w:val="16"/>
                <w:color w:val="auto"/>
              </w:rPr>
            </w:pPr>
          </w:p>
        </w:tc>
        <w:tc>
          <w:tcPr>
            <w:tcW w:w="3760" w:type="dxa"/>
            <w:vAlign w:val="bottom"/>
            <w:gridSpan w:val="3"/>
          </w:tcPr>
          <w:p>
            <w:pPr>
              <w:ind w:left="40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5"/>
        </w:trPr>
        <w:tc>
          <w:tcPr>
            <w:tcW w:w="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7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67"/>
        </w:trPr>
        <w:tc>
          <w:tcPr>
            <w:tcW w:w="4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w:t>
            </w:r>
          </w:p>
        </w:tc>
        <w:tc>
          <w:tcPr>
            <w:tcW w:w="38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9"/>
              </w:rPr>
              <w:t>This ASU improves the accounting for acquired</w:t>
            </w:r>
          </w:p>
        </w:tc>
        <w:tc>
          <w:tcPr>
            <w:tcW w:w="1260" w:type="dxa"/>
            <w:vAlign w:val="bottom"/>
            <w:tcBorders>
              <w:right w:val="single" w:sz="8" w:color="auto"/>
            </w:tcBorders>
            <w:gridSpan w:val="2"/>
          </w:tcPr>
          <w:p>
            <w:pPr>
              <w:ind w:left="160"/>
              <w:spacing w:after="0" w:line="167" w:lineRule="exact"/>
              <w:rPr>
                <w:sz w:val="20"/>
                <w:szCs w:val="20"/>
                <w:color w:val="auto"/>
              </w:rPr>
            </w:pPr>
            <w:r>
              <w:rPr>
                <w:rFonts w:ascii="Arial" w:cs="Arial" w:eastAsia="Arial" w:hAnsi="Arial"/>
                <w:sz w:val="18"/>
                <w:szCs w:val="18"/>
                <w:color w:val="auto"/>
              </w:rPr>
              <w:t>June 1, 2023</w:t>
            </w:r>
          </w:p>
        </w:tc>
        <w:tc>
          <w:tcPr>
            <w:tcW w:w="3740" w:type="dxa"/>
            <w:vAlign w:val="bottom"/>
            <w:gridSpan w:val="2"/>
          </w:tcPr>
          <w:p>
            <w:pPr>
              <w:ind w:left="20"/>
              <w:spacing w:after="0" w:line="167" w:lineRule="exact"/>
              <w:rPr>
                <w:sz w:val="20"/>
                <w:szCs w:val="20"/>
                <w:color w:val="auto"/>
              </w:rPr>
            </w:pPr>
            <w:r>
              <w:rPr>
                <w:rFonts w:ascii="Arial" w:cs="Arial" w:eastAsia="Arial" w:hAnsi="Arial"/>
                <w:sz w:val="18"/>
                <w:szCs w:val="18"/>
                <w:color w:val="auto"/>
                <w:w w:val="94"/>
              </w:rPr>
              <w:t>The Company plans to adopt the new standard in</w:t>
            </w:r>
          </w:p>
        </w:tc>
        <w:tc>
          <w:tcPr>
            <w:tcW w:w="20" w:type="dxa"/>
            <w:vAlign w:val="bottom"/>
          </w:tcPr>
          <w:p>
            <w:pPr>
              <w:spacing w:after="0"/>
              <w:rPr>
                <w:sz w:val="14"/>
                <w:szCs w:val="14"/>
                <w:color w:val="auto"/>
              </w:rPr>
            </w:pPr>
          </w:p>
        </w:tc>
      </w:tr>
      <w:tr>
        <w:trPr>
          <w:trHeight w:val="187"/>
        </w:trPr>
        <w:tc>
          <w:tcPr>
            <w:tcW w:w="40" w:type="dxa"/>
            <w:vAlign w:val="bottom"/>
          </w:tcPr>
          <w:p>
            <w:pPr>
              <w:spacing w:after="0"/>
              <w:rPr>
                <w:sz w:val="16"/>
                <w:szCs w:val="16"/>
                <w:color w:val="auto"/>
              </w:rPr>
            </w:pPr>
          </w:p>
        </w:tc>
        <w:tc>
          <w:tcPr>
            <w:tcW w:w="23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i w:val="1"/>
                <w:iCs w:val="1"/>
                <w:color w:val="auto"/>
              </w:rPr>
              <w:t>Combinations (Topic 805):</w:t>
            </w:r>
          </w:p>
        </w:tc>
        <w:tc>
          <w:tcPr>
            <w:tcW w:w="380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w w:val="98"/>
              </w:rPr>
              <w:t>revenue contracts with customers in a business</w:t>
            </w: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760" w:type="dxa"/>
            <w:vAlign w:val="bottom"/>
            <w:gridSpan w:val="3"/>
          </w:tcPr>
          <w:p>
            <w:pPr>
              <w:ind w:left="20"/>
              <w:spacing w:after="0" w:line="188" w:lineRule="exact"/>
              <w:rPr>
                <w:sz w:val="20"/>
                <w:szCs w:val="20"/>
                <w:color w:val="auto"/>
              </w:rPr>
            </w:pPr>
            <w:r>
              <w:rPr>
                <w:rFonts w:ascii="Arial" w:cs="Arial" w:eastAsia="Arial" w:hAnsi="Arial"/>
                <w:sz w:val="18"/>
                <w:szCs w:val="18"/>
                <w:color w:val="auto"/>
                <w:w w:val="97"/>
              </w:rPr>
              <w:t>the first quarter of fiscal year 2024 and does not</w:t>
            </w:r>
          </w:p>
        </w:tc>
      </w:tr>
      <w:tr>
        <w:trPr>
          <w:trHeight w:val="187"/>
        </w:trPr>
        <w:tc>
          <w:tcPr>
            <w:tcW w:w="40" w:type="dxa"/>
            <w:vAlign w:val="bottom"/>
          </w:tcPr>
          <w:p>
            <w:pPr>
              <w:spacing w:after="0"/>
              <w:rPr>
                <w:sz w:val="16"/>
                <w:szCs w:val="16"/>
                <w:color w:val="auto"/>
              </w:rPr>
            </w:pPr>
          </w:p>
        </w:tc>
        <w:tc>
          <w:tcPr>
            <w:tcW w:w="23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i w:val="1"/>
                <w:iCs w:val="1"/>
                <w:color w:val="auto"/>
                <w:w w:val="93"/>
              </w:rPr>
              <w:t>Accounting for Contract Assets</w:t>
            </w:r>
          </w:p>
        </w:tc>
        <w:tc>
          <w:tcPr>
            <w:tcW w:w="380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w w:val="91"/>
              </w:rPr>
              <w:t>combination by addressing diversity in practice and</w:t>
            </w: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76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expect there to be a material impact to the</w:t>
            </w:r>
          </w:p>
        </w:tc>
      </w:tr>
      <w:tr>
        <w:trPr>
          <w:trHeight w:val="187"/>
        </w:trPr>
        <w:tc>
          <w:tcPr>
            <w:tcW w:w="40" w:type="dxa"/>
            <w:vAlign w:val="bottom"/>
          </w:tcPr>
          <w:p>
            <w:pPr>
              <w:spacing w:after="0"/>
              <w:rPr>
                <w:sz w:val="16"/>
                <w:szCs w:val="16"/>
                <w:color w:val="auto"/>
              </w:rPr>
            </w:pPr>
          </w:p>
        </w:tc>
        <w:tc>
          <w:tcPr>
            <w:tcW w:w="23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i w:val="1"/>
                <w:iCs w:val="1"/>
                <w:color w:val="auto"/>
              </w:rPr>
              <w:t>and Contract Liabilities from</w:t>
            </w:r>
          </w:p>
        </w:tc>
        <w:tc>
          <w:tcPr>
            <w:tcW w:w="380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w w:val="93"/>
              </w:rPr>
              <w:t>inconsistency related to recognition of an acquired</w:t>
            </w: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76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consolidated financial statements.</w:t>
            </w:r>
          </w:p>
        </w:tc>
      </w:tr>
      <w:tr>
        <w:trPr>
          <w:trHeight w:val="213"/>
        </w:trPr>
        <w:tc>
          <w:tcPr>
            <w:tcW w:w="40" w:type="dxa"/>
            <w:vAlign w:val="bottom"/>
          </w:tcPr>
          <w:p>
            <w:pPr>
              <w:spacing w:after="0"/>
              <w:rPr>
                <w:sz w:val="18"/>
                <w:szCs w:val="18"/>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Contracts with Customers</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contract liability and payment terms and their effect</w:t>
            </w:r>
          </w:p>
        </w:tc>
        <w:tc>
          <w:tcPr>
            <w:tcW w:w="12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40" w:type="dxa"/>
            <w:vAlign w:val="bottom"/>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on subsequent revenue recognized by the acquirer.</w:t>
            </w:r>
          </w:p>
        </w:tc>
        <w:tc>
          <w:tcPr>
            <w:tcW w:w="12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015"/>
        </w:trPr>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00" w:type="dxa"/>
            <w:vAlign w:val="bottom"/>
          </w:tcPr>
          <w:p>
            <w:pPr>
              <w:ind w:left="3120"/>
              <w:spacing w:after="0"/>
              <w:rPr>
                <w:sz w:val="20"/>
                <w:szCs w:val="20"/>
                <w:color w:val="auto"/>
              </w:rPr>
            </w:pPr>
            <w:r>
              <w:rPr>
                <w:rFonts w:ascii="Arial" w:cs="Arial" w:eastAsia="Arial" w:hAnsi="Arial"/>
                <w:sz w:val="18"/>
                <w:szCs w:val="18"/>
                <w:color w:val="auto"/>
              </w:rPr>
              <w:t>61</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2.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Camaro Support Catheter Asset Acquisition</w:t>
      </w:r>
    </w:p>
    <w:p>
      <w:pPr>
        <w:spacing w:after="0" w:line="171" w:lineRule="exact"/>
        <w:rPr>
          <w:sz w:val="20"/>
          <w:szCs w:val="20"/>
          <w:color w:val="auto"/>
        </w:rPr>
      </w:pPr>
    </w:p>
    <w:p>
      <w:pPr>
        <w:ind w:right="20" w:firstLine="401"/>
        <w:spacing w:after="0" w:line="290" w:lineRule="auto"/>
        <w:rPr>
          <w:sz w:val="20"/>
          <w:szCs w:val="20"/>
          <w:color w:val="auto"/>
        </w:rPr>
      </w:pPr>
      <w:r>
        <w:rPr>
          <w:rFonts w:ascii="Arial" w:cs="Arial" w:eastAsia="Arial" w:hAnsi="Arial"/>
          <w:sz w:val="16"/>
          <w:szCs w:val="16"/>
          <w:color w:val="auto"/>
        </w:rPr>
        <w:t>On July 27, 2021, the Company acquired the Camaro support catheter (rebranded as Syntrax)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 $0.1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HELD FOR SALE</w:t>
      </w:r>
    </w:p>
    <w:p>
      <w:pPr>
        <w:spacing w:after="0" w:line="171" w:lineRule="exact"/>
        <w:rPr>
          <w:sz w:val="20"/>
          <w:szCs w:val="20"/>
          <w:color w:val="auto"/>
        </w:rPr>
      </w:pPr>
    </w:p>
    <w:p>
      <w:pPr>
        <w:jc w:val="both"/>
        <w:ind w:right="400" w:firstLine="385"/>
        <w:spacing w:after="0" w:line="259" w:lineRule="auto"/>
        <w:rPr>
          <w:sz w:val="20"/>
          <w:szCs w:val="20"/>
          <w:color w:val="auto"/>
        </w:rPr>
      </w:pPr>
      <w:r>
        <w:rPr>
          <w:rFonts w:ascii="Arial" w:cs="Arial" w:eastAsia="Arial" w:hAnsi="Arial"/>
          <w:sz w:val="18"/>
          <w:szCs w:val="18"/>
          <w:color w:val="auto"/>
        </w:rPr>
        <w:t>During the fourth quarter of fiscal year 2023, the Company was in discussions with Merit to sell the dialysis product portfolio and BioSentry tract sealant system biopsy businesses. This qualified for held for sale accounting and the Company determined that the fair value of the net assets being sold exceeded the carrying value as of May 31, 2023. The transaction was finalized on June 8, 2023.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classes of assets held for sale: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6"/>
              </w:rPr>
              <w:t>As of May 31, 2023</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4"/>
        </w:trPr>
        <w:tc>
          <w:tcPr>
            <w:tcW w:w="98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4,154</w:t>
            </w:r>
          </w:p>
        </w:tc>
      </w:tr>
      <w:tr>
        <w:trPr>
          <w:trHeight w:val="234"/>
        </w:trPr>
        <w:tc>
          <w:tcPr>
            <w:tcW w:w="9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1"/>
        </w:trPr>
        <w:tc>
          <w:tcPr>
            <w:tcW w:w="9800" w:type="dxa"/>
            <w:vAlign w:val="bottom"/>
          </w:tcPr>
          <w:p>
            <w:pPr>
              <w:ind w:left="160"/>
              <w:spacing w:after="0"/>
              <w:rPr>
                <w:sz w:val="20"/>
                <w:szCs w:val="20"/>
                <w:color w:val="auto"/>
              </w:rPr>
            </w:pPr>
            <w:r>
              <w:rPr>
                <w:rFonts w:ascii="Arial" w:cs="Arial" w:eastAsia="Arial" w:hAnsi="Arial"/>
                <w:sz w:val="18"/>
                <w:szCs w:val="18"/>
                <w:color w:val="auto"/>
              </w:rPr>
              <w:t>Total current assets held for sale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7"/>
        </w:trPr>
        <w:tc>
          <w:tcPr>
            <w:tcW w:w="980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8"/>
        </w:trPr>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r>
      <w:tr>
        <w:trPr>
          <w:trHeight w:val="234"/>
        </w:trPr>
        <w:tc>
          <w:tcPr>
            <w:tcW w:w="9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25,980</w:t>
            </w:r>
          </w:p>
        </w:tc>
      </w:tr>
      <w:tr>
        <w:trPr>
          <w:trHeight w:val="252"/>
        </w:trPr>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non-current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7" w:lineRule="exact"/>
        <w:rPr>
          <w:sz w:val="20"/>
          <w:szCs w:val="20"/>
          <w:color w:val="auto"/>
        </w:rPr>
      </w:pPr>
    </w:p>
    <w:p>
      <w:pPr>
        <w:ind w:right="100" w:firstLine="385"/>
        <w:spacing w:after="0" w:line="272" w:lineRule="auto"/>
        <w:rPr>
          <w:sz w:val="20"/>
          <w:szCs w:val="20"/>
          <w:color w:val="auto"/>
        </w:rPr>
      </w:pPr>
      <w:r>
        <w:rPr>
          <w:rFonts w:ascii="Arial" w:cs="Arial" w:eastAsia="Arial" w:hAnsi="Arial"/>
          <w:sz w:val="17"/>
          <w:szCs w:val="17"/>
          <w:color w:val="auto"/>
        </w:rPr>
        <w:t xml:space="preserve">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summarize net sales by Med Tech, Med Device and by geography: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color w:val="auto"/>
              </w:rPr>
              <w:t>Year ended May 31, 2023</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color w:val="auto"/>
              </w:rPr>
              <w:t>Year ended May 31, 2022</w:t>
            </w:r>
          </w:p>
        </w:tc>
        <w:tc>
          <w:tcPr>
            <w:tcW w:w="840" w:type="dxa"/>
            <w:vAlign w:val="bottom"/>
            <w:tcBorders>
              <w:bottom w:val="single" w:sz="8" w:color="auto"/>
            </w:tcBorders>
          </w:tcPr>
          <w:p>
            <w:pPr>
              <w:spacing w:after="0"/>
              <w:rPr>
                <w:sz w:val="16"/>
                <w:szCs w:val="16"/>
                <w:color w:val="auto"/>
              </w:rPr>
            </w:pPr>
          </w:p>
        </w:tc>
      </w:tr>
      <w:tr>
        <w:trPr>
          <w:trHeight w:val="194"/>
        </w:trPr>
        <w:tc>
          <w:tcPr>
            <w:tcW w:w="4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w w:val="92"/>
              </w:rPr>
              <w:t>United 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8"/>
              </w:rPr>
              <w:t>International</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w w:val="92"/>
              </w:rPr>
              <w:t>United 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98"/>
              </w:rPr>
              <w:t>International</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Total</w:t>
            </w: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4160" w:type="dxa"/>
            <w:vAlign w:val="bottom"/>
          </w:tcPr>
          <w:p>
            <w:pPr>
              <w:ind w:left="340"/>
              <w:spacing w:after="0"/>
              <w:rPr>
                <w:sz w:val="20"/>
                <w:szCs w:val="20"/>
                <w:color w:val="auto"/>
              </w:rPr>
            </w:pPr>
            <w:r>
              <w:rPr>
                <w:rFonts w:ascii="Arial" w:cs="Arial" w:eastAsia="Arial" w:hAnsi="Arial"/>
                <w:sz w:val="18"/>
                <w:szCs w:val="18"/>
                <w:color w:val="auto"/>
              </w:rPr>
              <w:t>Med Tech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84,332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12,355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96,687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69,939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8,778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78,717</w:t>
            </w:r>
          </w:p>
        </w:tc>
      </w:tr>
      <w:tr>
        <w:trPr>
          <w:trHeight w:val="227"/>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Med Device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237,502</w:t>
            </w:r>
          </w:p>
        </w:tc>
      </w:tr>
      <w:tr>
        <w:trPr>
          <w:trHeight w:val="221"/>
        </w:trPr>
        <w:tc>
          <w:tcPr>
            <w:tcW w:w="4160" w:type="dxa"/>
            <w:vAlign w:val="bottom"/>
          </w:tcPr>
          <w:p>
            <w:pPr>
              <w:ind w:left="6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282,713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56,039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338,752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265,963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50,256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316,219</w:t>
            </w:r>
          </w:p>
        </w:tc>
      </w:tr>
      <w:tr>
        <w:trPr>
          <w:trHeight w:val="20"/>
        </w:trPr>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gridSpan w:val="6"/>
          </w:tcPr>
          <w:p>
            <w:pPr>
              <w:jc w:val="right"/>
              <w:ind w:right="111"/>
              <w:spacing w:after="0"/>
              <w:rPr>
                <w:sz w:val="20"/>
                <w:szCs w:val="20"/>
                <w:color w:val="auto"/>
              </w:rPr>
            </w:pPr>
            <w:r>
              <w:rPr>
                <w:rFonts w:ascii="Arial" w:cs="Arial" w:eastAsia="Arial" w:hAnsi="Arial"/>
                <w:sz w:val="14"/>
                <w:szCs w:val="14"/>
                <w:color w:val="auto"/>
                <w:w w:val="90"/>
              </w:rPr>
              <w:t>Year ended May 31, 2021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1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95"/>
              </w:rPr>
              <w:t>United States</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International</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340"/>
              <w:spacing w:after="0"/>
              <w:rPr>
                <w:sz w:val="20"/>
                <w:szCs w:val="20"/>
                <w:color w:val="auto"/>
              </w:rPr>
            </w:pPr>
            <w:r>
              <w:rPr>
                <w:rFonts w:ascii="Arial" w:cs="Arial" w:eastAsia="Arial" w:hAnsi="Arial"/>
                <w:sz w:val="18"/>
                <w:szCs w:val="18"/>
                <w:color w:val="auto"/>
              </w:rPr>
              <w:t>Med Tech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46,440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9,291</w:t>
            </w: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55,731</w:t>
            </w:r>
          </w:p>
        </w:tc>
        <w:tc>
          <w:tcPr>
            <w:tcW w:w="0" w:type="dxa"/>
            <w:vAlign w:val="bottom"/>
          </w:tcPr>
          <w:p>
            <w:pPr>
              <w:spacing w:after="0"/>
              <w:rPr>
                <w:sz w:val="1"/>
                <w:szCs w:val="1"/>
                <w:color w:val="auto"/>
              </w:rPr>
            </w:pPr>
          </w:p>
        </w:tc>
      </w:tr>
      <w:tr>
        <w:trPr>
          <w:trHeight w:val="241"/>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 Device</w:t>
            </w: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190,603</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44,676</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235,279</w:t>
            </w:r>
          </w:p>
        </w:tc>
        <w:tc>
          <w:tcPr>
            <w:tcW w:w="0" w:type="dxa"/>
            <w:vAlign w:val="bottom"/>
          </w:tcPr>
          <w:p>
            <w:pPr>
              <w:spacing w:after="0"/>
              <w:rPr>
                <w:sz w:val="1"/>
                <w:szCs w:val="1"/>
                <w:color w:val="auto"/>
              </w:rPr>
            </w:pPr>
          </w:p>
        </w:tc>
      </w:tr>
      <w:tr>
        <w:trPr>
          <w:trHeight w:val="220"/>
        </w:trPr>
        <w:tc>
          <w:tcPr>
            <w:tcW w:w="4160" w:type="dxa"/>
            <w:vAlign w:val="bottom"/>
          </w:tcPr>
          <w:p>
            <w:pPr>
              <w:ind w:left="6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237,043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67" w:lineRule="exact"/>
        <w:rPr>
          <w:sz w:val="20"/>
          <w:szCs w:val="20"/>
          <w:color w:val="auto"/>
        </w:rPr>
      </w:pPr>
    </w:p>
    <w:p>
      <w:pPr>
        <w:ind w:firstLine="385"/>
        <w:spacing w:after="0" w:line="272"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67" w:lineRule="exact"/>
        <w:rPr>
          <w:sz w:val="20"/>
          <w:szCs w:val="20"/>
          <w:color w:val="auto"/>
        </w:rPr>
      </w:pPr>
    </w:p>
    <w:p>
      <w:pPr>
        <w:ind w:right="60" w:firstLine="385"/>
        <w:spacing w:after="0" w:line="297"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67" w:lineRule="exact"/>
        <w:rPr>
          <w:sz w:val="20"/>
          <w:szCs w:val="20"/>
          <w:color w:val="auto"/>
        </w:rPr>
      </w:pPr>
    </w:p>
    <w:p>
      <w:pPr>
        <w:ind w:right="480" w:firstLine="401"/>
        <w:spacing w:after="0" w:line="301" w:lineRule="auto"/>
        <w:rPr>
          <w:sz w:val="20"/>
          <w:szCs w:val="20"/>
          <w:color w:val="auto"/>
        </w:rPr>
      </w:pPr>
      <w:r>
        <w:rPr>
          <w:rFonts w:ascii="Arial" w:cs="Arial" w:eastAsia="Arial" w:hAnsi="Arial"/>
          <w:sz w:val="17"/>
          <w:szCs w:val="17"/>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98" w:lineRule="exact"/>
        <w:rPr>
          <w:sz w:val="20"/>
          <w:szCs w:val="20"/>
          <w:color w:val="auto"/>
        </w:rPr>
      </w:pPr>
    </w:p>
    <w:p>
      <w:pPr>
        <w:ind w:right="340" w:firstLine="385"/>
        <w:spacing w:after="0" w:line="255"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7" w:lineRule="exact"/>
        <w:rPr>
          <w:sz w:val="20"/>
          <w:szCs w:val="20"/>
          <w:color w:val="auto"/>
        </w:rPr>
      </w:pPr>
    </w:p>
    <w:p>
      <w:pPr>
        <w:ind w:right="40" w:firstLine="385"/>
        <w:spacing w:after="0" w:line="259"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32" w:lineRule="exact"/>
        <w:rPr>
          <w:sz w:val="20"/>
          <w:szCs w:val="20"/>
          <w:color w:val="auto"/>
        </w:rPr>
      </w:pPr>
    </w:p>
    <w:p>
      <w:pPr>
        <w:ind w:right="380" w:firstLine="385"/>
        <w:spacing w:after="0" w:line="271"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21" w:lineRule="exact"/>
        <w:rPr>
          <w:sz w:val="20"/>
          <w:szCs w:val="20"/>
          <w:color w:val="auto"/>
        </w:rPr>
      </w:pPr>
    </w:p>
    <w:p>
      <w:pPr>
        <w:ind w:right="140" w:firstLine="385"/>
        <w:spacing w:after="0" w:line="271"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08" w:lineRule="exact"/>
        <w:rPr>
          <w:sz w:val="20"/>
          <w:szCs w:val="20"/>
          <w:color w:val="auto"/>
        </w:rPr>
      </w:pPr>
    </w:p>
    <w:p>
      <w:pPr>
        <w:ind w:right="40" w:firstLine="385"/>
        <w:spacing w:after="0" w:line="235" w:lineRule="auto"/>
        <w:rPr>
          <w:sz w:val="20"/>
          <w:szCs w:val="20"/>
          <w:color w:val="auto"/>
        </w:rPr>
      </w:pPr>
      <w:r>
        <w:rPr>
          <w:rFonts w:ascii="Arial" w:cs="Arial" w:eastAsia="Arial" w:hAnsi="Arial"/>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67" w:lineRule="exact"/>
        <w:rPr>
          <w:sz w:val="20"/>
          <w:szCs w:val="20"/>
          <w:color w:val="auto"/>
        </w:rPr>
      </w:pPr>
    </w:p>
    <w:p>
      <w:pPr>
        <w:ind w:right="360" w:firstLine="385"/>
        <w:spacing w:after="0" w:line="271" w:lineRule="auto"/>
        <w:rPr>
          <w:sz w:val="20"/>
          <w:szCs w:val="20"/>
          <w:color w:val="auto"/>
        </w:rPr>
      </w:pPr>
      <w:r>
        <w:rPr>
          <w:rFonts w:ascii="Arial" w:cs="Arial" w:eastAsia="Arial" w:hAnsi="Arial"/>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23" w:right="379" w:bottom="1440" w:gutter="0" w:footer="0" w:header="0"/>
        </w:sectPr>
      </w:pPr>
    </w:p>
    <w:bookmarkStart w:id="65" w:name="page66"/>
    <w:bookmarkEnd w:id="65"/>
    <w:p>
      <w:pPr>
        <w:ind w:right="80"/>
        <w:spacing w:after="0" w:line="271" w:lineRule="auto"/>
        <w:rPr>
          <w:sz w:val="20"/>
          <w:szCs w:val="20"/>
          <w:color w:val="auto"/>
        </w:rPr>
      </w:pPr>
      <w:r>
        <w:rPr>
          <w:rFonts w:ascii="Arial" w:cs="Arial" w:eastAsia="Arial" w:hAnsi="Arial"/>
          <w:sz w:val="18"/>
          <w:szCs w:val="18"/>
          <w:color w:val="auto"/>
        </w:rPr>
        <w:t>contracts between the Company and its customers. These reserves are based on the amounts earned or to be claimed on the related sales and are classified as a contra asset.</w:t>
      </w:r>
    </w:p>
    <w:p>
      <w:pPr>
        <w:spacing w:after="0" w:line="121" w:lineRule="exact"/>
        <w:rPr>
          <w:sz w:val="20"/>
          <w:szCs w:val="20"/>
          <w:color w:val="auto"/>
        </w:rPr>
      </w:pPr>
    </w:p>
    <w:p>
      <w:pPr>
        <w:ind w:right="240" w:firstLine="385"/>
        <w:spacing w:after="0" w:line="253" w:lineRule="auto"/>
        <w:rPr>
          <w:sz w:val="20"/>
          <w:szCs w:val="20"/>
          <w:color w:val="auto"/>
        </w:rPr>
      </w:pPr>
      <w:r>
        <w:rPr>
          <w:rFonts w:ascii="Arial" w:cs="Arial" w:eastAsia="Arial" w:hAnsi="Arial"/>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39" w:lineRule="exact"/>
        <w:rPr>
          <w:sz w:val="20"/>
          <w:szCs w:val="20"/>
          <w:color w:val="auto"/>
        </w:rPr>
      </w:pPr>
    </w:p>
    <w:p>
      <w:pPr>
        <w:ind w:right="80" w:firstLine="385"/>
        <w:spacing w:after="0" w:line="270"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2023, such product returns were not material.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with Customers</w:t>
      </w:r>
    </w:p>
    <w:p>
      <w:pPr>
        <w:spacing w:after="0" w:line="167" w:lineRule="exact"/>
        <w:rPr>
          <w:sz w:val="20"/>
          <w:szCs w:val="20"/>
          <w:color w:val="auto"/>
        </w:rPr>
      </w:pPr>
    </w:p>
    <w:p>
      <w:pPr>
        <w:ind w:right="60" w:firstLine="385"/>
        <w:spacing w:after="0" w:line="253" w:lineRule="auto"/>
        <w:rPr>
          <w:sz w:val="20"/>
          <w:szCs w:val="20"/>
          <w:color w:val="auto"/>
        </w:rPr>
      </w:pPr>
      <w:r>
        <w:rPr>
          <w:rFonts w:ascii="Arial" w:cs="Arial" w:eastAsia="Arial" w:hAnsi="Arial"/>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May 31, 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May 31, 2022</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52,304</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bl>
    <w:p>
      <w:pPr>
        <w:spacing w:after="0" w:line="226" w:lineRule="exact"/>
        <w:rPr>
          <w:sz w:val="20"/>
          <w:szCs w:val="20"/>
          <w:color w:val="auto"/>
        </w:rPr>
      </w:pPr>
    </w:p>
    <w:p>
      <w:pPr>
        <w:ind w:right="220" w:firstLine="385"/>
        <w:spacing w:after="0" w:line="335" w:lineRule="auto"/>
        <w:rPr>
          <w:sz w:val="20"/>
          <w:szCs w:val="20"/>
          <w:color w:val="auto"/>
        </w:rPr>
      </w:pPr>
      <w:r>
        <w:rPr>
          <w:rFonts w:ascii="Arial" w:cs="Arial" w:eastAsia="Arial" w:hAnsi="Arial"/>
          <w:sz w:val="16"/>
          <w:szCs w:val="16"/>
          <w:color w:val="auto"/>
        </w:rPr>
        <w:t>During the years ended May 31, 2023 and 2022, the Company had additions to contract liabilities of $0.7 million and $2.2 million, respectively. This was offset by $0.7 million and $2.1 million in revenue that was recognized during the years ended May 31, 2023 and 2022,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or Fulfill a Customer Contract</w:t>
      </w:r>
    </w:p>
    <w:p>
      <w:pPr>
        <w:spacing w:after="0" w:line="167" w:lineRule="exact"/>
        <w:rPr>
          <w:sz w:val="20"/>
          <w:szCs w:val="20"/>
          <w:color w:val="auto"/>
        </w:rPr>
      </w:pPr>
    </w:p>
    <w:p>
      <w:pPr>
        <w:ind w:right="100" w:firstLine="385"/>
        <w:spacing w:after="0" w:line="255" w:lineRule="auto"/>
        <w:rPr>
          <w:sz w:val="20"/>
          <w:szCs w:val="20"/>
          <w:color w:val="auto"/>
        </w:rPr>
      </w:pPr>
      <w:r>
        <w:rPr>
          <w:rFonts w:ascii="Arial" w:cs="Arial" w:eastAsia="Arial" w:hAnsi="Arial"/>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7" w:lineRule="exact"/>
        <w:rPr>
          <w:sz w:val="20"/>
          <w:szCs w:val="20"/>
          <w:color w:val="auto"/>
        </w:rPr>
      </w:pPr>
    </w:p>
    <w:p>
      <w:pPr>
        <w:ind w:right="140" w:firstLine="385"/>
        <w:spacing w:after="0" w:line="307"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1" w:lineRule="exact"/>
        <w:rPr>
          <w:sz w:val="20"/>
          <w:szCs w:val="20"/>
          <w:color w:val="auto"/>
        </w:rPr>
      </w:pPr>
    </w:p>
    <w:p>
      <w:pPr>
        <w:ind w:right="200" w:firstLine="385"/>
        <w:spacing w:after="0" w:line="272"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3" w:lineRule="exact"/>
        <w:rPr>
          <w:sz w:val="20"/>
          <w:szCs w:val="20"/>
          <w:color w:val="auto"/>
        </w:rPr>
      </w:pPr>
    </w:p>
    <w:p>
      <w:pPr>
        <w:ind w:left="5540" w:right="3200" w:hanging="5212"/>
        <w:spacing w:after="0" w:line="906"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-307340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ind w:left="640" w:hanging="312"/>
        <w:spacing w:after="0" w:line="25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40" w:hanging="312"/>
        <w:spacing w:after="0" w:line="25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34" w:lineRule="exact"/>
        <w:rPr>
          <w:sz w:val="20"/>
          <w:szCs w:val="20"/>
          <w:color w:val="auto"/>
        </w:rPr>
      </w:pPr>
    </w:p>
    <w:p>
      <w:pPr>
        <w:jc w:val="both"/>
        <w:ind w:right="460" w:firstLine="385"/>
        <w:spacing w:after="0" w:line="307"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380" w:type="dxa"/>
            <w:vAlign w:val="bottom"/>
            <w:gridSpan w:val="2"/>
          </w:tcPr>
          <w:p>
            <w:pPr>
              <w:ind w:left="260"/>
              <w:spacing w:after="0"/>
              <w:rPr>
                <w:sz w:val="20"/>
                <w:szCs w:val="20"/>
                <w:color w:val="auto"/>
              </w:rPr>
            </w:pPr>
            <w:r>
              <w:rPr>
                <w:rFonts w:ascii="Arial" w:cs="Arial" w:eastAsia="Arial" w:hAnsi="Arial"/>
                <w:sz w:val="14"/>
                <w:szCs w:val="14"/>
                <w:color w:val="auto"/>
                <w:w w:val="92"/>
              </w:rPr>
              <w:t>Fair Value Measurements using inputs considered as: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3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180" w:type="dxa"/>
            <w:vAlign w:val="bottom"/>
            <w:vMerge w:val="restart"/>
          </w:tcPr>
          <w:p>
            <w:pPr>
              <w:ind w:left="2500"/>
              <w:spacing w:after="0"/>
              <w:rPr>
                <w:sz w:val="20"/>
                <w:szCs w:val="20"/>
                <w:color w:val="auto"/>
              </w:rPr>
            </w:pPr>
            <w:r>
              <w:rPr>
                <w:rFonts w:ascii="Arial" w:cs="Arial" w:eastAsia="Arial" w:hAnsi="Arial"/>
                <w:sz w:val="14"/>
                <w:szCs w:val="14"/>
                <w:color w:val="auto"/>
              </w:rPr>
              <w:t>Level 1</w:t>
            </w:r>
          </w:p>
        </w:tc>
        <w:tc>
          <w:tcPr>
            <w:tcW w:w="1840" w:type="dxa"/>
            <w:vAlign w:val="bottom"/>
            <w:vMerge w:val="restart"/>
          </w:tcPr>
          <w:p>
            <w:pPr>
              <w:ind w:left="860"/>
              <w:spacing w:after="0"/>
              <w:rPr>
                <w:sz w:val="20"/>
                <w:szCs w:val="20"/>
                <w:color w:val="auto"/>
              </w:rPr>
            </w:pPr>
            <w:r>
              <w:rPr>
                <w:rFonts w:ascii="Arial" w:cs="Arial" w:eastAsia="Arial" w:hAnsi="Arial"/>
                <w:sz w:val="14"/>
                <w:szCs w:val="14"/>
                <w:color w:val="auto"/>
              </w:rPr>
              <w:t>Level 2</w:t>
            </w:r>
          </w:p>
        </w:tc>
        <w:tc>
          <w:tcPr>
            <w:tcW w:w="1540" w:type="dxa"/>
            <w:vAlign w:val="bottom"/>
            <w:vMerge w:val="restart"/>
          </w:tcPr>
          <w:p>
            <w:pPr>
              <w:ind w:left="540"/>
              <w:spacing w:after="0"/>
              <w:rPr>
                <w:sz w:val="20"/>
                <w:szCs w:val="20"/>
                <w:color w:val="auto"/>
              </w:rPr>
            </w:pPr>
            <w:r>
              <w:rPr>
                <w:rFonts w:ascii="Arial" w:cs="Arial" w:eastAsia="Arial" w:hAnsi="Arial"/>
                <w:sz w:val="14"/>
                <w:szCs w:val="14"/>
                <w:color w:val="auto"/>
              </w:rPr>
              <w:t>Level 3</w:t>
            </w:r>
          </w:p>
        </w:tc>
        <w:tc>
          <w:tcPr>
            <w:tcW w:w="1320" w:type="dxa"/>
            <w:vAlign w:val="bottom"/>
          </w:tcPr>
          <w:p>
            <w:pPr>
              <w:jc w:val="center"/>
              <w:ind w:left="9"/>
              <w:spacing w:after="0" w:line="159" w:lineRule="exact"/>
              <w:rPr>
                <w:sz w:val="20"/>
                <w:szCs w:val="20"/>
                <w:color w:val="auto"/>
              </w:rPr>
            </w:pPr>
            <w:r>
              <w:rPr>
                <w:rFonts w:ascii="Arial" w:cs="Arial" w:eastAsia="Arial" w:hAnsi="Arial"/>
                <w:sz w:val="14"/>
                <w:szCs w:val="14"/>
                <w:color w:val="auto"/>
                <w:w w:val="93"/>
              </w:rPr>
              <w:t>Fair Value at May 31,</w:t>
            </w:r>
          </w:p>
        </w:tc>
        <w:tc>
          <w:tcPr>
            <w:tcW w:w="0" w:type="dxa"/>
            <w:vAlign w:val="bottom"/>
          </w:tcPr>
          <w:p>
            <w:pPr>
              <w:spacing w:after="0"/>
              <w:rPr>
                <w:sz w:val="1"/>
                <w:szCs w:val="1"/>
                <w:color w:val="auto"/>
              </w:rPr>
            </w:pPr>
          </w:p>
        </w:tc>
      </w:tr>
      <w:tr>
        <w:trPr>
          <w:trHeight w:val="181"/>
        </w:trPr>
        <w:tc>
          <w:tcPr>
            <w:tcW w:w="3300" w:type="dxa"/>
            <w:vAlign w:val="bottom"/>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320" w:type="dxa"/>
            <w:vAlign w:val="bottom"/>
          </w:tcPr>
          <w:p>
            <w:pPr>
              <w:jc w:val="right"/>
              <w:ind w:right="40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CCEEFF"/>
              <w:bottom w:val="single" w:sz="8" w:color="auto"/>
            </w:tcBorders>
            <w:shd w:val="clear" w:color="auto" w:fill="CCEEFF"/>
          </w:tcPr>
          <w:p>
            <w:pPr>
              <w:spacing w:after="0" w:line="187" w:lineRule="exact"/>
              <w:rPr>
                <w:sz w:val="20"/>
                <w:szCs w:val="20"/>
                <w:color w:val="auto"/>
              </w:rPr>
            </w:pPr>
            <w:r>
              <w:rPr>
                <w:rFonts w:ascii="Arial" w:cs="Arial" w:eastAsia="Arial" w:hAnsi="Arial"/>
                <w:sz w:val="18"/>
                <w:szCs w:val="18"/>
                <w:color w:val="auto"/>
                <w:w w:val="93"/>
              </w:rPr>
              <w:t>Financial Liabilities</w:t>
            </w:r>
          </w:p>
        </w:tc>
        <w:tc>
          <w:tcPr>
            <w:tcW w:w="38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300" w:type="dxa"/>
            <w:vAlign w:val="bottom"/>
            <w:gridSpan w:val="2"/>
          </w:tcPr>
          <w:p>
            <w:pPr>
              <w:ind w:left="320"/>
              <w:spacing w:after="0"/>
              <w:rPr>
                <w:sz w:val="20"/>
                <w:szCs w:val="20"/>
                <w:color w:val="auto"/>
              </w:rPr>
            </w:pPr>
            <w:r>
              <w:rPr>
                <w:rFonts w:ascii="Arial" w:cs="Arial" w:eastAsia="Arial" w:hAnsi="Arial"/>
                <w:sz w:val="18"/>
                <w:szCs w:val="18"/>
                <w:color w:val="auto"/>
              </w:rPr>
              <w:t>Contingent consideration for acquisition earn outs</w:t>
            </w:r>
          </w:p>
        </w:tc>
        <w:tc>
          <w:tcPr>
            <w:tcW w:w="1140" w:type="dxa"/>
            <w:vAlign w:val="bottom"/>
            <w:gridSpan w:val="2"/>
          </w:tcPr>
          <w:p>
            <w:pPr>
              <w:jc w:val="right"/>
              <w:ind w:right="957"/>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19,296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19,296</w:t>
            </w:r>
          </w:p>
        </w:tc>
      </w:tr>
      <w:tr>
        <w:trPr>
          <w:trHeight w:val="252"/>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300" w:type="dxa"/>
            <w:vAlign w:val="bottom"/>
            <w:tcBorders>
              <w:top w:val="single" w:sz="8" w:color="CCEEFF"/>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Total Financial Liabilities</w:t>
            </w:r>
          </w:p>
        </w:tc>
        <w:tc>
          <w:tcPr>
            <w:tcW w:w="1140" w:type="dxa"/>
            <w:vAlign w:val="bottom"/>
            <w:tcBorders>
              <w:top w:val="single" w:sz="8" w:color="auto"/>
              <w:bottom w:val="single" w:sz="8" w:color="auto"/>
            </w:tcBorders>
            <w:gridSpan w:val="2"/>
            <w:shd w:val="clear" w:color="auto" w:fill="CCEEFF"/>
          </w:tcPr>
          <w:p>
            <w:pPr>
              <w:jc w:val="right"/>
              <w:ind w:right="95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7"/>
          </w:tcPr>
          <w:p>
            <w:pPr>
              <w:jc w:val="right"/>
              <w:spacing w:after="0"/>
              <w:rPr>
                <w:sz w:val="20"/>
                <w:szCs w:val="20"/>
                <w:color w:val="auto"/>
              </w:rPr>
            </w:pPr>
            <w:r>
              <w:rPr>
                <w:rFonts w:ascii="Arial" w:cs="Arial" w:eastAsia="Arial" w:hAnsi="Arial"/>
                <w:sz w:val="14"/>
                <w:szCs w:val="14"/>
                <w:color w:val="auto"/>
                <w:w w:val="91"/>
              </w:rPr>
              <w:t>Fair Value Measurements using inputs considered as: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20"/>
              <w:spacing w:after="0" w:line="153" w:lineRule="exact"/>
              <w:rPr>
                <w:sz w:val="20"/>
                <w:szCs w:val="20"/>
                <w:color w:val="auto"/>
              </w:rPr>
            </w:pPr>
            <w:r>
              <w:rPr>
                <w:rFonts w:ascii="Arial" w:cs="Arial" w:eastAsia="Arial" w:hAnsi="Arial"/>
                <w:sz w:val="14"/>
                <w:szCs w:val="14"/>
                <w:color w:val="auto"/>
                <w:w w:val="94"/>
              </w:rPr>
              <w:t>Fair Value at May 31,</w:t>
            </w:r>
          </w:p>
        </w:tc>
      </w:tr>
      <w:tr>
        <w:trPr>
          <w:trHeight w:val="187"/>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6"/>
                <w:szCs w:val="16"/>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Level 1</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17"/>
              <w:spacing w:after="0"/>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2022</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line="187" w:lineRule="exact"/>
              <w:rPr>
                <w:sz w:val="20"/>
                <w:szCs w:val="20"/>
                <w:color w:val="auto"/>
              </w:rPr>
            </w:pPr>
            <w:r>
              <w:rPr>
                <w:rFonts w:ascii="Arial" w:cs="Arial" w:eastAsia="Arial" w:hAnsi="Arial"/>
                <w:sz w:val="18"/>
                <w:szCs w:val="18"/>
                <w:color w:val="auto"/>
                <w:w w:val="93"/>
              </w:rPr>
              <w:t>Financial Liabilities</w:t>
            </w:r>
          </w:p>
        </w:tc>
        <w:tc>
          <w:tcPr>
            <w:tcW w:w="3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300" w:type="dxa"/>
            <w:vAlign w:val="bottom"/>
            <w:gridSpan w:val="2"/>
          </w:tcPr>
          <w:p>
            <w:pPr>
              <w:ind w:left="320"/>
              <w:spacing w:after="0"/>
              <w:rPr>
                <w:sz w:val="20"/>
                <w:szCs w:val="20"/>
                <w:color w:val="auto"/>
              </w:rPr>
            </w:pPr>
            <w:r>
              <w:rPr>
                <w:rFonts w:ascii="Arial" w:cs="Arial" w:eastAsia="Arial" w:hAnsi="Arial"/>
                <w:sz w:val="18"/>
                <w:szCs w:val="18"/>
                <w:color w:val="auto"/>
              </w:rPr>
              <w:t>Contingent consideration for acquisition earn outs</w:t>
            </w:r>
          </w:p>
        </w:tc>
        <w:tc>
          <w:tcPr>
            <w:tcW w:w="20" w:type="dxa"/>
            <w:vAlign w:val="bottom"/>
          </w:tcPr>
          <w:p>
            <w:pPr>
              <w:spacing w:after="0"/>
              <w:rPr>
                <w:sz w:val="19"/>
                <w:szCs w:val="19"/>
                <w:color w:val="auto"/>
              </w:rPr>
            </w:pPr>
          </w:p>
        </w:tc>
        <w:tc>
          <w:tcPr>
            <w:tcW w:w="1120" w:type="dxa"/>
            <w:vAlign w:val="bottom"/>
            <w:tcBorders>
              <w:bottom w:val="single" w:sz="8" w:color="auto"/>
            </w:tcBorders>
          </w:tcPr>
          <w:p>
            <w:pPr>
              <w:jc w:val="right"/>
              <w:ind w:right="93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16,948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Total 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w:t>
            </w:r>
          </w:p>
        </w:tc>
      </w:tr>
      <w:tr>
        <w:trPr>
          <w:trHeight w:val="20"/>
        </w:trPr>
        <w:tc>
          <w:tcPr>
            <w:tcW w:w="20" w:type="dxa"/>
            <w:vAlign w:val="bottom"/>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7220" w:type="dxa"/>
            <w:vAlign w:val="bottom"/>
            <w:gridSpan w:val="7"/>
          </w:tcPr>
          <w:p>
            <w:pPr>
              <w:ind w:left="380"/>
              <w:spacing w:after="0"/>
              <w:rPr>
                <w:sz w:val="20"/>
                <w:szCs w:val="20"/>
                <w:color w:val="auto"/>
              </w:rPr>
            </w:pPr>
            <w:r>
              <w:rPr>
                <w:rFonts w:ascii="Arial" w:cs="Arial" w:eastAsia="Arial" w:hAnsi="Arial"/>
                <w:sz w:val="18"/>
                <w:szCs w:val="18"/>
                <w:color w:val="auto"/>
                <w:w w:val="90"/>
              </w:rPr>
              <w:t>There were no transfers between Level 1, 2 and 3 for the years ended May 31, 2023 and 2022.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4"/>
        </w:trPr>
        <w:tc>
          <w:tcPr>
            <w:tcW w:w="6460" w:type="dxa"/>
            <w:vAlign w:val="bottom"/>
            <w:gridSpan w:val="5"/>
          </w:tcPr>
          <w:p>
            <w:pPr>
              <w:spacing w:after="0"/>
              <w:rPr>
                <w:sz w:val="20"/>
                <w:szCs w:val="20"/>
                <w:color w:val="auto"/>
              </w:rPr>
            </w:pPr>
            <w:r>
              <w:rPr>
                <w:rFonts w:ascii="Arial" w:cs="Arial" w:eastAsia="Arial" w:hAnsi="Arial"/>
                <w:sz w:val="18"/>
                <w:szCs w:val="18"/>
                <w:color w:val="auto"/>
                <w:w w:val="90"/>
              </w:rPr>
              <w:t>The following tables present the changes in fair value components of Level 3 instruments: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94"/>
              <w:spacing w:after="0"/>
              <w:rPr>
                <w:sz w:val="20"/>
                <w:szCs w:val="20"/>
                <w:color w:val="auto"/>
              </w:rPr>
            </w:pPr>
            <w:r>
              <w:rPr>
                <w:rFonts w:ascii="Arial" w:cs="Arial" w:eastAsia="Arial" w:hAnsi="Arial"/>
                <w:sz w:val="14"/>
                <w:szCs w:val="14"/>
                <w:color w:val="auto"/>
                <w:w w:val="98"/>
              </w:rPr>
              <w:t>Financial Liabilities</w:t>
            </w:r>
          </w:p>
        </w:tc>
      </w:tr>
      <w:tr>
        <w:trPr>
          <w:trHeight w:val="25"/>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gridSpan w:val="4"/>
          </w:tcPr>
          <w:p>
            <w:pPr>
              <w:jc w:val="center"/>
              <w:spacing w:after="0" w:line="135" w:lineRule="exact"/>
              <w:rPr>
                <w:sz w:val="20"/>
                <w:szCs w:val="20"/>
                <w:color w:val="auto"/>
              </w:rPr>
            </w:pPr>
            <w:r>
              <w:rPr>
                <w:rFonts w:ascii="Arial" w:cs="Arial" w:eastAsia="Arial" w:hAnsi="Arial"/>
                <w:sz w:val="14"/>
                <w:szCs w:val="14"/>
                <w:color w:val="auto"/>
                <w:w w:val="89"/>
              </w:rPr>
              <w:t>Fair Value Measurements</w:t>
            </w:r>
          </w:p>
        </w:tc>
      </w:tr>
      <w:tr>
        <w:trPr>
          <w:trHeight w:val="13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14"/>
              <w:spacing w:after="0" w:line="139" w:lineRule="exact"/>
              <w:rPr>
                <w:sz w:val="20"/>
                <w:szCs w:val="20"/>
                <w:color w:val="auto"/>
              </w:rPr>
            </w:pPr>
            <w:r>
              <w:rPr>
                <w:rFonts w:ascii="Arial" w:cs="Arial" w:eastAsia="Arial" w:hAnsi="Arial"/>
                <w:sz w:val="14"/>
                <w:szCs w:val="14"/>
                <w:color w:val="auto"/>
                <w:w w:val="95"/>
              </w:rPr>
              <w:t>Using Significant</w:t>
            </w: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jc w:val="center"/>
              <w:ind w:right="94"/>
              <w:spacing w:after="0" w:line="142" w:lineRule="exact"/>
              <w:rPr>
                <w:sz w:val="20"/>
                <w:szCs w:val="20"/>
                <w:color w:val="auto"/>
              </w:rPr>
            </w:pPr>
            <w:r>
              <w:rPr>
                <w:rFonts w:ascii="Arial" w:cs="Arial" w:eastAsia="Arial" w:hAnsi="Arial"/>
                <w:sz w:val="14"/>
                <w:szCs w:val="14"/>
                <w:color w:val="auto"/>
                <w:w w:val="93"/>
              </w:rPr>
              <w:t>Unobservable Inputs</w:t>
            </w:r>
          </w:p>
        </w:tc>
      </w:tr>
      <w:tr>
        <w:trPr>
          <w:trHeight w:val="181"/>
        </w:trPr>
        <w:tc>
          <w:tcPr>
            <w:tcW w:w="20" w:type="dxa"/>
            <w:vAlign w:val="bottom"/>
          </w:tcPr>
          <w:p>
            <w:pPr>
              <w:spacing w:after="0"/>
              <w:rPr>
                <w:sz w:val="15"/>
                <w:szCs w:val="15"/>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374"/>
              <w:spacing w:after="0"/>
              <w:rPr>
                <w:sz w:val="20"/>
                <w:szCs w:val="20"/>
                <w:color w:val="auto"/>
              </w:rPr>
            </w:pPr>
            <w:r>
              <w:rPr>
                <w:rFonts w:ascii="Arial" w:cs="Arial" w:eastAsia="Arial" w:hAnsi="Arial"/>
                <w:sz w:val="14"/>
                <w:szCs w:val="14"/>
                <w:color w:val="auto"/>
                <w:w w:val="95"/>
              </w:rPr>
              <w:t>(Level 3)</w:t>
            </w:r>
          </w:p>
        </w:tc>
      </w:tr>
      <w:tr>
        <w:trPr>
          <w:trHeight w:val="25"/>
        </w:trPr>
        <w:tc>
          <w:tcPr>
            <w:tcW w:w="2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31, 2022</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w:t>
            </w:r>
          </w:p>
        </w:tc>
      </w:tr>
      <w:tr>
        <w:trPr>
          <w:trHeight w:val="227"/>
        </w:trPr>
        <w:tc>
          <w:tcPr>
            <w:tcW w:w="20" w:type="dxa"/>
            <w:vAlign w:val="bottom"/>
          </w:tcPr>
          <w:p>
            <w:pPr>
              <w:spacing w:after="0"/>
              <w:rPr>
                <w:sz w:val="19"/>
                <w:szCs w:val="19"/>
                <w:color w:val="auto"/>
              </w:rPr>
            </w:pPr>
          </w:p>
        </w:tc>
        <w:tc>
          <w:tcPr>
            <w:tcW w:w="5300" w:type="dxa"/>
            <w:vAlign w:val="bottom"/>
            <w:gridSpan w:val="2"/>
          </w:tcPr>
          <w:p>
            <w:pPr>
              <w:ind w:left="320"/>
              <w:spacing w:after="0"/>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2,320</w:t>
            </w:r>
          </w:p>
        </w:tc>
      </w:tr>
      <w:tr>
        <w:trPr>
          <w:trHeight w:val="228"/>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Currency gain from remeasurement</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Balance at May 31, 2023</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19,296</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240" w:firstLine="7"/>
        <w:spacing w:after="0" w:line="289" w:lineRule="auto"/>
        <w:tabs>
          <w:tab w:leader="none" w:pos="227"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color w:val="auto"/>
                <w:w w:val="98"/>
              </w:rPr>
              <w:t>Financial Liabilities</w:t>
            </w:r>
          </w:p>
        </w:tc>
      </w:tr>
      <w:tr>
        <w:trPr>
          <w:trHeight w:val="25"/>
        </w:trPr>
        <w:tc>
          <w:tcPr>
            <w:tcW w:w="96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127"/>
        </w:trPr>
        <w:tc>
          <w:tcPr>
            <w:tcW w:w="9640" w:type="dxa"/>
            <w:vAlign w:val="bottom"/>
          </w:tcPr>
          <w:p>
            <w:pPr>
              <w:spacing w:after="0"/>
              <w:rPr>
                <w:sz w:val="11"/>
                <w:szCs w:val="11"/>
                <w:color w:val="auto"/>
              </w:rPr>
            </w:pPr>
          </w:p>
        </w:tc>
        <w:tc>
          <w:tcPr>
            <w:tcW w:w="1600" w:type="dxa"/>
            <w:vAlign w:val="bottom"/>
            <w:gridSpan w:val="2"/>
          </w:tcPr>
          <w:p>
            <w:pPr>
              <w:jc w:val="center"/>
              <w:spacing w:after="0" w:line="127" w:lineRule="exact"/>
              <w:rPr>
                <w:sz w:val="20"/>
                <w:szCs w:val="20"/>
                <w:color w:val="auto"/>
              </w:rPr>
            </w:pPr>
            <w:r>
              <w:rPr>
                <w:rFonts w:ascii="Arial" w:cs="Arial" w:eastAsia="Arial" w:hAnsi="Arial"/>
                <w:sz w:val="14"/>
                <w:szCs w:val="14"/>
                <w:color w:val="auto"/>
                <w:w w:val="89"/>
              </w:rPr>
              <w:t>Fair Value Measurements</w:t>
            </w:r>
          </w:p>
        </w:tc>
      </w:tr>
      <w:tr>
        <w:trPr>
          <w:trHeight w:val="142"/>
        </w:trPr>
        <w:tc>
          <w:tcPr>
            <w:tcW w:w="9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0"/>
              <w:spacing w:after="0" w:line="142" w:lineRule="exact"/>
              <w:rPr>
                <w:sz w:val="20"/>
                <w:szCs w:val="20"/>
                <w:color w:val="auto"/>
              </w:rPr>
            </w:pPr>
            <w:r>
              <w:rPr>
                <w:rFonts w:ascii="Arial" w:cs="Arial" w:eastAsia="Arial" w:hAnsi="Arial"/>
                <w:sz w:val="14"/>
                <w:szCs w:val="14"/>
                <w:color w:val="auto"/>
                <w:w w:val="95"/>
              </w:rPr>
              <w:t>Using Significant</w:t>
            </w:r>
          </w:p>
        </w:tc>
      </w:tr>
      <w:tr>
        <w:trPr>
          <w:trHeight w:val="147"/>
        </w:trPr>
        <w:tc>
          <w:tcPr>
            <w:tcW w:w="9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0"/>
              <w:spacing w:after="0" w:line="147" w:lineRule="exact"/>
              <w:rPr>
                <w:sz w:val="20"/>
                <w:szCs w:val="20"/>
                <w:color w:val="auto"/>
              </w:rPr>
            </w:pPr>
            <w:r>
              <w:rPr>
                <w:rFonts w:ascii="Arial" w:cs="Arial" w:eastAsia="Arial" w:hAnsi="Arial"/>
                <w:sz w:val="14"/>
                <w:szCs w:val="14"/>
                <w:color w:val="auto"/>
                <w:w w:val="93"/>
              </w:rPr>
              <w:t>Unobservable Inputs</w:t>
            </w:r>
          </w:p>
        </w:tc>
      </w:tr>
      <w:tr>
        <w:trPr>
          <w:trHeight w:val="187"/>
        </w:trPr>
        <w:tc>
          <w:tcPr>
            <w:tcW w:w="9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w w:val="95"/>
              </w:rPr>
              <w:t>(Level 3)</w:t>
            </w:r>
          </w:p>
        </w:tc>
      </w:tr>
      <w:tr>
        <w:trPr>
          <w:trHeight w:val="24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r>
      <w:tr>
        <w:trPr>
          <w:trHeight w:val="227"/>
        </w:trPr>
        <w:tc>
          <w:tcPr>
            <w:tcW w:w="9640" w:type="dxa"/>
            <w:vAlign w:val="bottom"/>
          </w:tcPr>
          <w:p>
            <w:pPr>
              <w:ind w:left="340"/>
              <w:spacing w:after="0"/>
              <w:rPr>
                <w:sz w:val="20"/>
                <w:szCs w:val="20"/>
                <w:color w:val="auto"/>
              </w:rPr>
            </w:pPr>
            <w:r>
              <w:rPr>
                <w:rFonts w:ascii="Arial" w:cs="Arial" w:eastAsia="Arial" w:hAnsi="Arial"/>
                <w:sz w:val="18"/>
                <w:szCs w:val="18"/>
                <w:color w:val="auto"/>
              </w:rPr>
              <w:t xml:space="preserve">Change in fair value of contingent consideration </w:t>
            </w:r>
            <w:r>
              <w:rPr>
                <w:rFonts w:ascii="Arial" w:cs="Arial" w:eastAsia="Arial" w:hAnsi="Arial"/>
                <w:sz w:val="16"/>
                <w:szCs w:val="16"/>
                <w:color w:val="auto"/>
              </w:rPr>
              <w:t>(1)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28"/>
        </w:trPr>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loss from remeasurement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0"/>
        </w:trPr>
        <w:tc>
          <w:tcPr>
            <w:tcW w:w="9640" w:type="dxa"/>
            <w:vAlign w:val="bottom"/>
          </w:tcPr>
          <w:p>
            <w:pPr>
              <w:ind w:left="20"/>
              <w:spacing w:after="0"/>
              <w:rPr>
                <w:sz w:val="20"/>
                <w:szCs w:val="20"/>
                <w:color w:val="auto"/>
              </w:rPr>
            </w:pPr>
            <w:r>
              <w:rPr>
                <w:rFonts w:ascii="Arial" w:cs="Arial" w:eastAsia="Arial" w:hAnsi="Arial"/>
                <w:sz w:val="18"/>
                <w:szCs w:val="18"/>
                <w:color w:val="auto"/>
              </w:rPr>
              <w:t>Balance at May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16,948</w:t>
            </w:r>
          </w:p>
        </w:tc>
      </w:tr>
      <w:tr>
        <w:trPr>
          <w:trHeight w:val="20"/>
        </w:trPr>
        <w:tc>
          <w:tcPr>
            <w:tcW w:w="9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240" w:firstLine="7"/>
        <w:spacing w:after="0" w:line="271" w:lineRule="auto"/>
        <w:tabs>
          <w:tab w:leader="none" w:pos="227"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Contingent Liability for Acquisition Earn Outs</w:t>
      </w:r>
    </w:p>
    <w:p>
      <w:pPr>
        <w:spacing w:after="0" w:line="167" w:lineRule="exact"/>
        <w:rPr>
          <w:sz w:val="20"/>
          <w:szCs w:val="20"/>
          <w:color w:val="auto"/>
        </w:rPr>
      </w:pPr>
    </w:p>
    <w:p>
      <w:pPr>
        <w:ind w:right="20" w:firstLine="385"/>
        <w:spacing w:after="0" w:line="270" w:lineRule="auto"/>
        <w:rPr>
          <w:sz w:val="20"/>
          <w:szCs w:val="20"/>
          <w:color w:val="auto"/>
        </w:rPr>
      </w:pPr>
      <w:r>
        <w:rPr>
          <w:rFonts w:ascii="Arial" w:cs="Arial" w:eastAsia="Arial" w:hAnsi="Arial"/>
          <w:sz w:val="17"/>
          <w:szCs w:val="17"/>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25" w:lineRule="exact"/>
        <w:rPr>
          <w:sz w:val="20"/>
          <w:szCs w:val="20"/>
          <w:color w:val="auto"/>
        </w:rPr>
      </w:pPr>
    </w:p>
    <w:p>
      <w:pPr>
        <w:ind w:right="20" w:firstLine="385"/>
        <w:spacing w:after="0" w:line="297" w:lineRule="auto"/>
        <w:rPr>
          <w:sz w:val="20"/>
          <w:szCs w:val="20"/>
          <w:color w:val="auto"/>
        </w:rPr>
      </w:pPr>
      <w:r>
        <w:rPr>
          <w:rFonts w:ascii="Arial" w:cs="Arial" w:eastAsia="Arial" w:hAnsi="Arial"/>
          <w:sz w:val="16"/>
          <w:szCs w:val="16"/>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recurring Level 3 fair value measurements of the contingent consideration liabilities include the following significant unobservable inputs as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May 31, 2023:</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Fair Value</w:t>
            </w:r>
          </w:p>
        </w:tc>
        <w:tc>
          <w:tcPr>
            <w:tcW w:w="12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Valuation Technique</w:t>
            </w:r>
          </w:p>
        </w:tc>
        <w:tc>
          <w:tcPr>
            <w:tcW w:w="120" w:type="dxa"/>
            <w:vAlign w:val="bottom"/>
            <w:tcBorders>
              <w:bottom w:val="single" w:sz="8" w:color="CCEEFF"/>
            </w:tcBorders>
          </w:tcPr>
          <w:p>
            <w:pPr>
              <w:spacing w:after="0"/>
              <w:rPr>
                <w:sz w:val="17"/>
                <w:szCs w:val="17"/>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Unobservable Input</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Range</w:t>
            </w:r>
          </w:p>
        </w:tc>
      </w:tr>
      <w:tr>
        <w:trPr>
          <w:trHeight w:val="22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 based payments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27"/>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Probability of payment</w:t>
            </w:r>
          </w:p>
        </w:tc>
        <w:tc>
          <w:tcPr>
            <w:tcW w:w="1500" w:type="dxa"/>
            <w:vAlign w:val="bottom"/>
            <w:gridSpan w:val="2"/>
          </w:tcPr>
          <w:p>
            <w:pPr>
              <w:jc w:val="center"/>
              <w:ind w:left="11"/>
              <w:spacing w:after="0"/>
              <w:rPr>
                <w:sz w:val="20"/>
                <w:szCs w:val="20"/>
                <w:color w:val="auto"/>
              </w:rPr>
            </w:pPr>
            <w:r>
              <w:rPr>
                <w:rFonts w:ascii="Arial" w:cs="Arial" w:eastAsia="Arial" w:hAnsi="Arial"/>
                <w:sz w:val="18"/>
                <w:szCs w:val="18"/>
                <w:color w:val="auto"/>
                <w:w w:val="89"/>
              </w:rPr>
              <w:t>80% - 100%</w:t>
            </w:r>
          </w:p>
        </w:tc>
      </w:tr>
      <w:tr>
        <w:trPr>
          <w:trHeight w:val="241"/>
        </w:trPr>
        <w:tc>
          <w:tcPr>
            <w:tcW w:w="2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Projected fiscal year of payment</w:t>
            </w:r>
          </w:p>
        </w:tc>
        <w:tc>
          <w:tcPr>
            <w:tcW w:w="15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2024 - 2025</w:t>
            </w:r>
          </w:p>
        </w:tc>
      </w:tr>
    </w:tbl>
    <w:p>
      <w:pPr>
        <w:spacing w:after="0" w:line="226" w:lineRule="exact"/>
        <w:rPr>
          <w:sz w:val="20"/>
          <w:szCs w:val="20"/>
          <w:color w:val="auto"/>
        </w:rPr>
      </w:pPr>
    </w:p>
    <w:p>
      <w:pPr>
        <w:jc w:val="both"/>
        <w:ind w:firstLine="385"/>
        <w:spacing w:after="0" w:line="281" w:lineRule="auto"/>
        <w:rPr>
          <w:sz w:val="20"/>
          <w:szCs w:val="20"/>
          <w:color w:val="auto"/>
        </w:rPr>
      </w:pPr>
      <w:r>
        <w:rPr>
          <w:rFonts w:ascii="Arial" w:cs="Arial" w:eastAsia="Arial" w:hAnsi="Arial"/>
          <w:sz w:val="17"/>
          <w:szCs w:val="17"/>
          <w:color w:val="auto"/>
        </w:rPr>
        <w:t>At May 31, 2023,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2024 to 2029 in order for the associated consideration to be paid.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67" w:lineRule="exact"/>
        <w:rPr>
          <w:sz w:val="20"/>
          <w:szCs w:val="20"/>
          <w:color w:val="auto"/>
        </w:rPr>
      </w:pPr>
    </w:p>
    <w:p>
      <w:pPr>
        <w:jc w:val="both"/>
        <w:ind w:right="220" w:firstLine="385"/>
        <w:spacing w:after="0" w:line="271" w:lineRule="auto"/>
        <w:rPr>
          <w:sz w:val="20"/>
          <w:szCs w:val="20"/>
          <w:color w:val="auto"/>
        </w:rPr>
      </w:pPr>
      <w:r>
        <w:rPr>
          <w:rFonts w:ascii="Arial" w:cs="Arial" w:eastAsia="Arial" w:hAnsi="Arial"/>
          <w:sz w:val="18"/>
          <w:szCs w:val="18"/>
          <w:color w:val="auto"/>
        </w:rPr>
        <w:t>The Company recorded a goodwill impairment charge of $14.5 million for the year ended May 31, 2023 to write down the carrying value of the Med Device reporting unit to fair value.</w:t>
      </w:r>
    </w:p>
    <w:p>
      <w:pPr>
        <w:spacing w:after="0" w:line="121" w:lineRule="exact"/>
        <w:rPr>
          <w:sz w:val="20"/>
          <w:szCs w:val="20"/>
          <w:color w:val="auto"/>
        </w:rPr>
      </w:pPr>
    </w:p>
    <w:p>
      <w:pPr>
        <w:ind w:right="20" w:firstLine="385"/>
        <w:spacing w:after="0" w:line="271" w:lineRule="auto"/>
        <w:rPr>
          <w:sz w:val="20"/>
          <w:szCs w:val="20"/>
          <w:color w:val="auto"/>
        </w:rPr>
      </w:pPr>
      <w:r>
        <w:rPr>
          <w:rFonts w:ascii="Arial" w:cs="Arial" w:eastAsia="Arial" w:hAnsi="Arial"/>
          <w:sz w:val="18"/>
          <w:szCs w:val="18"/>
          <w:color w:val="auto"/>
        </w:rPr>
        <w:t>During the fourth quarter of fiscal year 2021, the Company made the decision to abandon the OARtrac product technology and trademark. This resulted in an impairment charge of $14.0 million.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other items measured at fair value on a nonrecurring basis during the year ended May 31, 2023 or May 31,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 are stated at lower of cost and net realizable value (using the first-in, first-out method). Inventories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May 31, 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May 31, 2022</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28,251</w:t>
            </w:r>
          </w:p>
        </w:tc>
      </w:tr>
      <w:tr>
        <w:trPr>
          <w:trHeight w:val="234"/>
        </w:trPr>
        <w:tc>
          <w:tcPr>
            <w:tcW w:w="82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7,186</w:t>
            </w:r>
          </w:p>
        </w:tc>
      </w:tr>
      <w:tr>
        <w:trPr>
          <w:trHeight w:val="23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15,955</w:t>
            </w:r>
          </w:p>
        </w:tc>
      </w:tr>
      <w:tr>
        <w:trPr>
          <w:trHeight w:val="220"/>
        </w:trPr>
        <w:tc>
          <w:tcPr>
            <w:tcW w:w="826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51,392</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200" w:firstLine="385"/>
        <w:spacing w:after="0" w:line="259" w:lineRule="auto"/>
        <w:rPr>
          <w:sz w:val="20"/>
          <w:szCs w:val="20"/>
          <w:color w:val="auto"/>
        </w:rPr>
      </w:pPr>
      <w:r>
        <w:rPr>
          <w:rFonts w:ascii="Arial" w:cs="Arial" w:eastAsia="Arial" w:hAnsi="Arial"/>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2023 and 2022 was $3.1 million and $3.7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May 31, 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May 31, 2022</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Employee Retention Tax Credit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4,194</w:t>
            </w:r>
          </w:p>
        </w:tc>
      </w:tr>
      <w:tr>
        <w:trPr>
          <w:trHeight w:val="24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licenses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License fees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shows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4"/>
        </w:trPr>
        <w:tc>
          <w:tcPr>
            <w:tcW w:w="8260" w:type="dxa"/>
            <w:vAlign w:val="bottom"/>
          </w:tcPr>
          <w:p>
            <w:pPr>
              <w:ind w:left="20"/>
              <w:spacing w:after="0"/>
              <w:rPr>
                <w:sz w:val="20"/>
                <w:szCs w:val="20"/>
                <w:color w:val="auto"/>
              </w:rPr>
            </w:pPr>
            <w:r>
              <w:rPr>
                <w:rFonts w:ascii="Arial" w:cs="Arial" w:eastAsia="Arial" w:hAnsi="Arial"/>
                <w:sz w:val="18"/>
                <w:szCs w:val="18"/>
                <w:color w:val="auto"/>
              </w:rPr>
              <w:t>Rent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taxes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r>
      <w:tr>
        <w:trPr>
          <w:trHeight w:val="24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400" w:right="6700" w:hanging="393"/>
        <w:spacing w:after="0" w:line="484" w:lineRule="auto"/>
        <w:tabs>
          <w:tab w:leader="none" w:pos="193"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are summarized as follows:</w:t>
      </w: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May 31, 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May 31, 2022</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building improvements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29,425</w:t>
            </w:r>
          </w:p>
        </w:tc>
      </w:tr>
      <w:tr>
        <w:trPr>
          <w:trHeight w:val="234"/>
        </w:trPr>
        <w:tc>
          <w:tcPr>
            <w:tcW w:w="8260" w:type="dxa"/>
            <w:vAlign w:val="bottom"/>
          </w:tcPr>
          <w:p>
            <w:pPr>
              <w:ind w:left="20"/>
              <w:spacing w:after="0"/>
              <w:rPr>
                <w:sz w:val="20"/>
                <w:szCs w:val="20"/>
                <w:color w:val="auto"/>
              </w:rPr>
            </w:pPr>
            <w:r>
              <w:rPr>
                <w:rFonts w:ascii="Arial" w:cs="Arial" w:eastAsia="Arial" w:hAnsi="Arial"/>
                <w:sz w:val="18"/>
                <w:szCs w:val="18"/>
                <w:color w:val="auto"/>
              </w:rPr>
              <w:t>Computer software and equipment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27,292</w:t>
            </w:r>
          </w:p>
        </w:tc>
      </w:tr>
      <w:tr>
        <w:trPr>
          <w:trHeight w:val="23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Placement and evaluation units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21,009</w:t>
            </w:r>
          </w:p>
        </w:tc>
      </w:tr>
      <w:tr>
        <w:trPr>
          <w:trHeight w:val="23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27"/>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102,917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95,581</w:t>
            </w: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(51,069)</w:t>
            </w:r>
          </w:p>
        </w:tc>
      </w:tr>
      <w:tr>
        <w:trPr>
          <w:trHeight w:val="227"/>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44,512</w:t>
            </w:r>
          </w:p>
        </w:tc>
      </w:tr>
      <w:tr>
        <w:trPr>
          <w:trHeight w:val="23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0"/>
        </w:trPr>
        <w:tc>
          <w:tcPr>
            <w:tcW w:w="826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45,005</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expense for fiscal years 2023, 2022 and 2021 was $11.9 million, $7.6 million and $5.7 million, respectively.</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7" w:lineRule="exact"/>
        <w:rPr>
          <w:sz w:val="20"/>
          <w:szCs w:val="20"/>
          <w:color w:val="auto"/>
        </w:rPr>
      </w:pPr>
    </w:p>
    <w:p>
      <w:pPr>
        <w:ind w:right="420" w:firstLine="401"/>
        <w:spacing w:after="0" w:line="335" w:lineRule="auto"/>
        <w:rPr>
          <w:sz w:val="20"/>
          <w:szCs w:val="20"/>
          <w:color w:val="auto"/>
        </w:rPr>
      </w:pPr>
      <w:r>
        <w:rPr>
          <w:rFonts w:ascii="Arial" w:cs="Arial" w:eastAsia="Arial" w:hAnsi="Arial"/>
          <w:sz w:val="16"/>
          <w:szCs w:val="16"/>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75"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The Company has historically performed its annual goodwill assessment during the third quarter of each fiscal year. During the fourth quarter of fiscal year 2022, the Company changed its annual impairment assessment date from December 31 to April 30 to more closely align the impairment assessment date with the Company's long term planning and forecasting process.</w:t>
      </w:r>
    </w:p>
    <w:p>
      <w:pPr>
        <w:spacing w:after="0" w:line="132" w:lineRule="exact"/>
        <w:rPr>
          <w:sz w:val="20"/>
          <w:szCs w:val="20"/>
          <w:color w:val="auto"/>
        </w:rPr>
      </w:pPr>
    </w:p>
    <w:p>
      <w:pPr>
        <w:ind w:right="60" w:firstLine="401"/>
        <w:spacing w:after="0" w:line="284" w:lineRule="auto"/>
        <w:rPr>
          <w:sz w:val="20"/>
          <w:szCs w:val="20"/>
          <w:color w:val="auto"/>
        </w:rPr>
      </w:pPr>
      <w:r>
        <w:rPr>
          <w:rFonts w:ascii="Arial" w:cs="Arial" w:eastAsia="Arial" w:hAnsi="Arial"/>
          <w:sz w:val="16"/>
          <w:szCs w:val="16"/>
          <w:color w:val="auto"/>
        </w:rPr>
        <w:t>Prior to the first quarter of fiscal year 2023, the Company managed its operations as one reporting unit. At the beginning of the first quarter of fiscal year 2023, the Company began to manage its operations as two operating segments and two reporting units, namely Med Tech and Med Device (see Note 18 "Segments and Geographic Information" set forth in the Notes to our consolidated financial statements included in this Annual Report on Form 10-K). As a result of this change, goodwill was required to be allocated to each reporting unit and an interim goodwill impairment assessment was performed at the Company and reporting unit levels. To determine the fair value of the individual reporting units and the entire company as of June 1, 2022, the Company utilized the income approach. The income approach is based on the projected cash flows discounted to their present value using discount rates, that in the Company's judgment, consider the timing and risk of the forecasted cash flows using internally developed forecasts and assumptions. Under the income approach,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was also considered; however, the income approach was chosen as the Company determined it is a better representation of both the Med Tech and Med Device reporting units' projected long-term performance. The fair value of each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9" w:name="page70"/>
    <w:bookmarkEnd w:id="69"/>
    <w:p>
      <w:pPr>
        <w:ind w:right="140"/>
        <w:spacing w:after="0" w:line="297" w:lineRule="auto"/>
        <w:rPr>
          <w:sz w:val="20"/>
          <w:szCs w:val="20"/>
          <w:color w:val="auto"/>
        </w:rPr>
      </w:pPr>
      <w:r>
        <w:rPr>
          <w:rFonts w:ascii="Arial" w:cs="Arial" w:eastAsia="Arial" w:hAnsi="Arial"/>
          <w:sz w:val="16"/>
          <w:szCs w:val="16"/>
          <w:color w:val="auto"/>
        </w:rPr>
        <w:t>reporting unit and the Company as a whole was assessed to determine if there was any impairment. The Company compared each reporting unit's fair value to the adjusted carrying value to conclude that there was no impairment for either reporting unit or the Company as a whole. The adjusted carrying value of each reporting unit was used to calculate the Company's book value to compare to its market capitalization at the assessment date. Based on the results of this evaluation, there were no adjustments to goodwill for either reporting unit or the Company as a whole as of August 31, 2022.</w:t>
      </w:r>
    </w:p>
    <w:p>
      <w:pPr>
        <w:spacing w:after="0" w:line="106" w:lineRule="exact"/>
        <w:rPr>
          <w:sz w:val="20"/>
          <w:szCs w:val="20"/>
          <w:color w:val="auto"/>
        </w:rPr>
      </w:pPr>
    </w:p>
    <w:p>
      <w:pPr>
        <w:ind w:firstLine="401"/>
        <w:spacing w:after="0" w:line="284" w:lineRule="auto"/>
        <w:rPr>
          <w:sz w:val="20"/>
          <w:szCs w:val="20"/>
          <w:color w:val="auto"/>
        </w:rPr>
      </w:pPr>
      <w:r>
        <w:rPr>
          <w:rFonts w:ascii="Arial" w:cs="Arial" w:eastAsia="Arial" w:hAnsi="Arial"/>
          <w:sz w:val="16"/>
          <w:szCs w:val="16"/>
          <w:color w:val="auto"/>
        </w:rPr>
        <w:t>The Company's annual testing for impairment of goodwill was completed as of April 30, 2023. To determine the fair value of the two reporting units as of April 30, 2023, the Company utilized the income approach for Med Tech and a combination of the income approach and market approach for Med Device. The income approach is based on the projected cash flows discounted to their present value using discount rates, that in the Company's judgment, consider the timing and risk of the forecasted cash flows using internally developed forecasts and assumptions. Under the income approach,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The market approach was also considered; however, the income approach was chosen as the Company determined it is a better representation of the Med Tech reporting units' projected long-term performance. For Med Device, both the income and market approaches were considered. The fair value of each reporting unit was assessed to determine if there was any impairment. The Company compared each reporting unit's fair value to the adjusted carrying value to conclude that there was no impairment for either reporting unit. Based on the results of this evaluation, there were no adjustments to goodwill for either reporting unit as of April 30, 2023.</w:t>
      </w:r>
    </w:p>
    <w:p>
      <w:pPr>
        <w:spacing w:after="0" w:line="116" w:lineRule="exact"/>
        <w:rPr>
          <w:sz w:val="20"/>
          <w:szCs w:val="20"/>
          <w:color w:val="auto"/>
        </w:rPr>
      </w:pPr>
    </w:p>
    <w:p>
      <w:pPr>
        <w:ind w:right="80" w:firstLine="401"/>
        <w:spacing w:after="0" w:line="272" w:lineRule="auto"/>
        <w:rPr>
          <w:sz w:val="20"/>
          <w:szCs w:val="20"/>
          <w:color w:val="auto"/>
        </w:rPr>
      </w:pPr>
      <w:r>
        <w:rPr>
          <w:rFonts w:ascii="Arial" w:cs="Arial" w:eastAsia="Arial" w:hAnsi="Arial"/>
          <w:sz w:val="17"/>
          <w:szCs w:val="17"/>
          <w:color w:val="auto"/>
        </w:rPr>
        <w:t>The Company concluded that the sale of the dialysis product portfolio and BioSentry tract sealant system biopsy businesses to Merit Medical Systems, Inc. was a triggering event for the Med Device report unit. As the Company concluded that this was the sale of a business, goodwill was allocated to the sale based on the relative fair value of the dialysis and BioSentry businesses and is included in assets held for sale as of May 31, 2023. To determine the fair value of the remaining Med Device reporting unit as of May 31, 2023, the Company utilized the income approach, as it was determined to be a better representation of the remaining Med Device reporting unit's projected long-term performance.</w:t>
      </w:r>
    </w:p>
    <w:p>
      <w:pPr>
        <w:spacing w:after="0" w:line="123" w:lineRule="exact"/>
        <w:rPr>
          <w:sz w:val="20"/>
          <w:szCs w:val="20"/>
          <w:color w:val="auto"/>
        </w:rPr>
      </w:pPr>
    </w:p>
    <w:p>
      <w:pPr>
        <w:ind w:right="60" w:firstLine="401"/>
        <w:spacing w:after="0" w:line="259" w:lineRule="auto"/>
        <w:rPr>
          <w:sz w:val="20"/>
          <w:szCs w:val="20"/>
          <w:color w:val="auto"/>
        </w:rPr>
      </w:pPr>
      <w:r>
        <w:rPr>
          <w:rFonts w:ascii="Arial" w:cs="Arial" w:eastAsia="Arial" w:hAnsi="Arial"/>
          <w:sz w:val="18"/>
          <w:szCs w:val="18"/>
          <w:color w:val="auto"/>
        </w:rPr>
        <w:t>Based on the results of this evaluation, the Company recorded a goodwill impairment charge of $14.5 million for the year ended May 31, 2023 to write down the carrying value of the Med Device reporting unit to fair value. The impairment loss is disclosed separately on the face of the accompanying consolidated statements of operations.</w:t>
      </w:r>
    </w:p>
    <w:p>
      <w:pPr>
        <w:spacing w:after="0" w:line="213" w:lineRule="exact"/>
        <w:rPr>
          <w:sz w:val="20"/>
          <w:szCs w:val="20"/>
          <w:color w:val="auto"/>
        </w:rPr>
      </w:pPr>
    </w:p>
    <w:p>
      <w:pPr>
        <w:ind w:right="600" w:firstLine="401"/>
        <w:spacing w:after="0" w:line="335" w:lineRule="auto"/>
        <w:rPr>
          <w:sz w:val="20"/>
          <w:szCs w:val="20"/>
          <w:color w:val="auto"/>
        </w:rPr>
      </w:pPr>
      <w:r>
        <w:rPr>
          <w:rFonts w:ascii="Arial" w:cs="Arial" w:eastAsia="Arial" w:hAnsi="Arial"/>
          <w:sz w:val="16"/>
          <w:szCs w:val="16"/>
          <w:color w:val="auto"/>
        </w:rPr>
        <w:t>There were no adjustments to goodwill for the Med Tech reporting unit for the year ended May 31, 2023 other than foreign currency translation adjustments. There were no adjustments to goodwill for the year ended May 31, 2022 other than foreign currency translation adjustments.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tcPr>
          <w:p>
            <w:pPr>
              <w:ind w:left="400"/>
              <w:spacing w:after="0"/>
              <w:rPr>
                <w:sz w:val="20"/>
                <w:szCs w:val="20"/>
                <w:color w:val="auto"/>
              </w:rPr>
            </w:pPr>
            <w:r>
              <w:rPr>
                <w:rFonts w:ascii="Arial" w:cs="Arial" w:eastAsia="Arial" w:hAnsi="Arial"/>
                <w:sz w:val="18"/>
                <w:szCs w:val="18"/>
                <w:color w:val="auto"/>
              </w:rPr>
              <w:t>Goodwill for each reporting unit is allocated as follows: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15"/>
        </w:trPr>
        <w:tc>
          <w:tcPr>
            <w:tcW w:w="5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Year ended May 31, 2023</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Med Tech</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2"/>
              </w:rPr>
              <w:t>Med Device</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Total</w:t>
            </w:r>
          </w:p>
        </w:tc>
      </w:tr>
      <w:tr>
        <w:trPr>
          <w:trHeight w:val="22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1, 2022</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160,529</w:t>
            </w:r>
          </w:p>
        </w:tc>
        <w:tc>
          <w:tcPr>
            <w:tcW w:w="3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201,058</w:t>
            </w:r>
          </w:p>
        </w:tc>
      </w:tr>
      <w:tr>
        <w:trPr>
          <w:trHeight w:val="227"/>
        </w:trPr>
        <w:tc>
          <w:tcPr>
            <w:tcW w:w="574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(14,549)</w:t>
            </w:r>
          </w:p>
        </w:tc>
      </w:tr>
      <w:tr>
        <w:trPr>
          <w:trHeight w:val="241"/>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(25,980)</w:t>
            </w:r>
          </w:p>
        </w:tc>
      </w:tr>
      <w:tr>
        <w:trPr>
          <w:trHeight w:val="227"/>
        </w:trPr>
        <w:tc>
          <w:tcPr>
            <w:tcW w:w="574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46"/>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May 31, 2023</w:t>
            </w: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159,238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firstLine="401"/>
        <w:spacing w:after="0" w:line="255" w:lineRule="auto"/>
        <w:rPr>
          <w:sz w:val="20"/>
          <w:szCs w:val="20"/>
          <w:color w:val="auto"/>
        </w:rPr>
      </w:pPr>
      <w:r>
        <w:rPr>
          <w:rFonts w:ascii="Arial" w:cs="Arial" w:eastAsia="Arial" w:hAnsi="Arial"/>
          <w:sz w:val="18"/>
          <w:szCs w:val="18"/>
          <w:color w:val="auto"/>
        </w:rPr>
        <w:t>Even though the Company determined that there was no goodwill impairment as of April 30, 2023 for the Med Tech reporting unit,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April 30, 2024.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 Lived Intangible Assets</w:t>
      </w:r>
    </w:p>
    <w:p>
      <w:pPr>
        <w:spacing w:after="0" w:line="167" w:lineRule="exact"/>
        <w:rPr>
          <w:sz w:val="20"/>
          <w:szCs w:val="20"/>
          <w:color w:val="auto"/>
        </w:rPr>
      </w:pPr>
    </w:p>
    <w:p>
      <w:pPr>
        <w:ind w:right="80" w:firstLine="401"/>
        <w:spacing w:after="0" w:line="253" w:lineRule="auto"/>
        <w:rPr>
          <w:sz w:val="20"/>
          <w:szCs w:val="20"/>
          <w:color w:val="auto"/>
        </w:rPr>
      </w:pPr>
      <w:r>
        <w:rPr>
          <w:rFonts w:ascii="Arial" w:cs="Arial" w:eastAsia="Arial" w:hAnsi="Arial"/>
          <w:sz w:val="18"/>
          <w:szCs w:val="18"/>
          <w:color w:val="auto"/>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ind w:right="80" w:firstLine="401"/>
        <w:spacing w:after="0" w:line="301" w:lineRule="auto"/>
        <w:rPr>
          <w:sz w:val="20"/>
          <w:szCs w:val="20"/>
          <w:color w:val="auto"/>
        </w:rPr>
      </w:pPr>
      <w:r>
        <w:rPr>
          <w:rFonts w:ascii="Arial" w:cs="Arial" w:eastAsia="Arial" w:hAnsi="Arial"/>
          <w:sz w:val="17"/>
          <w:szCs w:val="17"/>
          <w:color w:val="auto"/>
        </w:rPr>
        <w:t>In connection with the triggering event for the Med Device reporting unit as of May 31, 2023, long-lived assets were tested for impairment. As a result of the undiscounted cash flow analysis that was performed, there were no impairments identified as of May 31, 2023.</w:t>
      </w:r>
    </w:p>
    <w:p>
      <w:pPr>
        <w:spacing w:after="0" w:line="98" w:lineRule="exact"/>
        <w:rPr>
          <w:sz w:val="20"/>
          <w:szCs w:val="20"/>
          <w:color w:val="auto"/>
        </w:rPr>
      </w:pPr>
    </w:p>
    <w:p>
      <w:pPr>
        <w:ind w:right="240" w:firstLine="401"/>
        <w:spacing w:after="0" w:line="255" w:lineRule="auto"/>
        <w:rPr>
          <w:sz w:val="20"/>
          <w:szCs w:val="20"/>
          <w:color w:val="auto"/>
        </w:rPr>
      </w:pPr>
      <w:r>
        <w:rPr>
          <w:rFonts w:ascii="Arial" w:cs="Arial" w:eastAsia="Arial" w:hAnsi="Arial"/>
          <w:sz w:val="18"/>
          <w:szCs w:val="18"/>
          <w:color w:val="auto"/>
        </w:rPr>
        <w:t>During the fourth quarter of fiscal year 2021, the Company made the decision to abandon the OARtrac product technology and trademark. This resulted in an impairment charge of $14.0 million. The impairment charge is recorded in "Acquisition, restructuring and other items, net", on the Consolidated Statements of Operations (see Note 19 "Acquisition, restructuring and other items, net" as set forth in the Notes to the consolidated financial statements in this Annual Report on Form 10-K).</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color w:val="auto"/>
                <w:w w:val="94"/>
              </w:rPr>
              <w:t>May 31, 2023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7"/>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36"/>
              <w:spacing w:after="0" w:line="127" w:lineRule="exact"/>
              <w:rPr>
                <w:sz w:val="20"/>
                <w:szCs w:val="20"/>
                <w:color w:val="auto"/>
              </w:rPr>
            </w:pPr>
            <w:r>
              <w:rPr>
                <w:rFonts w:ascii="Arial" w:cs="Arial" w:eastAsia="Arial" w:hAnsi="Arial"/>
                <w:sz w:val="14"/>
                <w:szCs w:val="14"/>
                <w:color w:val="auto"/>
                <w:w w:val="94"/>
              </w:rPr>
              <w:t>Gross carrying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18"/>
              <w:spacing w:after="0" w:line="127"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56"/>
              <w:spacing w:after="0" w:line="127" w:lineRule="exact"/>
              <w:rPr>
                <w:sz w:val="20"/>
                <w:szCs w:val="20"/>
                <w:color w:val="auto"/>
              </w:rPr>
            </w:pPr>
            <w:r>
              <w:rPr>
                <w:rFonts w:ascii="Arial" w:cs="Arial" w:eastAsia="Arial" w:hAnsi="Arial"/>
                <w:sz w:val="14"/>
                <w:szCs w:val="14"/>
                <w:color w:val="auto"/>
                <w:w w:val="95"/>
              </w:rPr>
              <w:t>Net carrying</w:t>
            </w:r>
          </w:p>
        </w:tc>
      </w:tr>
      <w:tr>
        <w:trPr>
          <w:trHeight w:val="19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w w:val="94"/>
              </w:rPr>
              <w:t>amortization</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95"/>
              </w:rPr>
              <w:t>value</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93,437</w:t>
            </w:r>
          </w:p>
        </w:tc>
      </w:tr>
      <w:tr>
        <w:trPr>
          <w:trHeight w:val="234"/>
        </w:trPr>
        <w:tc>
          <w:tcPr>
            <w:tcW w:w="6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57,509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(40,755)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16,754</w:t>
            </w:r>
          </w:p>
        </w:tc>
      </w:tr>
      <w:tr>
        <w:trPr>
          <w:trHeight w:val="23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7"/>
        </w:trPr>
        <w:tc>
          <w:tcPr>
            <w:tcW w:w="6700" w:type="dxa"/>
            <w:vAlign w:val="bottom"/>
          </w:tcPr>
          <w:p>
            <w:pPr>
              <w:ind w:left="20"/>
              <w:spacing w:after="0"/>
              <w:rPr>
                <w:sz w:val="20"/>
                <w:szCs w:val="20"/>
                <w:color w:val="auto"/>
              </w:rPr>
            </w:pPr>
            <w:r>
              <w:rPr>
                <w:rFonts w:ascii="Arial" w:cs="Arial" w:eastAsia="Arial" w:hAnsi="Arial"/>
                <w:sz w:val="18"/>
                <w:szCs w:val="18"/>
                <w:color w:val="auto"/>
              </w:rPr>
              <w:t>Licenses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48"/>
        </w:trPr>
        <w:tc>
          <w:tcPr>
            <w:tcW w:w="67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281,547</w:t>
            </w:r>
          </w:p>
        </w:tc>
        <w:tc>
          <w:tcPr>
            <w:tcW w:w="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(170,403)</w:t>
            </w:r>
          </w:p>
        </w:tc>
        <w:tc>
          <w:tcPr>
            <w:tcW w:w="3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23"/>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color w:val="auto"/>
                <w:w w:val="94"/>
              </w:rPr>
              <w:t>May 31, 2022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5"/>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36"/>
              <w:spacing w:after="0" w:line="135" w:lineRule="exact"/>
              <w:rPr>
                <w:sz w:val="20"/>
                <w:szCs w:val="20"/>
                <w:color w:val="auto"/>
              </w:rPr>
            </w:pPr>
            <w:r>
              <w:rPr>
                <w:rFonts w:ascii="Arial" w:cs="Arial" w:eastAsia="Arial" w:hAnsi="Arial"/>
                <w:sz w:val="14"/>
                <w:szCs w:val="14"/>
                <w:color w:val="auto"/>
                <w:w w:val="94"/>
              </w:rPr>
              <w:t>Gross carrying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18"/>
              <w:spacing w:after="0" w:line="135"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56"/>
              <w:spacing w:after="0" w:line="135" w:lineRule="exact"/>
              <w:rPr>
                <w:sz w:val="20"/>
                <w:szCs w:val="20"/>
                <w:color w:val="auto"/>
              </w:rPr>
            </w:pPr>
            <w:r>
              <w:rPr>
                <w:rFonts w:ascii="Arial" w:cs="Arial" w:eastAsia="Arial" w:hAnsi="Arial"/>
                <w:sz w:val="14"/>
                <w:szCs w:val="14"/>
                <w:color w:val="auto"/>
                <w:w w:val="95"/>
              </w:rPr>
              <w:t>Net carrying</w:t>
            </w:r>
          </w:p>
        </w:tc>
      </w:tr>
      <w:tr>
        <w:trPr>
          <w:trHeight w:val="187"/>
        </w:trPr>
        <w:tc>
          <w:tcPr>
            <w:tcW w:w="67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w w:val="94"/>
              </w:rPr>
              <w:t>amortization</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95"/>
              </w:rPr>
              <w:t>value</w:t>
            </w:r>
          </w:p>
        </w:tc>
      </w:tr>
      <w:tr>
        <w:trPr>
          <w:trHeight w:val="24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w:t>
            </w:r>
          </w:p>
        </w:tc>
        <w:tc>
          <w:tcPr>
            <w:tcW w:w="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(112,141)</w:t>
            </w:r>
          </w:p>
        </w:tc>
        <w:tc>
          <w:tcPr>
            <w:tcW w:w="3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127,326</w:t>
            </w:r>
          </w:p>
        </w:tc>
      </w:tr>
      <w:tr>
        <w:trPr>
          <w:trHeight w:val="227"/>
        </w:trPr>
        <w:tc>
          <w:tcPr>
            <w:tcW w:w="6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22,112</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r>
      <w:tr>
        <w:trPr>
          <w:trHeight w:val="227"/>
        </w:trPr>
        <w:tc>
          <w:tcPr>
            <w:tcW w:w="6700" w:type="dxa"/>
            <w:vAlign w:val="bottom"/>
          </w:tcPr>
          <w:p>
            <w:pPr>
              <w:ind w:left="20"/>
              <w:spacing w:after="0"/>
              <w:rPr>
                <w:sz w:val="20"/>
                <w:szCs w:val="20"/>
                <w:color w:val="auto"/>
              </w:rPr>
            </w:pPr>
            <w:r>
              <w:rPr>
                <w:rFonts w:ascii="Arial" w:cs="Arial" w:eastAsia="Arial" w:hAnsi="Arial"/>
                <w:sz w:val="18"/>
                <w:szCs w:val="18"/>
                <w:color w:val="auto"/>
              </w:rPr>
              <w:t>Licenses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1"/>
        </w:trPr>
        <w:tc>
          <w:tcPr>
            <w:tcW w:w="67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314,369</w:t>
            </w:r>
          </w:p>
        </w:tc>
        <w:tc>
          <w:tcPr>
            <w:tcW w:w="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(161,989)</w:t>
            </w:r>
          </w:p>
        </w:tc>
        <w:tc>
          <w:tcPr>
            <w:tcW w:w="3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Amortization expense was $18.8 million, $19.5 million and $18.1 million for fiscal years 2023, 2022 and 2021, respectively.</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Expected future amortization expense related to the intangible assets for each of the following fiscal years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27"/>
        </w:trPr>
        <w:tc>
          <w:tcPr>
            <w:tcW w:w="5280" w:type="dxa"/>
            <w:vAlign w:val="bottom"/>
          </w:tcPr>
          <w:p>
            <w:pPr>
              <w:ind w:left="20"/>
              <w:spacing w:after="0"/>
              <w:rPr>
                <w:sz w:val="20"/>
                <w:szCs w:val="20"/>
                <w:color w:val="auto"/>
              </w:rPr>
            </w:pPr>
            <w:r>
              <w:rPr>
                <w:rFonts w:ascii="Arial" w:cs="Arial" w:eastAsia="Arial" w:hAnsi="Arial"/>
                <w:sz w:val="18"/>
                <w:szCs w:val="18"/>
                <w:color w:val="auto"/>
              </w:rPr>
              <w:t>2025</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14,380</w:t>
            </w:r>
          </w:p>
        </w:tc>
        <w:tc>
          <w:tcPr>
            <w:tcW w:w="0" w:type="dxa"/>
            <w:vAlign w:val="bottom"/>
          </w:tcPr>
          <w:p>
            <w:pPr>
              <w:spacing w:after="0"/>
              <w:rPr>
                <w:sz w:val="1"/>
                <w:szCs w:val="1"/>
                <w:color w:val="auto"/>
              </w:rPr>
            </w:pPr>
          </w:p>
        </w:tc>
      </w:tr>
      <w:tr>
        <w:trPr>
          <w:trHeight w:val="241"/>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0" w:type="dxa"/>
            <w:vAlign w:val="bottom"/>
          </w:tcPr>
          <w:p>
            <w:pPr>
              <w:spacing w:after="0"/>
              <w:rPr>
                <w:sz w:val="1"/>
                <w:szCs w:val="1"/>
                <w:color w:val="auto"/>
              </w:rPr>
            </w:pPr>
          </w:p>
        </w:tc>
      </w:tr>
      <w:tr>
        <w:trPr>
          <w:trHeight w:val="227"/>
        </w:trPr>
        <w:tc>
          <w:tcPr>
            <w:tcW w:w="5280" w:type="dxa"/>
            <w:vAlign w:val="bottom"/>
          </w:tcPr>
          <w:p>
            <w:pPr>
              <w:ind w:left="20"/>
              <w:spacing w:after="0"/>
              <w:rPr>
                <w:sz w:val="20"/>
                <w:szCs w:val="20"/>
                <w:color w:val="auto"/>
              </w:rPr>
            </w:pPr>
            <w:r>
              <w:rPr>
                <w:rFonts w:ascii="Arial" w:cs="Arial" w:eastAsia="Arial" w:hAnsi="Arial"/>
                <w:sz w:val="18"/>
                <w:szCs w:val="18"/>
                <w:color w:val="auto"/>
              </w:rPr>
              <w:t>2027</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14,057</w:t>
            </w: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24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thereafter</w:t>
            </w:r>
          </w:p>
        </w:tc>
        <w:tc>
          <w:tcPr>
            <w:tcW w:w="14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43,282</w:t>
            </w:r>
          </w:p>
        </w:tc>
        <w:tc>
          <w:tcPr>
            <w:tcW w:w="0" w:type="dxa"/>
            <w:vAlign w:val="bottom"/>
          </w:tcPr>
          <w:p>
            <w:pPr>
              <w:spacing w:after="0"/>
              <w:rPr>
                <w:sz w:val="1"/>
                <w:szCs w:val="1"/>
                <w:color w:val="auto"/>
              </w:rPr>
            </w:pPr>
          </w:p>
        </w:tc>
      </w:tr>
      <w:tr>
        <w:trPr>
          <w:trHeight w:val="246"/>
        </w:trPr>
        <w:tc>
          <w:tcPr>
            <w:tcW w:w="5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INCOME TAXES</w:t>
            </w:r>
          </w:p>
        </w:tc>
        <w:tc>
          <w:tcPr>
            <w:tcW w:w="1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280" w:type="dxa"/>
            <w:vAlign w:val="bottom"/>
          </w:tcPr>
          <w:p>
            <w:pPr>
              <w:ind w:left="400"/>
              <w:spacing w:after="0"/>
              <w:rPr>
                <w:sz w:val="20"/>
                <w:szCs w:val="20"/>
                <w:color w:val="auto"/>
              </w:rPr>
            </w:pPr>
            <w:r>
              <w:rPr>
                <w:rFonts w:ascii="Arial" w:cs="Arial" w:eastAsia="Arial" w:hAnsi="Arial"/>
                <w:sz w:val="18"/>
                <w:szCs w:val="18"/>
                <w:color w:val="auto"/>
                <w:w w:val="93"/>
              </w:rPr>
              <w:t>The components of loss before income tax benefit are as follows:</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 expense:</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80" w:type="dxa"/>
            <w:vAlign w:val="bottom"/>
          </w:tcPr>
          <w:p>
            <w:pPr>
              <w:ind w:left="340"/>
              <w:spacing w:after="0"/>
              <w:rPr>
                <w:sz w:val="20"/>
                <w:szCs w:val="20"/>
                <w:color w:val="auto"/>
              </w:rPr>
            </w:pPr>
            <w:r>
              <w:rPr>
                <w:rFonts w:ascii="Arial" w:cs="Arial" w:eastAsia="Arial" w:hAnsi="Arial"/>
                <w:sz w:val="18"/>
                <w:szCs w:val="18"/>
                <w:color w:val="auto"/>
              </w:rPr>
              <w:t>U.S.</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(45,240)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(28,495)</w:t>
            </w:r>
          </w:p>
        </w:tc>
        <w:tc>
          <w:tcPr>
            <w:tcW w:w="12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(31,595)</w:t>
            </w:r>
          </w:p>
        </w:tc>
        <w:tc>
          <w:tcPr>
            <w:tcW w:w="0" w:type="dxa"/>
            <w:vAlign w:val="bottom"/>
          </w:tcPr>
          <w:p>
            <w:pPr>
              <w:spacing w:after="0"/>
              <w:rPr>
                <w:sz w:val="1"/>
                <w:szCs w:val="1"/>
                <w:color w:val="auto"/>
              </w:rPr>
            </w:pPr>
          </w:p>
        </w:tc>
      </w:tr>
      <w:tr>
        <w:trPr>
          <w:trHeight w:val="227"/>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Non-U.S.</w:t>
            </w:r>
          </w:p>
        </w:tc>
        <w:tc>
          <w:tcPr>
            <w:tcW w:w="14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(29,949)</w:t>
            </w:r>
          </w:p>
        </w:tc>
        <w:tc>
          <w:tcPr>
            <w:tcW w:w="12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440" w:type="dxa"/>
            <w:vAlign w:val="bottom"/>
            <w:vMerge w:val="restart"/>
          </w:tcPr>
          <w:p>
            <w:pPr>
              <w:jc w:val="right"/>
              <w:ind w:right="911"/>
              <w:spacing w:after="0"/>
              <w:rPr>
                <w:sz w:val="20"/>
                <w:szCs w:val="20"/>
                <w:color w:val="auto"/>
              </w:rPr>
            </w:pPr>
            <w:r>
              <w:rPr>
                <w:rFonts w:ascii="Arial" w:cs="Arial" w:eastAsia="Arial" w:hAnsi="Arial"/>
                <w:sz w:val="18"/>
                <w:szCs w:val="18"/>
                <w:color w:val="auto"/>
              </w:rPr>
              <w:t>69</w:t>
            </w: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5"/>
        </w:trPr>
        <w:tc>
          <w:tcPr>
            <w:tcW w:w="52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1" w:name="page72"/>
    <w:bookmarkEnd w:id="71"/>
    <w:p>
      <w:pPr>
        <w:ind w:left="400"/>
        <w:spacing w:after="0"/>
        <w:rPr>
          <w:sz w:val="20"/>
          <w:szCs w:val="20"/>
          <w:color w:val="auto"/>
        </w:rPr>
      </w:pPr>
      <w:r>
        <w:rPr>
          <w:rFonts w:ascii="Arial" w:cs="Arial" w:eastAsia="Arial" w:hAnsi="Arial"/>
          <w:sz w:val="18"/>
          <w:szCs w:val="18"/>
          <w:color w:val="auto"/>
        </w:rPr>
        <w:t>Income tax benefit is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13"/>
              <w:spacing w:after="0"/>
              <w:rPr>
                <w:sz w:val="20"/>
                <w:szCs w:val="20"/>
                <w:color w:val="auto"/>
              </w:rPr>
            </w:pPr>
            <w:r>
              <w:rPr>
                <w:rFonts w:ascii="Arial" w:cs="Arial" w:eastAsia="Arial" w:hAnsi="Arial"/>
                <w:sz w:val="14"/>
                <w:szCs w:val="14"/>
                <w:color w:val="auto"/>
                <w:w w:val="91"/>
              </w:rPr>
              <w:t>Year ended May 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720" w:type="dxa"/>
            <w:vAlign w:val="bottom"/>
            <w:vMerge w:val="continue"/>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2022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 U.S.</w:t>
            </w:r>
          </w:p>
        </w:tc>
        <w:tc>
          <w:tcPr>
            <w:tcW w:w="8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7"/>
        </w:trPr>
        <w:tc>
          <w:tcPr>
            <w:tcW w:w="6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340"/>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34"/>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 U.S.</w:t>
            </w:r>
          </w:p>
        </w:tc>
        <w:tc>
          <w:tcPr>
            <w:tcW w:w="8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68"/>
        </w:trPr>
        <w:tc>
          <w:tcPr>
            <w:tcW w:w="67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(1,995)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7580" w:type="dxa"/>
            <w:vAlign w:val="bottom"/>
            <w:gridSpan w:val="2"/>
          </w:tcPr>
          <w:p>
            <w:pPr>
              <w:ind w:left="400"/>
              <w:spacing w:after="0"/>
              <w:rPr>
                <w:sz w:val="20"/>
                <w:szCs w:val="20"/>
                <w:color w:val="auto"/>
              </w:rPr>
            </w:pPr>
            <w:r>
              <w:rPr>
                <w:rFonts w:ascii="Arial" w:cs="Arial" w:eastAsia="Arial" w:hAnsi="Arial"/>
                <w:sz w:val="18"/>
                <w:szCs w:val="18"/>
                <w:color w:val="auto"/>
                <w:w w:val="89"/>
              </w:rPr>
              <w:t>Temporary differences that give rise to deferred tax assets and liabilities are summarized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7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33"/>
              <w:spacing w:after="0"/>
              <w:rPr>
                <w:sz w:val="20"/>
                <w:szCs w:val="20"/>
                <w:color w:val="auto"/>
              </w:rPr>
            </w:pPr>
            <w:r>
              <w:rPr>
                <w:rFonts w:ascii="Arial" w:cs="Arial" w:eastAsia="Arial" w:hAnsi="Arial"/>
                <w:sz w:val="14"/>
                <w:szCs w:val="14"/>
                <w:color w:val="auto"/>
                <w:w w:val="91"/>
              </w:rPr>
              <w:t>May 31, 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color w:val="auto"/>
              </w:rPr>
              <w:t>May 31, 2022</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340"/>
              <w:spacing w:after="0"/>
              <w:rPr>
                <w:sz w:val="20"/>
                <w:szCs w:val="20"/>
                <w:color w:val="auto"/>
              </w:rPr>
            </w:pPr>
            <w:r>
              <w:rPr>
                <w:rFonts w:ascii="Arial" w:cs="Arial" w:eastAsia="Arial" w:hAnsi="Arial"/>
                <w:sz w:val="18"/>
                <w:szCs w:val="18"/>
                <w:color w:val="auto"/>
              </w:rPr>
              <w:t>Net operating loss carryforward</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40,460</w:t>
            </w:r>
          </w:p>
        </w:tc>
        <w:tc>
          <w:tcPr>
            <w:tcW w:w="34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40,759</w:t>
            </w: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Federal and state R&amp;D tax credit carryforward</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41"/>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Expenses incurred not currently deductible</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Gross deferred tax asset</w:t>
            </w: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54,535</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46,828</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50,320</w:t>
            </w: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50,320</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(20,203)</w:t>
            </w:r>
          </w:p>
        </w:tc>
        <w:tc>
          <w:tcPr>
            <w:tcW w:w="0" w:type="dxa"/>
            <w:vAlign w:val="bottom"/>
          </w:tcPr>
          <w:p>
            <w:pPr>
              <w:spacing w:after="0"/>
              <w:rPr>
                <w:sz w:val="1"/>
                <w:szCs w:val="1"/>
                <w:color w:val="auto"/>
              </w:rPr>
            </w:pPr>
          </w:p>
        </w:tc>
      </w:tr>
      <w:tr>
        <w:trPr>
          <w:trHeight w:val="241"/>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liability</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34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net deferred tax liability in the U.S. as of May 31, 2023 and 2022 principally relates to tax amortization of intangibles that have an indefinite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reversal period for book purposes, also known as a “naked credit deferred tax liability”, that cannot be considered as a source of income to recover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 In addition, included in the net deferred tax liability as of May 31, 2023 and 2022 is a net deferred tax liability of $5.8 million and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$8.8 million, respectively that was related to the stock acquisition of Eximo Medical Ltd. primarily related to book intangibles partially offset by tax net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operating losses and capitalized R&amp;D expenditures.</w:t>
      </w:r>
    </w:p>
    <w:p>
      <w:pPr>
        <w:spacing w:after="0" w:line="155" w:lineRule="exact"/>
        <w:rPr>
          <w:sz w:val="20"/>
          <w:szCs w:val="20"/>
          <w:color w:val="auto"/>
        </w:rPr>
      </w:pPr>
    </w:p>
    <w:p>
      <w:pPr>
        <w:ind w:right="20" w:firstLine="385"/>
        <w:spacing w:after="0" w:line="259" w:lineRule="auto"/>
        <w:rPr>
          <w:sz w:val="20"/>
          <w:szCs w:val="20"/>
          <w:color w:val="auto"/>
        </w:rPr>
      </w:pPr>
      <w:r>
        <w:rPr>
          <w:rFonts w:ascii="Arial" w:cs="Arial" w:eastAsia="Arial" w:hAnsi="Arial"/>
          <w:sz w:val="18"/>
          <w:szCs w:val="18"/>
          <w:color w:val="auto"/>
        </w:rPr>
        <w:t>The Company's U.S. Federal net operating loss carryforwards as of May 31, 2023 after considering IRC Section 382 limitations are $169.7 million. The expiration of the Federal net operating loss carryforwards are as follows: $5.2 million between 2023 and 2024, $79.4 million between 2028 and 2037 and $85.1 million indefinitely.</w:t>
      </w:r>
    </w:p>
    <w:p>
      <w:pPr>
        <w:spacing w:after="0" w:line="132" w:lineRule="exact"/>
        <w:rPr>
          <w:sz w:val="20"/>
          <w:szCs w:val="20"/>
          <w:color w:val="auto"/>
        </w:rPr>
      </w:pPr>
    </w:p>
    <w:p>
      <w:pPr>
        <w:ind w:right="160" w:firstLine="385"/>
        <w:spacing w:after="0" w:line="317" w:lineRule="auto"/>
        <w:rPr>
          <w:sz w:val="20"/>
          <w:szCs w:val="20"/>
          <w:color w:val="auto"/>
        </w:rPr>
      </w:pPr>
      <w:r>
        <w:rPr>
          <w:rFonts w:ascii="Arial" w:cs="Arial" w:eastAsia="Arial" w:hAnsi="Arial"/>
          <w:sz w:val="16"/>
          <w:szCs w:val="16"/>
          <w:color w:val="auto"/>
        </w:rPr>
        <w:t>The Company's state net operating loss carryforwards as of May 31, 2023 after considering remaining IRC Section 382 limitations are $24.1 million which expire in various years from 2029 to 2042. The Company has Israel tax net operating losses of $16.3 million that can be carried forward indefinitely.</w:t>
      </w:r>
    </w:p>
    <w:p>
      <w:pPr>
        <w:spacing w:after="0" w:line="76" w:lineRule="exact"/>
        <w:rPr>
          <w:sz w:val="20"/>
          <w:szCs w:val="20"/>
          <w:color w:val="auto"/>
        </w:rPr>
      </w:pPr>
    </w:p>
    <w:p>
      <w:pPr>
        <w:ind w:firstLine="385"/>
        <w:spacing w:after="0" w:line="250" w:lineRule="auto"/>
        <w:rPr>
          <w:sz w:val="20"/>
          <w:szCs w:val="20"/>
          <w:color w:val="auto"/>
        </w:rPr>
      </w:pPr>
      <w:r>
        <w:rPr>
          <w:rFonts w:ascii="Arial" w:cs="Arial" w:eastAsia="Arial" w:hAnsi="Arial"/>
          <w:sz w:val="17"/>
          <w:szCs w:val="17"/>
          <w:color w:val="auto"/>
        </w:rPr>
        <w:t>Beginning in 2018, except for the Global Intangible Low-Taxed Income,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 withholding taxes payable, where applicable, to foreign countries, but would have no further federal income tax liability. The Company intends to indefinitely reinvest the unremitted foreign earnings of all other subsidiaries as of May 31, 2023, as well as all subsequent earnings generated by all of our foreign subsidiaries. Determining the amount of unrecognized deferred tax liability related to any additional outside basis difference in these entities is not practical.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p>
      <w:pPr>
        <w:ind w:right="140" w:firstLine="385"/>
        <w:spacing w:after="0" w:line="297"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06" w:lineRule="exact"/>
        <w:rPr>
          <w:sz w:val="20"/>
          <w:szCs w:val="20"/>
          <w:color w:val="auto"/>
        </w:rPr>
      </w:pPr>
    </w:p>
    <w:p>
      <w:pPr>
        <w:ind w:right="100" w:firstLine="385"/>
        <w:spacing w:after="0" w:line="252"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2023.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40" w:lineRule="exact"/>
        <w:rPr>
          <w:sz w:val="20"/>
          <w:szCs w:val="20"/>
          <w:color w:val="auto"/>
        </w:rPr>
      </w:pPr>
    </w:p>
    <w:p>
      <w:pPr>
        <w:ind w:right="200" w:firstLine="385"/>
        <w:spacing w:after="0" w:line="271" w:lineRule="auto"/>
        <w:rPr>
          <w:sz w:val="20"/>
          <w:szCs w:val="20"/>
          <w:color w:val="auto"/>
        </w:rPr>
      </w:pPr>
      <w:r>
        <w:rPr>
          <w:rFonts w:ascii="Arial" w:cs="Arial" w:eastAsia="Arial" w:hAnsi="Arial"/>
          <w:sz w:val="18"/>
          <w:szCs w:val="18"/>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55"/>
              <w:spacing w:after="0"/>
              <w:rPr>
                <w:sz w:val="20"/>
                <w:szCs w:val="20"/>
                <w:color w:val="auto"/>
              </w:rPr>
            </w:pPr>
            <w:r>
              <w:rPr>
                <w:rFonts w:ascii="Arial" w:cs="Arial" w:eastAsia="Arial" w:hAnsi="Arial"/>
                <w:sz w:val="14"/>
                <w:szCs w:val="14"/>
                <w:color w:val="auto"/>
                <w:w w:val="91"/>
              </w:rPr>
              <w:t>Year ended May 31,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7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89"/>
              </w:rPr>
              <w:t>2022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Income tax benefit at federal statutory tax rate of 21.0%, 21.0% and 21.0%, respectively</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4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State income taxes, net of Federal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Impact of Non-U.S.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4"/>
        </w:trPr>
        <w:tc>
          <w:tcPr>
            <w:tcW w:w="6720" w:type="dxa"/>
            <w:vAlign w:val="bottom"/>
          </w:tcPr>
          <w:p>
            <w:pPr>
              <w:ind w:left="340"/>
              <w:spacing w:after="0"/>
              <w:rPr>
                <w:sz w:val="20"/>
                <w:szCs w:val="20"/>
                <w:color w:val="auto"/>
              </w:rPr>
            </w:pPr>
            <w:r>
              <w:rPr>
                <w:rFonts w:ascii="Arial" w:cs="Arial" w:eastAsia="Arial" w:hAnsi="Arial"/>
                <w:sz w:val="18"/>
                <w:szCs w:val="18"/>
                <w:color w:val="auto"/>
              </w:rPr>
              <w:t>Research and development tax credit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Meals and entertainment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Non-deductible executive compensation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4"/>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5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00" w:type="dxa"/>
            <w:vAlign w:val="bottom"/>
            <w:gridSpan w:val="6"/>
          </w:tcPr>
          <w:p>
            <w:pPr>
              <w:ind w:left="400"/>
              <w:spacing w:after="0"/>
              <w:rPr>
                <w:sz w:val="20"/>
                <w:szCs w:val="20"/>
                <w:color w:val="auto"/>
              </w:rPr>
            </w:pPr>
            <w:r>
              <w:rPr>
                <w:rFonts w:ascii="Arial" w:cs="Arial" w:eastAsia="Arial" w:hAnsi="Arial"/>
                <w:sz w:val="18"/>
                <w:szCs w:val="18"/>
                <w:color w:val="auto"/>
                <w:w w:val="91"/>
              </w:rPr>
              <w:t>The following table provides a reconciliation of the beginning and ending amount of unrecognized tax benefits: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91"/>
              </w:rPr>
              <w:t>Year ended May 31,</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89"/>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balance at June 1</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Arial" w:cs="Arial" w:eastAsia="Arial" w:hAnsi="Arial"/>
                <w:sz w:val="18"/>
                <w:szCs w:val="18"/>
                <w:color w:val="auto"/>
                <w:w w:val="96"/>
              </w:rPr>
              <w:t>Decrease in gross amounts of tax positions related to prior years due to U.S. tax reform</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due to lapse in statute of limitations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Arial" w:cs="Arial" w:eastAsia="Arial" w:hAnsi="Arial"/>
                <w:sz w:val="18"/>
                <w:szCs w:val="18"/>
                <w:color w:val="auto"/>
              </w:rPr>
              <w:t>Unrecognized tax benefits balance at May 31</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120" w:firstLine="385"/>
        <w:spacing w:after="0" w:line="271" w:lineRule="auto"/>
        <w:rPr>
          <w:sz w:val="20"/>
          <w:szCs w:val="20"/>
          <w:color w:val="auto"/>
        </w:rPr>
      </w:pPr>
      <w:r>
        <w:rPr>
          <w:rFonts w:ascii="Arial" w:cs="Arial" w:eastAsia="Arial" w:hAnsi="Arial"/>
          <w:sz w:val="18"/>
          <w:szCs w:val="18"/>
          <w:color w:val="auto"/>
        </w:rPr>
        <w:t>The table above includes unrecognized tax benefits associated with the calculation of limitations placed on the utilization of tax attributes related to an acquired company. If recognized, $0.5 million would result in adjustments to other tax accounts.</w:t>
      </w:r>
    </w:p>
    <w:p>
      <w:pPr>
        <w:spacing w:after="0" w:line="121" w:lineRule="exact"/>
        <w:rPr>
          <w:sz w:val="20"/>
          <w:szCs w:val="20"/>
          <w:color w:val="auto"/>
        </w:rPr>
      </w:pPr>
    </w:p>
    <w:p>
      <w:pPr>
        <w:ind w:right="500" w:firstLine="385"/>
        <w:spacing w:after="0" w:line="271"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income tax expense. There are no accrued interest and penalties recognized in the Consolidated Balance Sheets as of May 31, 2023 and May 31, 2022.</w:t>
      </w:r>
    </w:p>
    <w:p>
      <w:pPr>
        <w:spacing w:after="0" w:line="121" w:lineRule="exact"/>
        <w:rPr>
          <w:sz w:val="20"/>
          <w:szCs w:val="20"/>
          <w:color w:val="auto"/>
        </w:rPr>
      </w:pPr>
    </w:p>
    <w:p>
      <w:pPr>
        <w:jc w:val="both"/>
        <w:ind w:right="220" w:firstLine="385"/>
        <w:spacing w:after="0" w:line="259"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In the normal course of business the Company is subject to examination by taxing authorities throughout the world. Fiscal years 2020 through 2022 remain open to examination by the various tax authorities.</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does not anticipate that the amount of unrecognized tax benefits will significantly change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11. ACCRUED LIABILITIES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liabilities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May 31, 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May 31, 2022</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related expenses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20,232</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Outside services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3,731</w:t>
            </w:r>
          </w:p>
        </w:tc>
      </w:tr>
      <w:tr>
        <w:trPr>
          <w:trHeight w:val="24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4"/>
        </w:trPr>
        <w:tc>
          <w:tcPr>
            <w:tcW w:w="8260" w:type="dxa"/>
            <w:vAlign w:val="bottom"/>
          </w:tcPr>
          <w:p>
            <w:pPr>
              <w:ind w:left="20"/>
              <w:spacing w:after="0"/>
              <w:rPr>
                <w:sz w:val="20"/>
                <w:szCs w:val="20"/>
                <w:color w:val="auto"/>
              </w:rPr>
            </w:pPr>
            <w:r>
              <w:rPr>
                <w:rFonts w:ascii="Arial" w:cs="Arial" w:eastAsia="Arial" w:hAnsi="Arial"/>
                <w:sz w:val="18"/>
                <w:szCs w:val="18"/>
                <w:color w:val="auto"/>
              </w:rPr>
              <w:t>Sales and franchise taxes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w:t>
            </w:r>
          </w:p>
        </w:tc>
      </w:tr>
      <w:tr>
        <w:trPr>
          <w:trHeight w:val="24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26,617</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171" w:lineRule="exact"/>
        <w:rPr>
          <w:sz w:val="20"/>
          <w:szCs w:val="20"/>
          <w:color w:val="auto"/>
        </w:rPr>
      </w:pPr>
    </w:p>
    <w:p>
      <w:pPr>
        <w:ind w:right="280" w:firstLine="401"/>
        <w:spacing w:after="0" w:line="259" w:lineRule="auto"/>
        <w:rPr>
          <w:sz w:val="20"/>
          <w:szCs w:val="20"/>
          <w:color w:val="auto"/>
        </w:rPr>
      </w:pPr>
      <w:r>
        <w:rPr>
          <w:rFonts w:ascii="Arial" w:cs="Arial" w:eastAsia="Arial" w:hAnsi="Arial"/>
          <w:sz w:val="18"/>
          <w:szCs w:val="18"/>
          <w:color w:val="auto"/>
        </w:rPr>
        <w:t>On August 30, 2022, the Company repaid all amounts outstanding under its then existing credit agreement and entered into a new Credit Agreement (the "Credit Agreement") with its lenders, JPMorgan Chase Bank, N.A., as Administrative Agent, sole bookrunner, and sole lead arranger, and Bank of America, N.A. and KeyBank National Association, as Syndication Agents.</w:t>
      </w:r>
    </w:p>
    <w:p>
      <w:pPr>
        <w:spacing w:after="0" w:line="132" w:lineRule="exact"/>
        <w:rPr>
          <w:sz w:val="20"/>
          <w:szCs w:val="20"/>
          <w:color w:val="auto"/>
        </w:rPr>
      </w:pPr>
    </w:p>
    <w:p>
      <w:pPr>
        <w:ind w:right="80" w:firstLine="401"/>
        <w:spacing w:after="0" w:line="252" w:lineRule="auto"/>
        <w:rPr>
          <w:sz w:val="20"/>
          <w:szCs w:val="20"/>
          <w:color w:val="auto"/>
        </w:rPr>
      </w:pPr>
      <w:r>
        <w:rPr>
          <w:rFonts w:ascii="Arial" w:cs="Arial" w:eastAsia="Arial" w:hAnsi="Arial"/>
          <w:sz w:val="18"/>
          <w:szCs w:val="18"/>
          <w:color w:val="auto"/>
        </w:rPr>
        <w:t>The Credit Agreement provides for a $75.0 million secured revolving credit facility (the "Revolving Facility") and a $30.0 million delayed draw term loan (the "Delayed Draw Term Loan"), and also includes an uncommitted expansion feature that allows the Company to increase the total revolving commitments and/or add new tranches of term loans in an aggregate amount not to exceed $75.0 million. Each exercise of such expansion feature must be drawn in $5.0 million increments. The proceeds of the Revolving Facility may be used for general corporate purposes, including permitted acquisitions. The proceeds of the Delayed Draw Term Loan may be used for general corporate purposes, including primarily to finance the manufacturing costs of the Auryon laser capital equipment.</w:t>
      </w:r>
    </w:p>
    <w:p>
      <w:pPr>
        <w:spacing w:after="0" w:line="140" w:lineRule="exact"/>
        <w:rPr>
          <w:sz w:val="20"/>
          <w:szCs w:val="20"/>
          <w:color w:val="auto"/>
        </w:rPr>
      </w:pPr>
    </w:p>
    <w:p>
      <w:pPr>
        <w:ind w:right="20" w:firstLine="401"/>
        <w:spacing w:after="0" w:line="252" w:lineRule="auto"/>
        <w:rPr>
          <w:sz w:val="20"/>
          <w:szCs w:val="20"/>
          <w:color w:val="auto"/>
        </w:rPr>
      </w:pPr>
      <w:r>
        <w:rPr>
          <w:rFonts w:ascii="Arial" w:cs="Arial" w:eastAsia="Arial" w:hAnsi="Arial"/>
          <w:sz w:val="18"/>
          <w:szCs w:val="18"/>
          <w:color w:val="auto"/>
        </w:rPr>
        <w:t>The Credit Agreement has a five-year maturity. Interest on the Revolving Facility and Delayed Draw Term Loan will be based, at the Company's option, on a rate equal to (i) the Secured Overnight Financing Rate ("SOFR") plus 0.10% (subject to a floor of 0%), or (ii) if the Company elects to treat a borrowing as an ABR Borrowing, an alternate base rate based on SOFR, plus, in each case, an applicable margin of 1.25%, 1.50% or 1.75%, depending on the leverage ratio. If any amounts are not paid when due, such overdue amounts will bear interest at an amount generally equal to 2.0% plus the existing loan rate. The Credit Agreement also carries a commitment fee in the case of the Revolving Facility, and a ticking fee, in the case of the Delayed Draw Term Loans of 0.20% to 0.25% per annum on the unused portion.</w:t>
      </w:r>
    </w:p>
    <w:p>
      <w:pPr>
        <w:spacing w:after="0" w:line="140" w:lineRule="exact"/>
        <w:rPr>
          <w:sz w:val="20"/>
          <w:szCs w:val="20"/>
          <w:color w:val="auto"/>
        </w:rPr>
      </w:pPr>
    </w:p>
    <w:p>
      <w:pPr>
        <w:ind w:right="340" w:firstLine="385"/>
        <w:spacing w:after="0" w:line="259" w:lineRule="auto"/>
        <w:rPr>
          <w:sz w:val="20"/>
          <w:szCs w:val="20"/>
          <w:color w:val="auto"/>
        </w:rPr>
      </w:pPr>
      <w:r>
        <w:rPr>
          <w:rFonts w:ascii="Arial" w:cs="Arial" w:eastAsia="Arial" w:hAnsi="Arial"/>
          <w:sz w:val="18"/>
          <w:szCs w:val="18"/>
          <w:color w:val="auto"/>
        </w:rPr>
        <w:t>The Company's obligations under the Credit Agreement are unconditionally guaranteed, jointly and severally, by the Company's material direct and indirect domestic subsidiaries (the “Guarantors”). All obligations of the Company and the Guarantors under the Credit Agreement are secured by first priority security interests in substantially all of the assets of the Company and the Guarantors.</w:t>
      </w:r>
    </w:p>
    <w:p>
      <w:pPr>
        <w:spacing w:after="0" w:line="132" w:lineRule="exact"/>
        <w:rPr>
          <w:sz w:val="20"/>
          <w:szCs w:val="20"/>
          <w:color w:val="auto"/>
        </w:rPr>
      </w:pPr>
    </w:p>
    <w:p>
      <w:pPr>
        <w:ind w:right="380" w:firstLine="385"/>
        <w:spacing w:after="0" w:line="271"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21" w:lineRule="exact"/>
        <w:rPr>
          <w:sz w:val="20"/>
          <w:szCs w:val="20"/>
          <w:color w:val="auto"/>
        </w:rPr>
      </w:pPr>
    </w:p>
    <w:p>
      <w:pPr>
        <w:ind w:left="640" w:right="440" w:hanging="232"/>
        <w:spacing w:after="0" w:line="255" w:lineRule="auto"/>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ind w:left="640" w:right="60" w:hanging="232"/>
        <w:spacing w:after="0" w:line="285" w:lineRule="auto"/>
        <w:tabs>
          <w:tab w:leader="none" w:pos="6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07" w:lineRule="exact"/>
        <w:rPr>
          <w:rFonts w:ascii="Arial" w:cs="Arial" w:eastAsia="Arial" w:hAnsi="Arial"/>
          <w:sz w:val="17"/>
          <w:szCs w:val="17"/>
          <w:color w:val="auto"/>
        </w:rPr>
      </w:pPr>
    </w:p>
    <w:p>
      <w:pPr>
        <w:ind w:right="320"/>
        <w:spacing w:after="0" w:line="289" w:lineRule="auto"/>
        <w:rPr>
          <w:rFonts w:ascii="Arial" w:cs="Arial" w:eastAsia="Arial" w:hAnsi="Arial"/>
          <w:sz w:val="17"/>
          <w:szCs w:val="17"/>
          <w:color w:val="auto"/>
        </w:rPr>
      </w:pPr>
      <w:r>
        <w:rPr>
          <w:rFonts w:ascii="Arial" w:cs="Arial" w:eastAsia="Arial" w:hAnsi="Arial"/>
          <w:sz w:val="14"/>
          <w:szCs w:val="14"/>
          <w:color w:val="auto"/>
        </w:rPr>
        <w:t>* The definitions of consolidated total indebtedness, consolidated EBITDA, consolidated capital expenditures and consolidated interest expense are specifically defined in the credit agreement included as an exhibit to Form 8-K filed on August 31, 2022.</w:t>
      </w:r>
    </w:p>
    <w:p>
      <w:pPr>
        <w:spacing w:after="0" w:line="125"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As of May 31, 2023 there was $25.0 million outstanding on the Revolving Facility and $25.0 million outstanding on the Delayed Draw Term Loan and the interest rate at May 31, 2023 applicable to each was 6.73%. As of May 31, 2023 and May 31, 2022, the carrying value of long-term debt approximated its fair market value.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8"/>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May 31, 2023</w:t>
            </w:r>
          </w:p>
        </w:tc>
      </w:tr>
      <w:tr>
        <w:trPr>
          <w:trHeight w:val="22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Facility</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7"/>
        </w:trPr>
        <w:tc>
          <w:tcPr>
            <w:tcW w:w="9640" w:type="dxa"/>
            <w:vAlign w:val="bottom"/>
          </w:tcPr>
          <w:p>
            <w:pPr>
              <w:ind w:left="20"/>
              <w:spacing w:after="0"/>
              <w:rPr>
                <w:sz w:val="20"/>
                <w:szCs w:val="20"/>
                <w:color w:val="auto"/>
              </w:rPr>
            </w:pPr>
            <w:r>
              <w:rPr>
                <w:rFonts w:ascii="Arial" w:cs="Arial" w:eastAsia="Arial" w:hAnsi="Arial"/>
                <w:sz w:val="18"/>
                <w:szCs w:val="18"/>
                <w:color w:val="auto"/>
              </w:rPr>
              <w:t>Delayed Draw Term Loan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4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debit issuance costs</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0"/>
        </w:trPr>
        <w:tc>
          <w:tcPr>
            <w:tcW w:w="9640" w:type="dxa"/>
            <w:vAlign w:val="bottom"/>
          </w:tcPr>
          <w:p>
            <w:pPr>
              <w:ind w:left="30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49,818</w:t>
            </w:r>
          </w:p>
        </w:tc>
      </w:tr>
      <w:tr>
        <w:trPr>
          <w:trHeight w:val="20"/>
        </w:trPr>
        <w:tc>
          <w:tcPr>
            <w:tcW w:w="9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was in compliance with the Credit Agreement covenants as of May 31, 2023.</w:t>
      </w:r>
    </w:p>
    <w:p>
      <w:pPr>
        <w:spacing w:after="0" w:line="167"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On June 8, 2023, AngioDynamics used a portion of the consideration received from the sale of the dialysis and BioSentry businesses to repay all amounts owed under AngioDynamics’ existing Credit Agreement, and as a result, the Credit Agreement was extinguished. Pursuant to the terms of the Credit Agreement, AngioDynamics had the option to repay this facility prior to the maturity date without penalty.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PLANS</w:t>
      </w:r>
    </w:p>
    <w:p>
      <w:pPr>
        <w:spacing w:after="0" w:line="171" w:lineRule="exact"/>
        <w:rPr>
          <w:sz w:val="20"/>
          <w:szCs w:val="20"/>
          <w:color w:val="auto"/>
        </w:rPr>
      </w:pPr>
    </w:p>
    <w:p>
      <w:pPr>
        <w:ind w:right="40" w:firstLine="385"/>
        <w:spacing w:after="0" w:line="259" w:lineRule="auto"/>
        <w:rPr>
          <w:sz w:val="20"/>
          <w:szCs w:val="20"/>
          <w:color w:val="auto"/>
        </w:rPr>
      </w:pPr>
      <w:r>
        <w:rPr>
          <w:rFonts w:ascii="Arial" w:cs="Arial" w:eastAsia="Arial" w:hAnsi="Arial"/>
          <w:sz w:val="18"/>
          <w:szCs w:val="18"/>
          <w:color w:val="auto"/>
        </w:rPr>
        <w:t>The Company has a 401(k) plan under which eligible employees can defer a portion of their compensation, part of which is matched by the Company. Matching contributions were $4.2 million, $4.3 million and $3.8 million in 2023, 2022 and 2021, respectively. There are also various immaterial foreign retirement plans.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67" w:lineRule="exact"/>
        <w:rPr>
          <w:sz w:val="20"/>
          <w:szCs w:val="20"/>
          <w:color w:val="auto"/>
        </w:rPr>
      </w:pPr>
    </w:p>
    <w:p>
      <w:pPr>
        <w:ind w:right="20" w:firstLine="385"/>
        <w:spacing w:after="0" w:line="259" w:lineRule="auto"/>
        <w:rPr>
          <w:sz w:val="20"/>
          <w:szCs w:val="20"/>
          <w:color w:val="auto"/>
        </w:rPr>
      </w:pPr>
      <w:r>
        <w:rPr>
          <w:rFonts w:ascii="Arial" w:cs="Arial" w:eastAsia="Arial" w:hAnsi="Arial"/>
          <w:sz w:val="18"/>
          <w:szCs w:val="18"/>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32" w:lineRule="exact"/>
        <w:rPr>
          <w:sz w:val="20"/>
          <w:szCs w:val="20"/>
          <w:color w:val="auto"/>
        </w:rPr>
      </w:pPr>
    </w:p>
    <w:p>
      <w:pPr>
        <w:ind w:right="220" w:firstLine="385"/>
        <w:spacing w:after="0" w:line="269" w:lineRule="auto"/>
        <w:rPr>
          <w:sz w:val="20"/>
          <w:szCs w:val="20"/>
          <w:color w:val="auto"/>
        </w:rPr>
      </w:pPr>
      <w:r>
        <w:rPr>
          <w:rFonts w:ascii="Arial" w:cs="Arial" w:eastAsia="Arial" w:hAnsi="Arial"/>
          <w:sz w:val="17"/>
          <w:szCs w:val="17"/>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25" w:lineRule="exact"/>
        <w:rPr>
          <w:sz w:val="20"/>
          <w:szCs w:val="20"/>
          <w:color w:val="auto"/>
        </w:rPr>
      </w:pPr>
    </w:p>
    <w:p>
      <w:pPr>
        <w:jc w:val="both"/>
        <w:ind w:right="60" w:firstLine="385"/>
        <w:spacing w:after="0" w:line="307" w:lineRule="auto"/>
        <w:rPr>
          <w:sz w:val="20"/>
          <w:szCs w:val="20"/>
          <w:color w:val="auto"/>
        </w:rPr>
      </w:pPr>
      <w:r>
        <w:rPr>
          <w:rFonts w:ascii="Arial" w:cs="Arial" w:eastAsia="Arial" w:hAnsi="Arial"/>
          <w:sz w:val="16"/>
          <w:szCs w:val="16"/>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7" w:lineRule="exact"/>
        <w:rPr>
          <w:sz w:val="20"/>
          <w:szCs w:val="20"/>
          <w:color w:val="auto"/>
        </w:rPr>
      </w:pPr>
    </w:p>
    <w:p>
      <w:pPr>
        <w:ind w:firstLine="401"/>
        <w:spacing w:after="0" w:line="293" w:lineRule="auto"/>
        <w:rPr>
          <w:sz w:val="20"/>
          <w:szCs w:val="20"/>
          <w:color w:val="auto"/>
        </w:rPr>
      </w:pPr>
      <w:r>
        <w:rPr>
          <w:rFonts w:ascii="Arial" w:cs="Arial" w:eastAsia="Arial" w:hAnsi="Arial"/>
          <w:sz w:val="16"/>
          <w:szCs w:val="16"/>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3, 2022 the Company's shareholders approved an amendment to the 2020 Plan to increase the reserve of shares of common stock available for future grants by 1,950,000 shares. As of May 31, 2023, there remained approximately 2.9 million shares available for future grants under the 2020 Plan.</w:t>
      </w:r>
    </w:p>
    <w:p>
      <w:pPr>
        <w:spacing w:after="0" w:line="107" w:lineRule="exact"/>
        <w:rPr>
          <w:sz w:val="20"/>
          <w:szCs w:val="20"/>
          <w:color w:val="auto"/>
        </w:rPr>
      </w:pPr>
    </w:p>
    <w:p>
      <w:pPr>
        <w:ind w:right="120" w:firstLine="401"/>
        <w:spacing w:after="0" w:line="259" w:lineRule="auto"/>
        <w:rPr>
          <w:sz w:val="20"/>
          <w:szCs w:val="20"/>
          <w:color w:val="auto"/>
        </w:rPr>
      </w:pPr>
      <w:r>
        <w:rPr>
          <w:rFonts w:ascii="Arial" w:cs="Arial" w:eastAsia="Arial" w:hAnsi="Arial"/>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928" w:right="439" w:bottom="1440" w:gutter="0" w:footer="0" w:header="0"/>
        </w:sectPr>
      </w:pPr>
    </w:p>
    <w:bookmarkStart w:id="75" w:name="page76"/>
    <w:bookmarkEnd w:id="75"/>
    <w:p>
      <w:pPr>
        <w:ind w:left="400"/>
        <w:spacing w:after="0"/>
        <w:rPr>
          <w:sz w:val="20"/>
          <w:szCs w:val="20"/>
          <w:color w:val="auto"/>
        </w:rPr>
      </w:pPr>
      <w:r>
        <w:rPr>
          <w:rFonts w:ascii="Arial" w:cs="Arial" w:eastAsia="Arial" w:hAnsi="Arial"/>
          <w:sz w:val="18"/>
          <w:szCs w:val="18"/>
          <w:color w:val="auto"/>
        </w:rPr>
        <w:t>The following table summarizes information about stock option activity for the fiscal year ended May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Weighted 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180" w:type="dxa"/>
            <w:vAlign w:val="bottom"/>
          </w:tcPr>
          <w:p>
            <w:pPr>
              <w:spacing w:after="0"/>
              <w:rPr>
                <w:sz w:val="12"/>
                <w:szCs w:val="12"/>
                <w:color w:val="auto"/>
              </w:rPr>
            </w:pPr>
          </w:p>
        </w:tc>
        <w:tc>
          <w:tcPr>
            <w:tcW w:w="1440" w:type="dxa"/>
            <w:vAlign w:val="bottom"/>
            <w:vMerge w:val="restart"/>
          </w:tcPr>
          <w:p>
            <w:pPr>
              <w:jc w:val="right"/>
              <w:ind w:right="453"/>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14"/>
              <w:spacing w:after="0" w:line="139" w:lineRule="exact"/>
              <w:rPr>
                <w:sz w:val="20"/>
                <w:szCs w:val="20"/>
                <w:color w:val="auto"/>
              </w:rPr>
            </w:pPr>
            <w:r>
              <w:rPr>
                <w:rFonts w:ascii="Arial" w:cs="Arial" w:eastAsia="Arial" w:hAnsi="Arial"/>
                <w:sz w:val="14"/>
                <w:szCs w:val="14"/>
                <w:color w:val="auto"/>
                <w:w w:val="91"/>
              </w:rPr>
              <w:t>Weighted average</w:t>
            </w:r>
          </w:p>
        </w:tc>
        <w:tc>
          <w:tcPr>
            <w:tcW w:w="12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color w:val="auto"/>
                <w:w w:val="94"/>
              </w:rPr>
              <w:t>remaining 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58"/>
              <w:spacing w:after="0" w:line="139" w:lineRule="exact"/>
              <w:rPr>
                <w:sz w:val="20"/>
                <w:szCs w:val="20"/>
                <w:color w:val="auto"/>
              </w:rPr>
            </w:pPr>
            <w:r>
              <w:rPr>
                <w:rFonts w:ascii="Arial" w:cs="Arial" w:eastAsia="Arial" w:hAnsi="Arial"/>
                <w:sz w:val="14"/>
                <w:szCs w:val="14"/>
                <w:color w:val="auto"/>
                <w:w w:val="94"/>
              </w:rPr>
              <w:t>Aggregate intrinsic</w:t>
            </w: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exercise price</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1"/>
              </w:rPr>
              <w:t>value (in thousands)</w:t>
            </w: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Outstanding at beginning of year - June 1, 2022</w:t>
            </w:r>
          </w:p>
        </w:tc>
        <w:tc>
          <w:tcPr>
            <w:tcW w:w="1440" w:type="dxa"/>
            <w:vAlign w:val="bottom"/>
          </w:tcPr>
          <w:p>
            <w:pPr>
              <w:jc w:val="right"/>
              <w:spacing w:after="0"/>
              <w:rPr>
                <w:sz w:val="20"/>
                <w:szCs w:val="20"/>
                <w:color w:val="auto"/>
              </w:rPr>
            </w:pPr>
            <w:r>
              <w:rPr>
                <w:rFonts w:ascii="Arial" w:cs="Arial" w:eastAsia="Arial" w:hAnsi="Arial"/>
                <w:sz w:val="18"/>
                <w:szCs w:val="18"/>
                <w:color w:val="auto"/>
              </w:rPr>
              <w:t>2,346,248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(47,824)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 - May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2,206,549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Options exercisable at year-end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17.12</w:t>
            </w:r>
          </w:p>
        </w:tc>
        <w:tc>
          <w:tcPr>
            <w:tcW w:w="15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vMerge w:val="restart"/>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1"/>
        </w:trPr>
        <w:tc>
          <w:tcPr>
            <w:tcW w:w="5180" w:type="dxa"/>
            <w:vAlign w:val="bottom"/>
            <w:vMerge w:val="continue"/>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Arial" w:cs="Arial" w:eastAsia="Arial" w:hAnsi="Arial"/>
                <w:sz w:val="18"/>
                <w:szCs w:val="18"/>
                <w:color w:val="auto"/>
              </w:rPr>
              <w:t>1,408,208</w:t>
            </w:r>
          </w:p>
        </w:tc>
        <w:tc>
          <w:tcPr>
            <w:tcW w:w="26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expected to vest in future periods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140" w:firstLine="385"/>
        <w:spacing w:after="0" w:line="281" w:lineRule="auto"/>
        <w:rPr>
          <w:sz w:val="20"/>
          <w:szCs w:val="20"/>
          <w:color w:val="auto"/>
        </w:rPr>
      </w:pPr>
      <w:r>
        <w:rPr>
          <w:rFonts w:ascii="Arial" w:cs="Arial" w:eastAsia="Arial" w:hAnsi="Arial"/>
          <w:sz w:val="17"/>
          <w:szCs w:val="17"/>
          <w:color w:val="auto"/>
        </w:rPr>
        <w:t>Stock options are granted at exercise prices equal to the quoted market price of common stock at the date of the grant. Options vest 25% per year over four years for employees. Stock options granted prior to May 1, 2007 and after June 1, 2017 expire on the tenth anniversary of the grant date. Stock options granted between May 1, 2007 through May 31, 2017 expire on the seventh anniversary of the grant date.</w:t>
      </w:r>
    </w:p>
    <w:p>
      <w:pPr>
        <w:spacing w:after="0" w:line="116" w:lineRule="exact"/>
        <w:rPr>
          <w:sz w:val="20"/>
          <w:szCs w:val="20"/>
          <w:color w:val="auto"/>
        </w:rPr>
      </w:pPr>
    </w:p>
    <w:p>
      <w:pPr>
        <w:ind w:right="40" w:firstLine="385"/>
        <w:spacing w:after="0" w:line="269" w:lineRule="auto"/>
        <w:rPr>
          <w:sz w:val="20"/>
          <w:szCs w:val="20"/>
          <w:color w:val="auto"/>
        </w:rPr>
      </w:pPr>
      <w:r>
        <w:rPr>
          <w:rFonts w:ascii="Arial" w:cs="Arial" w:eastAsia="Arial" w:hAnsi="Arial"/>
          <w:sz w:val="17"/>
          <w:szCs w:val="17"/>
          <w:color w:val="auto"/>
        </w:rPr>
        <w:t>The Company measures the fair value of each stock option grant at the date of grant using a Black-Scholes option pricing model. The weighted average grant-date fair value of options granted during the years ended May 31, 2023, 2022 and 2021 was $9.27, $9.57, and $3.97, respectively. The following assumptions were used in arriving at the fair value of options granted during 2023, 2022 and 2021, respectively: risk-free interest rates of 3.20%, 0.92% and 0.34%; expected volatility of 44%, 41%, and 39%; and expected lives of 5.14 years, 5.05 years, and 4.96 years. The Company does not declare dividends therefore a dividend yield of zero was used for the years ended May 31, 2023, 2022 and 2021.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125" w:lineRule="exact"/>
        <w:rPr>
          <w:sz w:val="20"/>
          <w:szCs w:val="20"/>
          <w:color w:val="auto"/>
        </w:rPr>
      </w:pPr>
    </w:p>
    <w:p>
      <w:pPr>
        <w:jc w:val="both"/>
        <w:ind w:right="320" w:firstLine="385"/>
        <w:spacing w:after="0" w:line="259" w:lineRule="auto"/>
        <w:rPr>
          <w:sz w:val="20"/>
          <w:szCs w:val="20"/>
          <w:color w:val="auto"/>
        </w:rPr>
      </w:pPr>
      <w:r>
        <w:rPr>
          <w:rFonts w:ascii="Arial" w:cs="Arial" w:eastAsia="Arial" w:hAnsi="Arial"/>
          <w:sz w:val="18"/>
          <w:szCs w:val="18"/>
          <w:color w:val="auto"/>
        </w:rPr>
        <w:t>The total intrinsic value of options exercised during the years ended May 31, 2023, 2022 and 2021 was $0.2 million, $1.6 million, and $0.8 million, respectively. As of May 31, 2023, there was $3.9 million of total unrecognized compensation cost related to non-vested options, which is expected to be recognized over a weighted average period of 2 years.</w:t>
      </w:r>
    </w:p>
    <w:p>
      <w:pPr>
        <w:spacing w:after="0" w:line="132" w:lineRule="exact"/>
        <w:rPr>
          <w:sz w:val="20"/>
          <w:szCs w:val="20"/>
          <w:color w:val="auto"/>
        </w:rPr>
      </w:pPr>
    </w:p>
    <w:p>
      <w:pPr>
        <w:jc w:val="both"/>
        <w:ind w:right="300" w:firstLine="385"/>
        <w:spacing w:after="0" w:line="301" w:lineRule="auto"/>
        <w:rPr>
          <w:sz w:val="20"/>
          <w:szCs w:val="20"/>
          <w:color w:val="auto"/>
        </w:rPr>
      </w:pPr>
      <w:r>
        <w:rPr>
          <w:rFonts w:ascii="Arial" w:cs="Arial" w:eastAsia="Arial" w:hAnsi="Arial"/>
          <w:sz w:val="17"/>
          <w:szCs w:val="17"/>
          <w:color w:val="auto"/>
        </w:rPr>
        <w:t>Cash received from option exercises during 2023, 2022 and 2021 was $0.3 million, $2.7 million and $1.9 million, respectively. Due to the valuation allowance there was no tax benefit realized from stock option exercises during the years ended May 31, 2023, 2022 and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and Performance Share Awards</w:t>
      </w:r>
    </w:p>
    <w:p>
      <w:pPr>
        <w:spacing w:after="0" w:line="167" w:lineRule="exact"/>
        <w:rPr>
          <w:sz w:val="20"/>
          <w:szCs w:val="20"/>
          <w:color w:val="auto"/>
        </w:rPr>
      </w:pPr>
    </w:p>
    <w:p>
      <w:pPr>
        <w:ind w:right="40" w:firstLine="385"/>
        <w:spacing w:after="0" w:line="255" w:lineRule="auto"/>
        <w:rPr>
          <w:sz w:val="20"/>
          <w:szCs w:val="20"/>
          <w:color w:val="auto"/>
        </w:rPr>
      </w:pPr>
      <w:r>
        <w:rPr>
          <w:rFonts w:ascii="Arial" w:cs="Arial" w:eastAsia="Arial" w:hAnsi="Arial"/>
          <w:sz w:val="18"/>
          <w:szCs w:val="18"/>
          <w:color w:val="auto"/>
        </w:rPr>
        <w:t>The Company grants restricted stock units to certain employees under the 2020 Plan, and historically under the 2004 Plan, which give the recipients the right to receive shares of Company stock upon vesting. The restricted stock unit awards vest in four equal annual installments beginning on the first anniversary of the grant date. Restricted stock unit awards granted to directors vest over one year. Unvested restricted stock unit awards will be forfeited if the recipient ceases to be employed by the Company.</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restricted stock unit activity for the year ended May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color w:val="auto"/>
                <w:w w:val="91"/>
              </w:rPr>
              <w:t>Weighted Average Grant-</w:t>
            </w:r>
          </w:p>
        </w:tc>
      </w:tr>
      <w:tr>
        <w:trPr>
          <w:trHeight w:val="181"/>
        </w:trPr>
        <w:tc>
          <w:tcPr>
            <w:tcW w:w="8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w w:val="98"/>
              </w:rPr>
              <w:t>Restricted Stock Units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color w:val="auto"/>
                <w:w w:val="98"/>
              </w:rPr>
              <w:t>Date Fair Value</w:t>
            </w:r>
          </w:p>
        </w:tc>
      </w:tr>
      <w:tr>
        <w:trPr>
          <w:trHeight w:val="25"/>
        </w:trPr>
        <w:tc>
          <w:tcPr>
            <w:tcW w:w="8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beginning of year, June 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27"/>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379,572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4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2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(38,562)</w:t>
            </w:r>
          </w:p>
        </w:tc>
        <w:tc>
          <w:tcPr>
            <w:tcW w:w="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19.28</w:t>
            </w:r>
          </w:p>
        </w:tc>
      </w:tr>
      <w:tr>
        <w:trPr>
          <w:trHeight w:val="24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end of year, May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13" w:lineRule="exact"/>
        <w:rPr>
          <w:sz w:val="20"/>
          <w:szCs w:val="20"/>
          <w:color w:val="auto"/>
        </w:rPr>
      </w:pPr>
    </w:p>
    <w:p>
      <w:pPr>
        <w:ind w:right="360" w:firstLine="385"/>
        <w:spacing w:after="0" w:line="271" w:lineRule="auto"/>
        <w:rPr>
          <w:sz w:val="20"/>
          <w:szCs w:val="20"/>
          <w:color w:val="auto"/>
        </w:rPr>
      </w:pPr>
      <w:r>
        <w:rPr>
          <w:rFonts w:ascii="Arial" w:cs="Arial" w:eastAsia="Arial" w:hAnsi="Arial"/>
          <w:sz w:val="18"/>
          <w:szCs w:val="18"/>
          <w:color w:val="auto"/>
        </w:rPr>
        <w:t>The fair value of each restricted stock unit is the market price of Company stock on the date of grant. The weighted average grant date fair value of restricted stock units granted during the years ended May 31, 2023, 2022 and 2021 was $19.99,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76" w:name="page77"/>
    <w:bookmarkEnd w:id="76"/>
    <w:p>
      <w:pPr>
        <w:ind w:right="20"/>
        <w:spacing w:after="0" w:line="368" w:lineRule="auto"/>
        <w:rPr>
          <w:sz w:val="20"/>
          <w:szCs w:val="20"/>
          <w:color w:val="auto"/>
        </w:rPr>
      </w:pPr>
      <w:r>
        <w:rPr>
          <w:rFonts w:ascii="Arial" w:cs="Arial" w:eastAsia="Arial" w:hAnsi="Arial"/>
          <w:sz w:val="14"/>
          <w:szCs w:val="14"/>
          <w:color w:val="auto"/>
        </w:rPr>
        <w:t>$26.24 and $10.40, respectively. The total intrinsic value of restricted stock units (meaning the fair value of the units on the date of vest) vesting during the years ended May 31, 2023, 2022 and 2021 was $5.6 million, $8.5 million, and $2.1 million, respectively. As of May 31, 2023, there was $9.1 million of total unrecognized compensation cost related to non-vested restricted stock awards, which is expected to be recognized over a weighted average period of 2 years.</w:t>
      </w:r>
    </w:p>
    <w:p>
      <w:pPr>
        <w:spacing w:after="0" w:line="62" w:lineRule="exact"/>
        <w:rPr>
          <w:sz w:val="20"/>
          <w:szCs w:val="20"/>
          <w:color w:val="auto"/>
        </w:rPr>
      </w:pPr>
    </w:p>
    <w:p>
      <w:pPr>
        <w:ind w:right="560" w:firstLine="385"/>
        <w:spacing w:after="0" w:line="255" w:lineRule="auto"/>
        <w:rPr>
          <w:sz w:val="20"/>
          <w:szCs w:val="20"/>
          <w:color w:val="auto"/>
        </w:rPr>
      </w:pPr>
      <w:r>
        <w:rPr>
          <w:rFonts w:ascii="Arial" w:cs="Arial" w:eastAsia="Arial" w:hAnsi="Arial"/>
          <w:sz w:val="18"/>
          <w:szCs w:val="18"/>
          <w:color w:val="auto"/>
        </w:rPr>
        <w:t>The Company grants performance share awards to certain employees under the 2020 Plan, and historically under the 2004 Plan, which gives the recipients the right to receive shares of Company stock if certain criteria is met.</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performance unit award activity for the year ended May 31,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Arial" w:cs="Arial" w:eastAsia="Arial" w:hAnsi="Arial"/>
                <w:sz w:val="14"/>
                <w:szCs w:val="14"/>
                <w:color w:val="auto"/>
              </w:rPr>
              <w:t>Performance Unit</w:t>
            </w:r>
          </w:p>
        </w:tc>
        <w:tc>
          <w:tcPr>
            <w:tcW w:w="10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color w:val="auto"/>
                <w:w w:val="91"/>
              </w:rPr>
              <w:t>Weighted Average Grant-</w:t>
            </w:r>
          </w:p>
        </w:tc>
      </w:tr>
      <w:tr>
        <w:trPr>
          <w:trHeight w:val="194"/>
        </w:trPr>
        <w:tc>
          <w:tcPr>
            <w:tcW w:w="81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8"/>
              </w:rPr>
              <w:t>Date Fair Value</w:t>
            </w: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beginning of year, June 1, 2022</w:t>
            </w: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8"/>
              </w:rPr>
              <w:t>449,473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r>
      <w:tr>
        <w:trPr>
          <w:trHeight w:val="234"/>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ind w:left="800"/>
              <w:spacing w:after="0"/>
              <w:rPr>
                <w:sz w:val="20"/>
                <w:szCs w:val="20"/>
                <w:color w:val="auto"/>
              </w:rPr>
            </w:pPr>
            <w:r>
              <w:rPr>
                <w:rFonts w:ascii="Arial" w:cs="Arial" w:eastAsia="Arial" w:hAnsi="Arial"/>
                <w:sz w:val="18"/>
                <w:szCs w:val="18"/>
                <w:color w:val="auto"/>
                <w:w w:val="98"/>
              </w:rPr>
              <w:t>175,386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21.53</w:t>
            </w:r>
          </w:p>
        </w:tc>
      </w:tr>
      <w:tr>
        <w:trPr>
          <w:trHeight w:val="23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(45,008)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27"/>
        </w:trPr>
        <w:tc>
          <w:tcPr>
            <w:tcW w:w="8180" w:type="dxa"/>
            <w:vAlign w:val="bottom"/>
          </w:tcPr>
          <w:p>
            <w:pPr>
              <w:ind w:left="20"/>
              <w:spacing w:after="0"/>
              <w:rPr>
                <w:sz w:val="20"/>
                <w:szCs w:val="20"/>
                <w:color w:val="auto"/>
              </w:rPr>
            </w:pPr>
            <w:r>
              <w:rPr>
                <w:rFonts w:ascii="Arial" w:cs="Arial" w:eastAsia="Arial" w:hAnsi="Arial"/>
                <w:sz w:val="18"/>
                <w:szCs w:val="18"/>
                <w:color w:val="auto"/>
              </w:rPr>
              <w:t>Canceled</w:t>
            </w:r>
          </w:p>
        </w:tc>
        <w:tc>
          <w:tcPr>
            <w:tcW w:w="14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2"/>
              </w:rPr>
              <w:t>(31,321)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5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end of year, May 31, 2023</w:t>
            </w:r>
          </w:p>
        </w:tc>
        <w:tc>
          <w:tcPr>
            <w:tcW w:w="14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8"/>
              </w:rPr>
              <w:t>548,530</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right="140" w:firstLine="385"/>
        <w:spacing w:after="0" w:line="255" w:lineRule="auto"/>
        <w:rPr>
          <w:sz w:val="20"/>
          <w:szCs w:val="20"/>
          <w:color w:val="auto"/>
        </w:rPr>
      </w:pPr>
      <w:r>
        <w:rPr>
          <w:rFonts w:ascii="Arial" w:cs="Arial" w:eastAsia="Arial" w:hAnsi="Arial"/>
          <w:sz w:val="18"/>
          <w:szCs w:val="18"/>
          <w:color w:val="auto"/>
        </w:rPr>
        <w:t>During fiscal years 2023, 2022 and 2021, the Company granted performance unit awards. Performance unit awards subject to vesting are based on the Company's level of attainment of the performance targets which are set for each of the three performance years along with continued employment of the grantee. At the end of the three year period, the vested shares are subject to modification based on the Company’s TSR targets relative to the percentage appreciation of a specified index of companies for the respective three-year period.</w:t>
      </w:r>
    </w:p>
    <w:p>
      <w:pPr>
        <w:spacing w:after="0" w:line="137" w:lineRule="exact"/>
        <w:rPr>
          <w:sz w:val="20"/>
          <w:szCs w:val="20"/>
          <w:color w:val="auto"/>
        </w:rPr>
      </w:pPr>
    </w:p>
    <w:p>
      <w:pPr>
        <w:ind w:right="160" w:firstLine="385"/>
        <w:spacing w:after="0" w:line="255" w:lineRule="auto"/>
        <w:rPr>
          <w:sz w:val="20"/>
          <w:szCs w:val="20"/>
          <w:color w:val="auto"/>
        </w:rPr>
      </w:pPr>
      <w:r>
        <w:rPr>
          <w:rFonts w:ascii="Arial" w:cs="Arial" w:eastAsia="Arial" w:hAnsi="Arial"/>
          <w:sz w:val="18"/>
          <w:szCs w:val="18"/>
          <w:color w:val="auto"/>
        </w:rPr>
        <w:t>In order to estimate the fair value of such awards, a Monte Carlo Simulation valuation model on the date of the grant was used. For the years ended May 31, 2023, 2022 and 2021, the weighted average grant date fair market value for new grants was $23.71, $28.93 and $9.72, respectively. Compensation cost is recognized over the performance period which is typically three years. As of May 31, 2023, there was $2.4 million of unrecognized compensation cost which is expected to be recognized over a weighted average period of 1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represents the break out of stock-based compensation included in the Company's Consolidated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56"/>
              <w:spacing w:after="0"/>
              <w:rPr>
                <w:sz w:val="20"/>
                <w:szCs w:val="20"/>
                <w:color w:val="auto"/>
              </w:rPr>
            </w:pPr>
            <w:r>
              <w:rPr>
                <w:rFonts w:ascii="Arial" w:cs="Arial" w:eastAsia="Arial" w:hAnsi="Arial"/>
                <w:sz w:val="14"/>
                <w:szCs w:val="14"/>
                <w:color w:val="auto"/>
                <w:w w:val="91"/>
              </w:rPr>
              <w:t>Year ended May 31,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6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7"/>
        </w:trPr>
        <w:tc>
          <w:tcPr>
            <w:tcW w:w="6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47"/>
        </w:trPr>
        <w:tc>
          <w:tcPr>
            <w:tcW w:w="66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w:t>
            </w:r>
          </w:p>
        </w:tc>
        <w:tc>
          <w:tcPr>
            <w:tcW w:w="4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340" w:firstLine="385"/>
        <w:spacing w:after="0" w:line="259" w:lineRule="auto"/>
        <w:rPr>
          <w:sz w:val="20"/>
          <w:szCs w:val="20"/>
          <w:color w:val="auto"/>
        </w:rPr>
      </w:pPr>
      <w:r>
        <w:rPr>
          <w:rFonts w:ascii="Arial" w:cs="Arial" w:eastAsia="Arial" w:hAnsi="Arial"/>
          <w:sz w:val="18"/>
          <w:szCs w:val="18"/>
          <w:color w:val="auto"/>
        </w:rPr>
        <w:t>The income tax benefit on the compensation expense recognized for all stock-based compensation arrangements was $2.6 million, $2.5 million and $2.0 million for the years ended May 31, 2023, 2022 and 2021, respectively. The income tax benefit for 2023, 2022 and 2021 are negated by the full valuation allowance recorded against the deferred tax assets.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7" w:lineRule="exact"/>
        <w:rPr>
          <w:sz w:val="20"/>
          <w:szCs w:val="20"/>
          <w:color w:val="auto"/>
        </w:rPr>
      </w:pPr>
    </w:p>
    <w:p>
      <w:pPr>
        <w:ind w:right="80" w:firstLine="385"/>
        <w:spacing w:after="0" w:line="268" w:lineRule="auto"/>
        <w:rPr>
          <w:sz w:val="20"/>
          <w:szCs w:val="20"/>
          <w:color w:val="auto"/>
        </w:rPr>
      </w:pPr>
      <w:r>
        <w:rPr>
          <w:rFonts w:ascii="Arial" w:cs="Arial" w:eastAsia="Arial" w:hAnsi="Arial"/>
          <w:sz w:val="17"/>
          <w:szCs w:val="17"/>
          <w:color w:val="auto"/>
        </w:rPr>
        <w:t>The Employee Stock Purchase Plan (the “Stock Purchase Plan”) provides a means by which employees (the “participants”) are given an opportunity to purchase the Company's common stock through payroll deductions. A total of 5,000,000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7" w:name="page78"/>
    <w:bookmarkEnd w:id="77"/>
    <w:p>
      <w:pPr>
        <w:ind w:right="120"/>
        <w:spacing w:after="0" w:line="252" w:lineRule="auto"/>
        <w:rPr>
          <w:sz w:val="20"/>
          <w:szCs w:val="20"/>
          <w:color w:val="auto"/>
        </w:rPr>
      </w:pPr>
      <w:r>
        <w:rPr>
          <w:rFonts w:ascii="Arial" w:cs="Arial" w:eastAsia="Arial" w:hAnsi="Arial"/>
          <w:sz w:val="18"/>
          <w:szCs w:val="18"/>
          <w:color w:val="auto"/>
        </w:rPr>
        <w:t>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During the years ended May 31, 2017, 2019 and 2021, an additional 500,000, 1,000,000 and 500,000 shares of the Company's common stock, respectively, were reserved for issuance under the Stock Purchase Plan. On November 3, 2022 the Company's shareholders approved an amendment to the employee stock purchase plan to increase the reserve of shares of common stock available for future grants by 1,000,000 shares.</w:t>
      </w:r>
    </w:p>
    <w:p>
      <w:pPr>
        <w:spacing w:after="0" w:line="140" w:lineRule="exact"/>
        <w:rPr>
          <w:sz w:val="20"/>
          <w:szCs w:val="20"/>
          <w:color w:val="auto"/>
        </w:rPr>
      </w:pPr>
    </w:p>
    <w:p>
      <w:pPr>
        <w:ind w:right="80" w:firstLine="385"/>
        <w:spacing w:after="0" w:line="275" w:lineRule="auto"/>
        <w:rPr>
          <w:sz w:val="20"/>
          <w:szCs w:val="20"/>
          <w:color w:val="auto"/>
        </w:rPr>
      </w:pPr>
      <w:r>
        <w:rPr>
          <w:rFonts w:ascii="Arial" w:cs="Arial" w:eastAsia="Arial" w:hAnsi="Arial"/>
          <w:sz w:val="17"/>
          <w:szCs w:val="17"/>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2023, 2022 and 2021, 149,778, 98,586 and 164,194 shares, respectively, were issued at an average price of $13.67, $19.02 and $7.95, respectively, under the Stock Purchase Plan. As of May 31, 2023, 3.2 million shares remained available for future purchases under the Stock Purchase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71" w:lineRule="exact"/>
        <w:rPr>
          <w:sz w:val="20"/>
          <w:szCs w:val="20"/>
          <w:color w:val="auto"/>
        </w:rPr>
      </w:pPr>
    </w:p>
    <w:p>
      <w:pPr>
        <w:jc w:val="both"/>
        <w:ind w:right="80" w:firstLine="385"/>
        <w:spacing w:after="0" w:line="255" w:lineRule="auto"/>
        <w:rPr>
          <w:sz w:val="20"/>
          <w:szCs w:val="20"/>
          <w:color w:val="auto"/>
        </w:rPr>
      </w:pPr>
      <w:r>
        <w:rPr>
          <w:rFonts w:ascii="Arial" w:cs="Arial" w:eastAsia="Arial" w:hAnsi="Arial"/>
          <w:sz w:val="18"/>
          <w:szCs w:val="18"/>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reconciles basic to diluted weighted average shares outstanding: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40"/>
              <w:spacing w:after="0"/>
              <w:rPr>
                <w:sz w:val="20"/>
                <w:szCs w:val="20"/>
                <w:color w:val="auto"/>
              </w:rPr>
            </w:pPr>
            <w:r>
              <w:rPr>
                <w:rFonts w:ascii="Arial" w:cs="Arial" w:eastAsia="Arial" w:hAnsi="Arial"/>
                <w:sz w:val="14"/>
                <w:szCs w:val="14"/>
                <w:color w:val="auto"/>
              </w:rPr>
              <w:t>Year ended May 31,</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5"/>
        </w:trPr>
        <w:tc>
          <w:tcPr>
            <w:tcW w:w="67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8"/>
        </w:trPr>
        <w:tc>
          <w:tcPr>
            <w:tcW w:w="6700" w:type="dxa"/>
            <w:vAlign w:val="bottom"/>
          </w:tcPr>
          <w:p>
            <w:pPr>
              <w:spacing w:after="0"/>
              <w:rPr>
                <w:sz w:val="15"/>
                <w:szCs w:val="15"/>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r>
      <w:tr>
        <w:trPr>
          <w:trHeight w:val="23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39,480,367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39,009,419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38,342,476</w:t>
            </w:r>
          </w:p>
        </w:tc>
      </w:tr>
      <w:tr>
        <w:trPr>
          <w:trHeight w:val="22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39,480,367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39,009,419</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38,342,476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excluded as their inclusion would be anti-dilutive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3,491,099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3,465,738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3,285,354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71" w:lineRule="exact"/>
        <w:rPr>
          <w:sz w:val="20"/>
          <w:szCs w:val="20"/>
          <w:color w:val="auto"/>
        </w:rPr>
      </w:pPr>
    </w:p>
    <w:p>
      <w:pPr>
        <w:jc w:val="both"/>
        <w:ind w:firstLine="385"/>
        <w:spacing w:after="0" w:line="271"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21" w:lineRule="exact"/>
        <w:rPr>
          <w:sz w:val="20"/>
          <w:szCs w:val="20"/>
          <w:color w:val="auto"/>
        </w:rPr>
      </w:pPr>
    </w:p>
    <w:p>
      <w:pPr>
        <w:ind w:right="80" w:firstLine="385"/>
        <w:spacing w:after="0" w:line="255"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37" w:lineRule="exact"/>
        <w:rPr>
          <w:sz w:val="20"/>
          <w:szCs w:val="20"/>
          <w:color w:val="auto"/>
        </w:rPr>
      </w:pPr>
    </w:p>
    <w:p>
      <w:pPr>
        <w:ind w:right="60" w:firstLine="385"/>
        <w:spacing w:after="0" w:line="275" w:lineRule="auto"/>
        <w:rPr>
          <w:sz w:val="20"/>
          <w:szCs w:val="20"/>
          <w:color w:val="auto"/>
        </w:rPr>
      </w:pPr>
      <w:r>
        <w:rPr>
          <w:rFonts w:ascii="Arial" w:cs="Arial" w:eastAsia="Arial" w:hAnsi="Arial"/>
          <w:sz w:val="17"/>
          <w:szCs w:val="17"/>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supplemental balance sheet information related to leases: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1"/>
        </w:trPr>
        <w:tc>
          <w:tcPr>
            <w:tcW w:w="55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40" w:type="dxa"/>
            <w:vAlign w:val="bottom"/>
          </w:tcPr>
          <w:p>
            <w:pPr>
              <w:ind w:left="640"/>
              <w:spacing w:after="0"/>
              <w:rPr>
                <w:sz w:val="20"/>
                <w:szCs w:val="20"/>
                <w:color w:val="auto"/>
              </w:rPr>
            </w:pPr>
            <w:r>
              <w:rPr>
                <w:rFonts w:ascii="Arial" w:cs="Arial" w:eastAsia="Arial" w:hAnsi="Arial"/>
                <w:sz w:val="14"/>
                <w:szCs w:val="14"/>
                <w:color w:val="auto"/>
              </w:rPr>
              <w:t>Balance Sheet Location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May 31, 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May 31, 2022</w:t>
            </w:r>
          </w:p>
        </w:tc>
      </w:tr>
      <w:tr>
        <w:trPr>
          <w:trHeight w:val="25"/>
        </w:trPr>
        <w:tc>
          <w:tcPr>
            <w:tcW w:w="55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4"/>
        </w:trPr>
        <w:tc>
          <w:tcPr>
            <w:tcW w:w="5520" w:type="dxa"/>
            <w:vAlign w:val="bottom"/>
          </w:tcPr>
          <w:p>
            <w:pPr>
              <w:ind w:left="220"/>
              <w:spacing w:after="0"/>
              <w:rPr>
                <w:sz w:val="20"/>
                <w:szCs w:val="20"/>
                <w:color w:val="auto"/>
              </w:rPr>
            </w:pPr>
            <w:r>
              <w:rPr>
                <w:rFonts w:ascii="Arial" w:cs="Arial" w:eastAsia="Arial" w:hAnsi="Arial"/>
                <w:sz w:val="18"/>
                <w:szCs w:val="18"/>
                <w:color w:val="auto"/>
              </w:rPr>
              <w:t>Operating lease ROU assets</w:t>
            </w:r>
          </w:p>
        </w:tc>
        <w:tc>
          <w:tcPr>
            <w:tcW w:w="2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5,113</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6,974</w:t>
            </w:r>
          </w:p>
        </w:tc>
      </w:tr>
      <w:tr>
        <w:trPr>
          <w:trHeight w:val="23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7"/>
        </w:trPr>
        <w:tc>
          <w:tcPr>
            <w:tcW w:w="552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26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41"/>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liabilities</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r>
      <w:tr>
        <w:trPr>
          <w:trHeight w:val="220"/>
        </w:trPr>
        <w:tc>
          <w:tcPr>
            <w:tcW w:w="552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w:t>
            </w:r>
          </w:p>
        </w:tc>
      </w:tr>
      <w:tr>
        <w:trPr>
          <w:trHeight w:val="20"/>
        </w:trPr>
        <w:tc>
          <w:tcPr>
            <w:tcW w:w="5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right="60" w:firstLine="385"/>
        <w:spacing w:after="0" w:line="255"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60" w:type="dxa"/>
            <w:vAlign w:val="bottom"/>
          </w:tcPr>
          <w:p>
            <w:pPr>
              <w:spacing w:after="0"/>
              <w:rPr>
                <w:sz w:val="15"/>
                <w:szCs w:val="15"/>
                <w:color w:val="auto"/>
              </w:rPr>
            </w:pPr>
          </w:p>
        </w:tc>
        <w:tc>
          <w:tcPr>
            <w:tcW w:w="1540" w:type="dxa"/>
            <w:vAlign w:val="bottom"/>
          </w:tcPr>
          <w:p>
            <w:pPr>
              <w:jc w:val="right"/>
              <w:ind w:right="297"/>
              <w:spacing w:after="0"/>
              <w:rPr>
                <w:sz w:val="20"/>
                <w:szCs w:val="20"/>
                <w:color w:val="auto"/>
              </w:rPr>
            </w:pPr>
            <w:r>
              <w:rPr>
                <w:rFonts w:ascii="Arial" w:cs="Arial" w:eastAsia="Arial" w:hAnsi="Arial"/>
                <w:sz w:val="14"/>
                <w:szCs w:val="14"/>
                <w:color w:val="auto"/>
              </w:rPr>
              <w:t>May 31, 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color w:val="auto"/>
              </w:rPr>
              <w:t>May 31, 2022</w:t>
            </w:r>
          </w:p>
        </w:tc>
      </w:tr>
      <w:tr>
        <w:trPr>
          <w:trHeight w:val="25"/>
        </w:trPr>
        <w:tc>
          <w:tcPr>
            <w:tcW w:w="80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 (in years)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7"/>
        </w:trPr>
        <w:tc>
          <w:tcPr>
            <w:tcW w:w="80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467"/>
        </w:trPr>
        <w:tc>
          <w:tcPr>
            <w:tcW w:w="8060" w:type="dxa"/>
            <w:vAlign w:val="bottom"/>
          </w:tcPr>
          <w:p>
            <w:pPr>
              <w:ind w:left="400"/>
              <w:spacing w:after="0"/>
              <w:rPr>
                <w:sz w:val="20"/>
                <w:szCs w:val="20"/>
                <w:color w:val="auto"/>
              </w:rPr>
            </w:pPr>
            <w:r>
              <w:rPr>
                <w:rFonts w:ascii="Arial" w:cs="Arial" w:eastAsia="Arial" w:hAnsi="Arial"/>
                <w:sz w:val="18"/>
                <w:szCs w:val="18"/>
                <w:color w:val="auto"/>
              </w:rPr>
              <w:t>The maturities of the lease liabilities for each of the following fiscal years is: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4"/>
        </w:trPr>
        <w:tc>
          <w:tcPr>
            <w:tcW w:w="80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color w:val="auto"/>
              </w:rPr>
              <w:t>May 31, 2023</w:t>
            </w:r>
          </w:p>
        </w:tc>
      </w:tr>
      <w:tr>
        <w:trPr>
          <w:trHeight w:val="25"/>
        </w:trPr>
        <w:tc>
          <w:tcPr>
            <w:tcW w:w="80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5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r>
      <w:tr>
        <w:trPr>
          <w:trHeight w:val="227"/>
        </w:trPr>
        <w:tc>
          <w:tcPr>
            <w:tcW w:w="8060" w:type="dxa"/>
            <w:vAlign w:val="bottom"/>
          </w:tcPr>
          <w:p>
            <w:pPr>
              <w:ind w:left="20"/>
              <w:spacing w:after="0"/>
              <w:rPr>
                <w:sz w:val="20"/>
                <w:szCs w:val="20"/>
                <w:color w:val="auto"/>
              </w:rPr>
            </w:pPr>
            <w:r>
              <w:rPr>
                <w:rFonts w:ascii="Arial" w:cs="Arial" w:eastAsia="Arial" w:hAnsi="Arial"/>
                <w:sz w:val="18"/>
                <w:szCs w:val="18"/>
                <w:color w:val="auto"/>
              </w:rPr>
              <w:t>2025</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4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27"/>
        </w:trPr>
        <w:tc>
          <w:tcPr>
            <w:tcW w:w="8060" w:type="dxa"/>
            <w:vAlign w:val="bottom"/>
          </w:tcPr>
          <w:p>
            <w:pPr>
              <w:ind w:left="20"/>
              <w:spacing w:after="0"/>
              <w:rPr>
                <w:sz w:val="20"/>
                <w:szCs w:val="20"/>
                <w:color w:val="auto"/>
              </w:rPr>
            </w:pPr>
            <w:r>
              <w:rPr>
                <w:rFonts w:ascii="Arial" w:cs="Arial" w:eastAsia="Arial" w:hAnsi="Arial"/>
                <w:sz w:val="18"/>
                <w:szCs w:val="18"/>
                <w:color w:val="auto"/>
              </w:rPr>
              <w:t>2027</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 and thereafter</w:t>
            </w: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7"/>
        </w:trPr>
        <w:tc>
          <w:tcPr>
            <w:tcW w:w="806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5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5,596</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1"/>
        </w:trPr>
        <w:tc>
          <w:tcPr>
            <w:tcW w:w="8060" w:type="dxa"/>
            <w:vAlign w:val="bottom"/>
          </w:tcPr>
          <w:p>
            <w:pPr>
              <w:ind w:left="20"/>
              <w:spacing w:after="0"/>
              <w:rPr>
                <w:sz w:val="20"/>
                <w:szCs w:val="20"/>
                <w:color w:val="auto"/>
              </w:rPr>
            </w:pPr>
            <w:r>
              <w:rPr>
                <w:rFonts w:ascii="Arial" w:cs="Arial" w:eastAsia="Arial" w:hAnsi="Arial"/>
                <w:sz w:val="18"/>
                <w:szCs w:val="18"/>
                <w:color w:val="auto"/>
              </w:rPr>
              <w:t>Total lease obligations</w:t>
            </w:r>
          </w:p>
        </w:tc>
        <w:tc>
          <w:tcPr>
            <w:tcW w:w="15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5,238</w:t>
            </w:r>
          </w:p>
        </w:tc>
      </w:tr>
      <w:tr>
        <w:trPr>
          <w:trHeight w:val="24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lease obligations</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20"/>
        </w:trPr>
        <w:tc>
          <w:tcPr>
            <w:tcW w:w="806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15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0"/>
        </w:trPr>
        <w:tc>
          <w:tcPr>
            <w:tcW w:w="8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440" w:firstLine="385"/>
        <w:spacing w:after="0" w:line="335" w:lineRule="auto"/>
        <w:rPr>
          <w:sz w:val="20"/>
          <w:szCs w:val="20"/>
          <w:color w:val="auto"/>
        </w:rPr>
      </w:pPr>
      <w:r>
        <w:rPr>
          <w:rFonts w:ascii="Arial" w:cs="Arial" w:eastAsia="Arial" w:hAnsi="Arial"/>
          <w:sz w:val="16"/>
          <w:szCs w:val="16"/>
          <w:color w:val="auto"/>
        </w:rPr>
        <w:t>During the years ended May 31, 2023 and May 31, 2022, the Company recognized operating lease expense, which includes immaterial short-term leases, of $2.7 million and $2.8 million, respectively. The expenses on the Consolidated Statement of Operations were classified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May 31,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May 31, 2022</w:t>
            </w:r>
          </w:p>
        </w:tc>
        <w:tc>
          <w:tcPr>
            <w:tcW w:w="0" w:type="dxa"/>
            <w:vAlign w:val="bottom"/>
          </w:tcPr>
          <w:p>
            <w:pPr>
              <w:spacing w:after="0"/>
              <w:rPr>
                <w:sz w:val="1"/>
                <w:szCs w:val="1"/>
                <w:color w:val="auto"/>
              </w:rPr>
            </w:pPr>
          </w:p>
        </w:tc>
      </w:tr>
      <w:tr>
        <w:trPr>
          <w:trHeight w:val="24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52"/>
        </w:trPr>
        <w:tc>
          <w:tcPr>
            <w:tcW w:w="8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280" w:type="dxa"/>
            <w:vAlign w:val="bottom"/>
          </w:tcPr>
          <w:p>
            <w:pPr>
              <w:ind w:left="400"/>
              <w:spacing w:after="0"/>
              <w:rPr>
                <w:sz w:val="20"/>
                <w:szCs w:val="20"/>
                <w:color w:val="auto"/>
              </w:rPr>
            </w:pPr>
            <w:r>
              <w:rPr>
                <w:rFonts w:ascii="Arial" w:cs="Arial" w:eastAsia="Arial" w:hAnsi="Arial"/>
                <w:sz w:val="18"/>
                <w:szCs w:val="18"/>
                <w:color w:val="auto"/>
              </w:rPr>
              <w:t>The following table presents supplemental cash flow and other information related to leases: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May 31, 2023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May 31, 2022</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4"/>
        </w:trPr>
        <w:tc>
          <w:tcPr>
            <w:tcW w:w="828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other future commitments and contingencies as of May 31, 2023:</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78"/>
              <w:spacing w:after="0"/>
              <w:rPr>
                <w:sz w:val="20"/>
                <w:szCs w:val="20"/>
                <w:color w:val="auto"/>
              </w:rPr>
            </w:pPr>
            <w:r>
              <w:rPr>
                <w:rFonts w:ascii="Arial" w:cs="Arial" w:eastAsia="Arial" w:hAnsi="Arial"/>
                <w:sz w:val="14"/>
                <w:szCs w:val="14"/>
                <w:color w:val="auto"/>
                <w:w w:val="99"/>
              </w:rPr>
              <w:t>2028 and</w:t>
            </w:r>
          </w:p>
        </w:tc>
      </w:tr>
      <w:tr>
        <w:trPr>
          <w:trHeight w:val="181"/>
        </w:trPr>
        <w:tc>
          <w:tcPr>
            <w:tcW w:w="43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color w:val="auto"/>
              </w:rPr>
              <w:t>2027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58"/>
              <w:spacing w:after="0"/>
              <w:rPr>
                <w:sz w:val="20"/>
                <w:szCs w:val="20"/>
                <w:color w:val="auto"/>
              </w:rPr>
            </w:pPr>
            <w:r>
              <w:rPr>
                <w:rFonts w:ascii="Arial" w:cs="Arial" w:eastAsia="Arial" w:hAnsi="Arial"/>
                <w:sz w:val="14"/>
                <w:szCs w:val="14"/>
                <w:color w:val="auto"/>
              </w:rPr>
              <w:t>thereafter</w:t>
            </w:r>
          </w:p>
        </w:tc>
      </w:tr>
      <w:tr>
        <w:trPr>
          <w:trHeight w:val="25"/>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1"/>
        </w:trPr>
        <w:tc>
          <w:tcPr>
            <w:tcW w:w="4360" w:type="dxa"/>
            <w:vAlign w:val="bottom"/>
            <w:shd w:val="clear" w:color="auto" w:fill="CCEEFF"/>
          </w:tcPr>
          <w:p>
            <w:pPr>
              <w:ind w:left="20"/>
              <w:spacing w:after="0" w:line="221"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360" w:type="dxa"/>
            <w:vAlign w:val="bottom"/>
            <w:tcBorders>
              <w:bottom w:val="single" w:sz="8" w:color="CCEEFF"/>
            </w:tcBorders>
          </w:tcPr>
          <w:p>
            <w:pPr>
              <w:ind w:left="20"/>
              <w:spacing w:after="0" w:line="228" w:lineRule="exact"/>
              <w:rPr>
                <w:sz w:val="20"/>
                <w:szCs w:val="20"/>
                <w:color w:val="auto"/>
              </w:rPr>
            </w:pPr>
            <w:r>
              <w:rPr>
                <w:rFonts w:ascii="Arial" w:cs="Arial" w:eastAsia="Arial" w:hAnsi="Arial"/>
                <w:sz w:val="18"/>
                <w:szCs w:val="18"/>
                <w:color w:val="auto"/>
              </w:rPr>
              <w:t xml:space="preserve">Royalties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25,280</w:t>
            </w:r>
          </w:p>
        </w:tc>
      </w:tr>
      <w:tr>
        <w:trPr>
          <w:trHeight w:val="245"/>
        </w:trPr>
        <w:tc>
          <w:tcPr>
            <w:tcW w:w="4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360" w:firstLine="7"/>
        <w:spacing w:after="0" w:line="262" w:lineRule="auto"/>
        <w:tabs>
          <w:tab w:leader="none" w:pos="2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non-cancelable inventory purchase obligations are not reflected on the Consolidated Balance Sheets under accounting principles generally accepted in the United States of America.</w:t>
      </w:r>
    </w:p>
    <w:p>
      <w:pPr>
        <w:ind w:left="240" w:hanging="233"/>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are future minimum royalty payments.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1" w:lineRule="exact"/>
        <w:rPr>
          <w:sz w:val="20"/>
          <w:szCs w:val="20"/>
          <w:color w:val="auto"/>
        </w:rPr>
      </w:pPr>
    </w:p>
    <w:p>
      <w:pPr>
        <w:ind w:right="40" w:firstLine="401"/>
        <w:spacing w:after="0" w:line="275"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 Bard, Inc. v. AngioDynamics, Inc.</w:t>
      </w:r>
    </w:p>
    <w:p>
      <w:pPr>
        <w:spacing w:after="0" w:line="292" w:lineRule="exact"/>
        <w:rPr>
          <w:sz w:val="20"/>
          <w:szCs w:val="20"/>
          <w:color w:val="auto"/>
        </w:rPr>
      </w:pPr>
    </w:p>
    <w:p>
      <w:pPr>
        <w:ind w:firstLine="401"/>
        <w:spacing w:after="0" w:line="266"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the Company's implantable port products infringe on three U.S. patents held by Bard (US Patent Nos. 7,785,302 ("302"), 7,959,615 (“615”) and 7,947,022 ("022")).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On July 22, 2021, in another case against a different defendant, the District of Utah invalidated multiple claims of the ‘302, ‘022, and ‘615 Patents under 35 USC §101, including claims asserted against the Company. On December 27, 2021, the District of Delaware stayed the case pending the Federal Circuit's resolution of Bard's appeal from the Utah Decision. On February 17, 2023, the Federal Circuit Reversed-in-Part, Vacated-in-Part, and Remanded the Utah Decision. The District of Delaware lifted the stay on February 28, 2023 and held a status conference on March 23, 2023. A scheduling order has been entered, and a jury trial is currently scheduled for April 29, 2024. The Company has not recorded an expense related to the outcome of this litigation because it is not yet possible to determine if a potential loss is probable nor reasonably estimable.</w:t>
      </w:r>
    </w:p>
    <w:p>
      <w:pPr>
        <w:spacing w:after="0" w:line="222" w:lineRule="exact"/>
        <w:rPr>
          <w:sz w:val="20"/>
          <w:szCs w:val="20"/>
          <w:color w:val="auto"/>
        </w:rPr>
      </w:pPr>
    </w:p>
    <w:p>
      <w:pPr>
        <w:ind w:right="60" w:firstLine="401"/>
        <w:spacing w:after="0" w:line="266" w:lineRule="auto"/>
        <w:rPr>
          <w:sz w:val="20"/>
          <w:szCs w:val="20"/>
          <w:color w:val="auto"/>
        </w:rPr>
      </w:pPr>
      <w:r>
        <w:rPr>
          <w:rFonts w:ascii="Arial" w:cs="Arial" w:eastAsia="Arial" w:hAnsi="Arial"/>
          <w:sz w:val="16"/>
          <w:szCs w:val="16"/>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Bard appealed the judgment to the Federal Circuit and on November 10, 2020, the Federal Circuit reversed the judgment in part with respect to Section 101 (subject matter eligibility), and vacated and remanded the trial court’s invalidity and non-infringement judgments. Following remand from the Federal Circuit, a jury trial commenced in the District of Delaware beginning November 14, 2022. On November 22, 2022, a jury entered a verdict finding that certain of the Company’s implantable port products infringe certain claims of U.S. patents held by Bard. The issue of damages was bifurcated by the Court during trial and was not determined by the jury. On</w:t>
      </w:r>
    </w:p>
    <w:p>
      <w:pPr>
        <w:ind w:right="20"/>
        <w:spacing w:after="0" w:line="238" w:lineRule="auto"/>
        <w:rPr>
          <w:sz w:val="20"/>
          <w:szCs w:val="20"/>
          <w:color w:val="auto"/>
        </w:rPr>
      </w:pPr>
      <w:r>
        <w:rPr>
          <w:rFonts w:ascii="Arial" w:cs="Arial" w:eastAsia="Arial" w:hAnsi="Arial"/>
          <w:sz w:val="18"/>
          <w:szCs w:val="18"/>
          <w:color w:val="auto"/>
        </w:rPr>
        <w:t>June 1, 2023, following post-trial briefing, the Court issued its decision on the Company’s Renewed Judgement as a Matter of Law. The Court held the asserted patent claims were invalid as anticipated, indefinite, ineligible, and not willfully infringed. The Court entered Judgment the same day in favor of the Company. Bard has filed a Notice of Appeal to the Federal Circuit.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244" w:lineRule="exact"/>
        <w:rPr>
          <w:sz w:val="20"/>
          <w:szCs w:val="20"/>
          <w:color w:val="auto"/>
        </w:rPr>
      </w:pPr>
    </w:p>
    <w:p>
      <w:pPr>
        <w:jc w:val="both"/>
        <w:ind w:right="40" w:firstLine="401"/>
        <w:spacing w:after="0" w:line="259" w:lineRule="auto"/>
        <w:rPr>
          <w:sz w:val="20"/>
          <w:szCs w:val="20"/>
          <w:color w:val="auto"/>
        </w:rPr>
      </w:pPr>
      <w:r>
        <w:rPr>
          <w:rFonts w:ascii="Arial" w:cs="Arial" w:eastAsia="Arial" w:hAnsi="Arial"/>
          <w:sz w:val="18"/>
          <w:szCs w:val="18"/>
          <w:color w:val="auto"/>
        </w:rPr>
        <w:t>On March 8, 2021, Bard filed suit in the District of Delaware asserting certain of the Company’s port products (including certain related infusion sets) infringe U.S. Patent Nos. 8,025,639, 9,603,992 and 9,603,993. On December 27, 2021, the District of Delaware stayed the case pending the Federal Circuit's resolution of Bard's appeal of the Utah decision invalidating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0" w:name="page81"/>
    <w:bookmarkEnd w:id="80"/>
    <w:p>
      <w:pPr>
        <w:ind w:right="100"/>
        <w:spacing w:after="0" w:line="275" w:lineRule="auto"/>
        <w:rPr>
          <w:sz w:val="20"/>
          <w:szCs w:val="20"/>
          <w:color w:val="auto"/>
        </w:rPr>
      </w:pPr>
      <w:r>
        <w:rPr>
          <w:rFonts w:ascii="Arial" w:cs="Arial" w:eastAsia="Arial" w:hAnsi="Arial"/>
          <w:sz w:val="17"/>
          <w:szCs w:val="17"/>
          <w:color w:val="auto"/>
        </w:rPr>
        <w:t>multiple claims of the ‘302, ‘022, and ‘615 patents under 35 USC §101. Following the Federal Circuit’s decision on appeal, the District of Delaware lifted the stay on February 28, 2023, and held a scheduling conference on March 23, 2023. A scheduling order has been entered, and a jury trial is currently scheduled for June 9, 2025.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 AND GEOGRAPHIC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7" w:lineRule="exact"/>
        <w:rPr>
          <w:sz w:val="20"/>
          <w:szCs w:val="20"/>
          <w:color w:val="auto"/>
        </w:rPr>
      </w:pPr>
    </w:p>
    <w:p>
      <w:pPr>
        <w:ind w:firstLine="385"/>
        <w:spacing w:after="0" w:line="267" w:lineRule="auto"/>
        <w:rPr>
          <w:sz w:val="20"/>
          <w:szCs w:val="20"/>
          <w:color w:val="auto"/>
        </w:rPr>
      </w:pPr>
      <w:r>
        <w:rPr>
          <w:rFonts w:ascii="Arial" w:cs="Arial" w:eastAsia="Arial" w:hAnsi="Arial"/>
          <w:sz w:val="17"/>
          <w:szCs w:val="17"/>
          <w:color w:val="auto"/>
        </w:rPr>
        <w:t>The Company regularly reviews its segments and the approach used by the chief operating decision maker, the President and Chief Executive Officer ("CEO"), and management to evaluate performance and allocate resources. Prior to the first quarter of fiscal year 2023, the Company considered the business to be a single operating segment engaged in the development, manufacture and sale of medical devices for vascular access, peripheral vascular disease and oncology on a global basis. Commencing with the first quarter of fiscal year 2023, the Company began to manage its operations through two segments, Med Tech and Med Device to align with the transformation from a company with a broad portfolio of largely undifferentiated products to a more focused medical technology company.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w:t>
      </w:r>
    </w:p>
    <w:p>
      <w:pPr>
        <w:spacing w:after="0" w:line="116" w:lineRule="exact"/>
        <w:rPr>
          <w:sz w:val="20"/>
          <w:szCs w:val="20"/>
          <w:color w:val="auto"/>
        </w:rPr>
      </w:pPr>
    </w:p>
    <w:p>
      <w:pPr>
        <w:jc w:val="both"/>
        <w:ind w:right="360" w:firstLine="401"/>
        <w:spacing w:after="0" w:line="244" w:lineRule="auto"/>
        <w:rPr>
          <w:sz w:val="20"/>
          <w:szCs w:val="20"/>
          <w:color w:val="auto"/>
        </w:rPr>
      </w:pPr>
      <w:r>
        <w:rPr>
          <w:rFonts w:ascii="Arial" w:cs="Arial" w:eastAsia="Arial" w:hAnsi="Arial"/>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 Total assets were $532.6 million as of May 31, 2023.</w:t>
      </w:r>
    </w:p>
    <w:p>
      <w:pPr>
        <w:spacing w:after="0" w:line="144" w:lineRule="exact"/>
        <w:rPr>
          <w:sz w:val="20"/>
          <w:szCs w:val="20"/>
          <w:color w:val="auto"/>
        </w:rPr>
      </w:pPr>
    </w:p>
    <w:p>
      <w:pPr>
        <w:ind w:right="180" w:firstLine="401"/>
        <w:spacing w:after="0" w:line="271" w:lineRule="auto"/>
        <w:rPr>
          <w:sz w:val="20"/>
          <w:szCs w:val="20"/>
          <w:color w:val="auto"/>
        </w:rPr>
      </w:pPr>
      <w:r>
        <w:rPr>
          <w:rFonts w:ascii="Arial" w:cs="Arial" w:eastAsia="Arial" w:hAnsi="Arial"/>
          <w:sz w:val="18"/>
          <w:szCs w:val="18"/>
          <w:color w:val="auto"/>
        </w:rPr>
        <w:t>The table below summarizes net sales and gross margin by Med Tech and Med Device including prior periods during which the Company considered the business to be a single operating segment, in order to conform to the current period presentation: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3"/>
              </w:rPr>
              <w:t>Year ended May 31,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4"/>
        </w:trPr>
        <w:tc>
          <w:tcPr>
            <w:tcW w:w="64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2021</w:t>
            </w:r>
          </w:p>
        </w:tc>
      </w:tr>
      <w:tr>
        <w:trPr>
          <w:trHeight w:val="240"/>
        </w:trPr>
        <w:tc>
          <w:tcPr>
            <w:tcW w:w="6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4"/>
        </w:trPr>
        <w:tc>
          <w:tcPr>
            <w:tcW w:w="6420" w:type="dxa"/>
            <w:vAlign w:val="bottom"/>
          </w:tcPr>
          <w:p>
            <w:pPr>
              <w:ind w:left="340"/>
              <w:spacing w:after="0"/>
              <w:rPr>
                <w:sz w:val="20"/>
                <w:szCs w:val="20"/>
                <w:color w:val="auto"/>
              </w:rPr>
            </w:pPr>
            <w:r>
              <w:rPr>
                <w:rFonts w:ascii="Arial" w:cs="Arial" w:eastAsia="Arial" w:hAnsi="Arial"/>
                <w:sz w:val="18"/>
                <w:szCs w:val="18"/>
                <w:color w:val="auto"/>
              </w:rPr>
              <w:t>Med Tech Net Sales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96,687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78,717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55,731</w:t>
            </w:r>
          </w:p>
        </w:tc>
      </w:tr>
      <w:tr>
        <w:trPr>
          <w:trHeight w:val="234"/>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61,966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52,584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39,544</w:t>
            </w:r>
          </w:p>
        </w:tc>
      </w:tr>
      <w:tr>
        <w:trPr>
          <w:trHeight w:val="227"/>
        </w:trPr>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Gross Margin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71.0 %</w:t>
            </w:r>
          </w:p>
        </w:tc>
      </w:tr>
      <w:tr>
        <w:trPr>
          <w:trHeight w:val="254"/>
        </w:trPr>
        <w:tc>
          <w:tcPr>
            <w:tcW w:w="6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7"/>
        </w:trPr>
        <w:tc>
          <w:tcPr>
            <w:tcW w:w="6420" w:type="dxa"/>
            <w:vAlign w:val="bottom"/>
          </w:tcPr>
          <w:p>
            <w:pPr>
              <w:ind w:left="340"/>
              <w:spacing w:after="0"/>
              <w:rPr>
                <w:sz w:val="20"/>
                <w:szCs w:val="20"/>
                <w:color w:val="auto"/>
              </w:rPr>
            </w:pPr>
            <w:r>
              <w:rPr>
                <w:rFonts w:ascii="Arial" w:cs="Arial" w:eastAsia="Arial" w:hAnsi="Arial"/>
                <w:sz w:val="18"/>
                <w:szCs w:val="18"/>
                <w:color w:val="auto"/>
              </w:rPr>
              <w:t>Med Device Net Sales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242,065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237,502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235,279</w:t>
            </w:r>
          </w:p>
        </w:tc>
      </w:tr>
      <w:tr>
        <w:trPr>
          <w:trHeight w:val="241"/>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112,280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113,148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117,244</w:t>
            </w:r>
          </w:p>
        </w:tc>
      </w:tr>
      <w:tr>
        <w:trPr>
          <w:trHeight w:val="227"/>
        </w:trPr>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Gross Margin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49.8 %</w:t>
            </w:r>
          </w:p>
        </w:tc>
      </w:tr>
      <w:tr>
        <w:trPr>
          <w:trHeight w:val="254"/>
        </w:trPr>
        <w:tc>
          <w:tcPr>
            <w:tcW w:w="6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7"/>
        </w:trPr>
        <w:tc>
          <w:tcPr>
            <w:tcW w:w="642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338,752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316,219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291,010</w:t>
            </w:r>
          </w:p>
        </w:tc>
      </w:tr>
      <w:tr>
        <w:trPr>
          <w:trHeight w:val="228"/>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174,246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165,732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156,788</w:t>
            </w:r>
          </w:p>
        </w:tc>
      </w:tr>
      <w:tr>
        <w:trPr>
          <w:trHeight w:val="227"/>
        </w:trPr>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Gross Margin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53.9 %</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net sales by geographic area based on external customer location: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38"/>
              <w:spacing w:after="0"/>
              <w:rPr>
                <w:sz w:val="20"/>
                <w:szCs w:val="20"/>
                <w:color w:val="auto"/>
              </w:rPr>
            </w:pPr>
            <w:r>
              <w:rPr>
                <w:rFonts w:ascii="Arial" w:cs="Arial" w:eastAsia="Arial" w:hAnsi="Arial"/>
                <w:sz w:val="14"/>
                <w:szCs w:val="14"/>
                <w:color w:val="auto"/>
                <w:w w:val="91"/>
              </w:rPr>
              <w:t>Year ended May 31,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7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282,713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265,963</w:t>
            </w:r>
          </w:p>
        </w:tc>
        <w:tc>
          <w:tcPr>
            <w:tcW w:w="4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237,043</w:t>
            </w: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50,256</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53,967</w:t>
            </w:r>
          </w:p>
        </w:tc>
        <w:tc>
          <w:tcPr>
            <w:tcW w:w="0" w:type="dxa"/>
            <w:vAlign w:val="bottom"/>
          </w:tcPr>
          <w:p>
            <w:pPr>
              <w:spacing w:after="0"/>
              <w:rPr>
                <w:sz w:val="1"/>
                <w:szCs w:val="1"/>
                <w:color w:val="auto"/>
              </w:rPr>
            </w:pPr>
          </w:p>
        </w:tc>
      </w:tr>
      <w:tr>
        <w:trPr>
          <w:trHeight w:val="220"/>
        </w:trPr>
        <w:tc>
          <w:tcPr>
            <w:tcW w:w="6720" w:type="dxa"/>
            <w:vAlign w:val="bottom"/>
          </w:tcPr>
          <w:p>
            <w:pPr>
              <w:ind w:left="6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338,752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316,219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291,010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1" w:name="page82"/>
    <w:bookmarkEnd w:id="81"/>
    <w:p>
      <w:pPr>
        <w:jc w:val="both"/>
        <w:ind w:right="440" w:firstLine="385"/>
        <w:spacing w:after="0" w:line="307" w:lineRule="auto"/>
        <w:rPr>
          <w:sz w:val="20"/>
          <w:szCs w:val="20"/>
          <w:color w:val="auto"/>
        </w:rPr>
      </w:pPr>
      <w:r>
        <w:rPr>
          <w:rFonts w:ascii="Arial" w:cs="Arial" w:eastAsia="Arial" w:hAnsi="Arial"/>
          <w:sz w:val="16"/>
          <w:szCs w:val="16"/>
          <w:color w:val="auto"/>
        </w:rPr>
        <w:t>For fiscal years 2023, 2022 and 2021, international sales as a percentage of total net sales were 17%, 16% and 19%, respectively. Sales to any one country outside the U.S., as determined by shipment destination, did not comprise a material portion of net sales in any of the last three fiscal years. In addition, no one customer represents more than 10% of consolidated net sales. 85% of long-lived assets are located within the United States.</w:t>
      </w:r>
    </w:p>
    <w:p>
      <w:pPr>
        <w:spacing w:after="0" w:line="92" w:lineRule="exact"/>
        <w:rPr>
          <w:sz w:val="20"/>
          <w:szCs w:val="20"/>
          <w:color w:val="auto"/>
        </w:rPr>
      </w:pPr>
    </w:p>
    <w:p>
      <w:pPr>
        <w:ind w:left="400" w:right="5920" w:hanging="393"/>
        <w:spacing w:after="0" w:line="457" w:lineRule="auto"/>
        <w:tabs>
          <w:tab w:leader="none" w:pos="27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RESTRUCTURING AND OTHER ITEMS, NET </w:t>
      </w:r>
      <w:r>
        <w:rPr>
          <w:rFonts w:ascii="Arial" w:cs="Arial" w:eastAsia="Arial" w:hAnsi="Arial"/>
          <w:sz w:val="18"/>
          <w:szCs w:val="18"/>
          <w:color w:val="auto"/>
        </w:rPr>
        <w:t>Acquisition, restructuring and other items, net consisted of:</w:t>
      </w: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color w:val="auto"/>
                <w:w w:val="91"/>
              </w:rPr>
              <w:t>Year ended May 31,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7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40"/>
        </w:trPr>
        <w:tc>
          <w:tcPr>
            <w:tcW w:w="6720" w:type="dxa"/>
            <w:vAlign w:val="bottom"/>
          </w:tcPr>
          <w:p>
            <w:pPr>
              <w:ind w:left="20"/>
              <w:spacing w:after="0" w:line="241" w:lineRule="exact"/>
              <w:rPr>
                <w:sz w:val="20"/>
                <w:szCs w:val="20"/>
                <w:color w:val="auto"/>
              </w:rPr>
            </w:pPr>
            <w:r>
              <w:rPr>
                <w:rFonts w:ascii="Arial" w:cs="Arial" w:eastAsia="Arial" w:hAnsi="Arial"/>
                <w:sz w:val="18"/>
                <w:szCs w:val="18"/>
                <w:color w:val="auto"/>
              </w:rPr>
              <w:t xml:space="preserve">Legal </w:t>
            </w:r>
            <w:r>
              <w:rPr>
                <w:rFonts w:ascii="Arial" w:cs="Arial" w:eastAsia="Arial" w:hAnsi="Arial"/>
                <w:sz w:val="23"/>
                <w:szCs w:val="23"/>
                <w:color w:val="auto"/>
                <w:vertAlign w:val="superscript"/>
              </w:rPr>
              <w:t>(1)</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7,625</w:t>
            </w:r>
          </w:p>
        </w:tc>
        <w:tc>
          <w:tcPr>
            <w:tcW w:w="14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41"/>
        </w:trPr>
        <w:tc>
          <w:tcPr>
            <w:tcW w:w="6720" w:type="dxa"/>
            <w:vAlign w:val="bottom"/>
            <w:shd w:val="clear" w:color="auto" w:fill="CCEEFF"/>
          </w:tcPr>
          <w:p>
            <w:pPr>
              <w:ind w:left="20"/>
              <w:spacing w:after="0" w:line="241" w:lineRule="exact"/>
              <w:rPr>
                <w:sz w:val="20"/>
                <w:szCs w:val="20"/>
                <w:color w:val="auto"/>
              </w:rPr>
            </w:pPr>
            <w:r>
              <w:rPr>
                <w:rFonts w:ascii="Arial" w:cs="Arial" w:eastAsia="Arial" w:hAnsi="Arial"/>
                <w:sz w:val="18"/>
                <w:szCs w:val="18"/>
                <w:color w:val="auto"/>
              </w:rPr>
              <w:t xml:space="preserve">Divestiture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Intangible and other asset impairment </w:t>
            </w:r>
            <w:r>
              <w:rPr>
                <w:rFonts w:ascii="Arial" w:cs="Arial" w:eastAsia="Arial" w:hAnsi="Arial"/>
                <w:sz w:val="23"/>
                <w:szCs w:val="23"/>
                <w:color w:val="auto"/>
                <w:vertAlign w:val="superscript"/>
              </w:rPr>
              <w:t>(5)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Israeli Innovation Authority prepayment </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6720" w:type="dxa"/>
            <w:vAlign w:val="bottom"/>
          </w:tcPr>
          <w:p>
            <w:pPr>
              <w:ind w:left="20"/>
              <w:spacing w:after="0" w:line="241" w:lineRule="exact"/>
              <w:rPr>
                <w:sz w:val="20"/>
                <w:szCs w:val="20"/>
                <w:color w:val="auto"/>
              </w:rPr>
            </w:pPr>
            <w:r>
              <w:rPr>
                <w:rFonts w:ascii="Arial" w:cs="Arial" w:eastAsia="Arial" w:hAnsi="Arial"/>
                <w:sz w:val="18"/>
                <w:szCs w:val="18"/>
                <w:color w:val="auto"/>
              </w:rPr>
              <w:t xml:space="preserve">Manufacturing Relocation </w:t>
            </w:r>
            <w:r>
              <w:rPr>
                <w:rFonts w:ascii="Arial" w:cs="Arial" w:eastAsia="Arial" w:hAnsi="Arial"/>
                <w:sz w:val="23"/>
                <w:szCs w:val="23"/>
                <w:color w:val="auto"/>
                <w:vertAlign w:val="superscript"/>
              </w:rPr>
              <w:t>(7)</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0"/>
        </w:trPr>
        <w:tc>
          <w:tcPr>
            <w:tcW w:w="6720" w:type="dxa"/>
            <w:vAlign w:val="bottom"/>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40" w:hanging="233"/>
        <w:spacing w:after="0"/>
        <w:tabs>
          <w:tab w:leader="none" w:pos="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21" w:lineRule="exact"/>
        <w:rPr>
          <w:rFonts w:ascii="Arial" w:cs="Arial" w:eastAsia="Arial" w:hAnsi="Arial"/>
          <w:sz w:val="16"/>
          <w:szCs w:val="16"/>
          <w:color w:val="auto"/>
        </w:rPr>
      </w:pPr>
    </w:p>
    <w:p>
      <w:pPr>
        <w:ind w:left="240" w:hanging="233"/>
        <w:spacing w:after="0"/>
        <w:tabs>
          <w:tab w:leader="none" w:pos="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spacing w:after="0" w:line="12" w:lineRule="exact"/>
        <w:rPr>
          <w:rFonts w:ascii="Arial" w:cs="Arial" w:eastAsia="Arial" w:hAnsi="Arial"/>
          <w:sz w:val="16"/>
          <w:szCs w:val="16"/>
          <w:color w:val="auto"/>
        </w:rPr>
      </w:pPr>
    </w:p>
    <w:p>
      <w:pPr>
        <w:ind w:left="240" w:hanging="233"/>
        <w:spacing w:after="0"/>
        <w:tabs>
          <w:tab w:leader="none" w:pos="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spacing w:after="0" w:line="3" w:lineRule="exact"/>
        <w:rPr>
          <w:rFonts w:ascii="Arial" w:cs="Arial" w:eastAsia="Arial" w:hAnsi="Arial"/>
          <w:sz w:val="16"/>
          <w:szCs w:val="16"/>
          <w:color w:val="auto"/>
        </w:rPr>
      </w:pPr>
    </w:p>
    <w:p>
      <w:pPr>
        <w:ind w:left="240" w:hanging="233"/>
        <w:spacing w:after="0"/>
        <w:tabs>
          <w:tab w:leader="none" w:pos="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spacing w:after="0" w:line="7" w:lineRule="exact"/>
        <w:rPr>
          <w:rFonts w:ascii="Arial" w:cs="Arial" w:eastAsia="Arial" w:hAnsi="Arial"/>
          <w:sz w:val="16"/>
          <w:szCs w:val="16"/>
          <w:color w:val="auto"/>
        </w:rPr>
      </w:pPr>
    </w:p>
    <w:p>
      <w:pPr>
        <w:ind w:right="120" w:firstLine="7"/>
        <w:spacing w:after="0" w:line="252" w:lineRule="auto"/>
        <w:tabs>
          <w:tab w:leader="none" w:pos="2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During the fourth quarter of fiscal year 2021, the Company made the decision to abandon the OARtrac product technology and trademark. This resulted in an impairment charge of $14.0 million.</w:t>
      </w:r>
    </w:p>
    <w:p>
      <w:pPr>
        <w:spacing w:after="0" w:line="1" w:lineRule="exact"/>
        <w:rPr>
          <w:rFonts w:ascii="Arial" w:cs="Arial" w:eastAsia="Arial" w:hAnsi="Arial"/>
          <w:sz w:val="16"/>
          <w:szCs w:val="16"/>
          <w:color w:val="auto"/>
        </w:rPr>
      </w:pPr>
    </w:p>
    <w:p>
      <w:pPr>
        <w:ind w:right="180" w:firstLine="7"/>
        <w:spacing w:after="0" w:line="250" w:lineRule="auto"/>
        <w:tabs>
          <w:tab w:leader="none" w:pos="2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first quarter of fiscal year 2023, a $3.5 million payment was made to the Israeli Innovation Authority to fully satisfy the obligation related to grant funds that were provided to Eximo for development of the Auryon laser prior to the acquisition in the second quarter of fiscal year 2020.</w:t>
      </w:r>
    </w:p>
    <w:p>
      <w:pPr>
        <w:ind w:left="240" w:hanging="233"/>
        <w:spacing w:after="0"/>
        <w:tabs>
          <w:tab w:leader="none" w:pos="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Expenses to relocate certain manufacturing lines from Queensbury, NY to Alajuela, Costa Rica.</w:t>
      </w:r>
    </w:p>
    <w:p>
      <w:pPr>
        <w:spacing w:after="0" w:line="159" w:lineRule="exact"/>
        <w:rPr>
          <w:sz w:val="20"/>
          <w:szCs w:val="20"/>
          <w:color w:val="auto"/>
        </w:rPr>
      </w:pPr>
    </w:p>
    <w:p>
      <w:pPr>
        <w:ind w:right="340" w:firstLine="385"/>
        <w:spacing w:after="0" w:line="271" w:lineRule="auto"/>
        <w:rPr>
          <w:sz w:val="20"/>
          <w:szCs w:val="20"/>
          <w:color w:val="auto"/>
        </w:rPr>
      </w:pPr>
      <w:r>
        <w:rPr>
          <w:rFonts w:ascii="Arial" w:cs="Arial" w:eastAsia="Arial" w:hAnsi="Arial"/>
          <w:sz w:val="18"/>
          <w:szCs w:val="18"/>
          <w:color w:val="auto"/>
        </w:rPr>
        <w:t>Included in legal for fiscal year 2021 is a $1.0 million settlement expense. The settlement received partially offset legal expenses paid related to the settlement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ACCUMULATED OTHER COMPREHENSIVE INCOME (LOSS)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each component of accumulated other comprehensive income (loss), net of tax,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3"/>
              <w:spacing w:after="0"/>
              <w:rPr>
                <w:sz w:val="20"/>
                <w:szCs w:val="20"/>
                <w:color w:val="auto"/>
              </w:rPr>
            </w:pPr>
            <w:r>
              <w:rPr>
                <w:rFonts w:ascii="Arial" w:cs="Arial" w:eastAsia="Arial" w:hAnsi="Arial"/>
                <w:sz w:val="14"/>
                <w:szCs w:val="14"/>
                <w:color w:val="auto"/>
                <w:w w:val="91"/>
              </w:rPr>
              <w:t>Foreign currency</w:t>
            </w:r>
          </w:p>
        </w:tc>
      </w:tr>
      <w:tr>
        <w:trPr>
          <w:trHeight w:val="195"/>
        </w:trPr>
        <w:tc>
          <w:tcPr>
            <w:tcW w:w="9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translation gain (loss)</w:t>
            </w: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8"/>
              </w:rPr>
              <w:t>3,153</w:t>
            </w:r>
          </w:p>
        </w:tc>
      </w:tr>
      <w:tr>
        <w:trPr>
          <w:trHeight w:val="227"/>
        </w:trPr>
        <w:tc>
          <w:tcPr>
            <w:tcW w:w="9800" w:type="dxa"/>
            <w:vAlign w:val="bottom"/>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33"/>
              <w:spacing w:after="0"/>
              <w:rPr>
                <w:sz w:val="20"/>
                <w:szCs w:val="20"/>
                <w:color w:val="auto"/>
              </w:rPr>
            </w:pPr>
            <w:r>
              <w:rPr>
                <w:rFonts w:ascii="Arial" w:cs="Arial" w:eastAsia="Arial" w:hAnsi="Arial"/>
                <w:sz w:val="18"/>
                <w:szCs w:val="18"/>
                <w:color w:val="auto"/>
                <w:w w:val="91"/>
              </w:rPr>
              <w:t>(1,796)</w:t>
            </w:r>
          </w:p>
        </w:tc>
      </w:tr>
      <w:tr>
        <w:trPr>
          <w:trHeight w:val="234"/>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(1,796)</w:t>
            </w:r>
          </w:p>
        </w:tc>
      </w:tr>
      <w:tr>
        <w:trPr>
          <w:trHeight w:val="220"/>
        </w:trPr>
        <w:tc>
          <w:tcPr>
            <w:tcW w:w="9800" w:type="dxa"/>
            <w:vAlign w:val="bottom"/>
          </w:tcPr>
          <w:p>
            <w:pPr>
              <w:ind w:left="20"/>
              <w:spacing w:after="0"/>
              <w:rPr>
                <w:sz w:val="20"/>
                <w:szCs w:val="20"/>
                <w:color w:val="auto"/>
              </w:rPr>
            </w:pPr>
            <w:r>
              <w:rPr>
                <w:rFonts w:ascii="Arial" w:cs="Arial" w:eastAsia="Arial" w:hAnsi="Arial"/>
                <w:sz w:val="18"/>
                <w:szCs w:val="18"/>
                <w:color w:val="auto"/>
              </w:rPr>
              <w:t>Balance at May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center"/>
              <w:ind w:left="633"/>
              <w:spacing w:after="0"/>
              <w:rPr>
                <w:sz w:val="20"/>
                <w:szCs w:val="20"/>
                <w:color w:val="auto"/>
              </w:rPr>
            </w:pPr>
            <w:r>
              <w:rPr>
                <w:rFonts w:ascii="Arial" w:cs="Arial" w:eastAsia="Arial" w:hAnsi="Arial"/>
                <w:sz w:val="18"/>
                <w:szCs w:val="18"/>
                <w:color w:val="auto"/>
                <w:w w:val="88"/>
              </w:rPr>
              <w:t>1,357</w:t>
            </w:r>
          </w:p>
        </w:tc>
      </w:tr>
      <w:tr>
        <w:trPr>
          <w:trHeight w:val="228"/>
        </w:trPr>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(6,080)</w:t>
            </w:r>
          </w:p>
        </w:tc>
      </w:tr>
      <w:tr>
        <w:trPr>
          <w:trHeight w:val="220"/>
        </w:trPr>
        <w:tc>
          <w:tcPr>
            <w:tcW w:w="9800" w:type="dxa"/>
            <w:vAlign w:val="bottom"/>
          </w:tcPr>
          <w:p>
            <w:pPr>
              <w:ind w:left="20"/>
              <w:spacing w:after="0"/>
              <w:rPr>
                <w:sz w:val="20"/>
                <w:szCs w:val="20"/>
                <w:color w:val="auto"/>
              </w:rPr>
            </w:pPr>
            <w:r>
              <w:rPr>
                <w:rFonts w:ascii="Arial" w:cs="Arial" w:eastAsia="Arial" w:hAnsi="Arial"/>
                <w:sz w:val="18"/>
                <w:szCs w:val="18"/>
                <w:color w:val="auto"/>
              </w:rPr>
              <w:t>Net other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center"/>
              <w:ind w:left="633"/>
              <w:spacing w:after="0"/>
              <w:rPr>
                <w:sz w:val="20"/>
                <w:szCs w:val="20"/>
                <w:color w:val="auto"/>
              </w:rPr>
            </w:pPr>
            <w:r>
              <w:rPr>
                <w:rFonts w:ascii="Arial" w:cs="Arial" w:eastAsia="Arial" w:hAnsi="Arial"/>
                <w:sz w:val="18"/>
                <w:szCs w:val="18"/>
                <w:color w:val="auto"/>
                <w:w w:val="91"/>
              </w:rPr>
              <w:t>(6,080)</w:t>
            </w:r>
          </w:p>
        </w:tc>
      </w:tr>
      <w:tr>
        <w:trPr>
          <w:trHeight w:val="24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(4,723)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71" w:lineRule="exact"/>
        <w:rPr>
          <w:sz w:val="20"/>
          <w:szCs w:val="20"/>
          <w:color w:val="auto"/>
        </w:rPr>
      </w:pPr>
    </w:p>
    <w:p>
      <w:pPr>
        <w:ind w:right="100" w:firstLine="385"/>
        <w:spacing w:after="0" w:line="272" w:lineRule="auto"/>
        <w:rPr>
          <w:sz w:val="20"/>
          <w:szCs w:val="20"/>
          <w:color w:val="auto"/>
        </w:rPr>
      </w:pPr>
      <w:r>
        <w:rPr>
          <w:rFonts w:ascii="Arial" w:cs="Arial" w:eastAsia="Arial" w:hAnsi="Arial"/>
          <w:sz w:val="17"/>
          <w:szCs w:val="17"/>
          <w:color w:val="auto"/>
        </w:rPr>
        <w:t>On June 8, 2023, the Company entered into an asset purchase agreement (the "Asset Purchase Agreement") with Merit Medical Systems, Inc. pursuant to which Merit acquired the dialysis product portfolio and BioSentry tract sealant system biopsy businesses for $100.0 million in cash. The Company and Merit entered into various agreements to facilitate the transition to Merit, including a Transactions Services Agreement and Contract Manufacturing Agreement. The Company determined that the sale of the businesses did not constitute a strategic shift that had a major effect on the Company’s operations or financial results and as a result, this transaction will not be classified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2" w:name="page83"/>
    <w:bookmarkEnd w:id="82"/>
    <w:p>
      <w:pPr>
        <w:ind w:right="240"/>
        <w:spacing w:after="0" w:line="253" w:lineRule="auto"/>
        <w:rPr>
          <w:sz w:val="20"/>
          <w:szCs w:val="20"/>
          <w:color w:val="auto"/>
        </w:rPr>
      </w:pPr>
      <w:r>
        <w:rPr>
          <w:rFonts w:ascii="Arial" w:cs="Arial" w:eastAsia="Arial" w:hAnsi="Arial"/>
          <w:sz w:val="18"/>
          <w:szCs w:val="18"/>
          <w:color w:val="auto"/>
        </w:rPr>
        <w:t>On June 8, 2023, AngioDynamics used a portion of the consideration received in connection with the Transaction to repay all amounts owed under AngioDynamics’ existing Credit Agreement, dated as of August 30, 2022, with the lenders party thereto, JPMorgan Chase Bank, N.A., as administrative agent, Bank of America, N.A. and KeyBank National Association, as co-syndication agents, and JPMorgan Chase Bank N.A., as sole bookrunner and sole lead arranger, and as a result, the Credit Agreement was extinguished. Pursuant to the terms of the Credit Agreement, AngioDynamics had the option to repay this facility prior to the maturity date without penalty.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AngioDynamics, Inc. and Subsidiaries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gridSpan w:val="10"/>
          </w:tcPr>
          <w:p>
            <w:pPr>
              <w:jc w:val="right"/>
              <w:ind w:right="1015"/>
              <w:spacing w:after="0"/>
              <w:rPr>
                <w:sz w:val="20"/>
                <w:szCs w:val="20"/>
                <w:color w:val="auto"/>
              </w:rPr>
            </w:pPr>
            <w:r>
              <w:rPr>
                <w:rFonts w:ascii="Arial" w:cs="Arial" w:eastAsia="Arial" w:hAnsi="Arial"/>
                <w:sz w:val="14"/>
                <w:szCs w:val="14"/>
                <w:color w:val="auto"/>
              </w:rPr>
              <w:t>SCHEDULE II -VALUATION AND QUALIFYING ACCOUNTS</w:t>
            </w:r>
          </w:p>
        </w:tc>
      </w:tr>
      <w:tr>
        <w:trPr>
          <w:trHeight w:val="141"/>
        </w:trPr>
        <w:tc>
          <w:tcPr>
            <w:tcW w:w="5180" w:type="dxa"/>
            <w:vAlign w:val="bottom"/>
          </w:tcPr>
          <w:p>
            <w:pPr>
              <w:spacing w:after="0"/>
              <w:rPr>
                <w:sz w:val="12"/>
                <w:szCs w:val="12"/>
                <w:color w:val="auto"/>
              </w:rPr>
            </w:pPr>
          </w:p>
        </w:tc>
        <w:tc>
          <w:tcPr>
            <w:tcW w:w="1440" w:type="dxa"/>
            <w:vAlign w:val="bottom"/>
            <w:gridSpan w:val="2"/>
          </w:tcPr>
          <w:p>
            <w:pPr>
              <w:jc w:val="right"/>
              <w:ind w:right="15"/>
              <w:spacing w:after="0" w:line="141" w:lineRule="exact"/>
              <w:rPr>
                <w:sz w:val="20"/>
                <w:szCs w:val="20"/>
                <w:color w:val="auto"/>
              </w:rPr>
            </w:pPr>
            <w:r>
              <w:rPr>
                <w:rFonts w:ascii="Arial" w:cs="Arial" w:eastAsia="Arial" w:hAnsi="Arial"/>
                <w:sz w:val="14"/>
                <w:szCs w:val="14"/>
                <w:color w:val="auto"/>
                <w:w w:val="99"/>
              </w:rPr>
              <w:t>Balance at Beginning</w:t>
            </w:r>
          </w:p>
        </w:tc>
        <w:tc>
          <w:tcPr>
            <w:tcW w:w="100" w:type="dxa"/>
            <w:vAlign w:val="bottom"/>
          </w:tcPr>
          <w:p>
            <w:pPr>
              <w:spacing w:after="0"/>
              <w:rPr>
                <w:sz w:val="12"/>
                <w:szCs w:val="12"/>
                <w:color w:val="auto"/>
              </w:rPr>
            </w:pPr>
          </w:p>
        </w:tc>
        <w:tc>
          <w:tcPr>
            <w:tcW w:w="1440" w:type="dxa"/>
            <w:vAlign w:val="bottom"/>
            <w:gridSpan w:val="2"/>
          </w:tcPr>
          <w:p>
            <w:pPr>
              <w:jc w:val="right"/>
              <w:spacing w:after="0" w:line="141" w:lineRule="exact"/>
              <w:rPr>
                <w:sz w:val="20"/>
                <w:szCs w:val="20"/>
                <w:color w:val="auto"/>
              </w:rPr>
            </w:pPr>
            <w:r>
              <w:rPr>
                <w:rFonts w:ascii="Arial" w:cs="Arial" w:eastAsia="Arial" w:hAnsi="Arial"/>
                <w:sz w:val="14"/>
                <w:szCs w:val="14"/>
                <w:color w:val="auto"/>
                <w:w w:val="97"/>
              </w:rPr>
              <w:t>Additions - Charged to</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335"/>
              <w:spacing w:after="0" w:line="141" w:lineRule="exact"/>
              <w:rPr>
                <w:sz w:val="20"/>
                <w:szCs w:val="20"/>
                <w:color w:val="auto"/>
              </w:rPr>
            </w:pPr>
            <w:r>
              <w:rPr>
                <w:rFonts w:ascii="Arial" w:cs="Arial" w:eastAsia="Arial" w:hAnsi="Arial"/>
                <w:sz w:val="14"/>
                <w:szCs w:val="14"/>
                <w:color w:val="auto"/>
              </w:rPr>
              <w:t>Balance at</w:t>
            </w:r>
          </w:p>
        </w:tc>
      </w:tr>
      <w:tr>
        <w:trPr>
          <w:trHeight w:val="187"/>
        </w:trPr>
        <w:tc>
          <w:tcPr>
            <w:tcW w:w="5180" w:type="dxa"/>
            <w:vAlign w:val="bottom"/>
          </w:tcPr>
          <w:p>
            <w:pPr>
              <w:ind w:left="20"/>
              <w:spacing w:after="0"/>
              <w:rPr>
                <w:sz w:val="20"/>
                <w:szCs w:val="20"/>
                <w:color w:val="auto"/>
              </w:rPr>
            </w:pPr>
            <w:r>
              <w:rPr>
                <w:rFonts w:ascii="Arial" w:cs="Arial" w:eastAsia="Arial" w:hAnsi="Arial"/>
                <w:sz w:val="14"/>
                <w:szCs w:val="14"/>
                <w:color w:val="auto"/>
              </w:rPr>
              <w:t>Description</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of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88"/>
              </w:rPr>
              <w:t>costs and expenses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Deductions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End of Period</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May 31, 2021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5180" w:type="dxa"/>
            <w:vAlign w:val="bottom"/>
          </w:tcPr>
          <w:p>
            <w:pPr>
              <w:ind w:left="20"/>
              <w:spacing w:after="0"/>
              <w:rPr>
                <w:sz w:val="20"/>
                <w:szCs w:val="20"/>
                <w:color w:val="auto"/>
              </w:rPr>
            </w:pPr>
            <w:r>
              <w:rPr>
                <w:rFonts w:ascii="Arial" w:cs="Arial" w:eastAsia="Arial" w:hAnsi="Arial"/>
                <w:sz w:val="18"/>
                <w:szCs w:val="18"/>
                <w:color w:val="auto"/>
              </w:rPr>
              <w:t>Allowance for deferred tax asset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3,921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17,035</w:t>
            </w:r>
          </w:p>
        </w:tc>
      </w:tr>
      <w:tr>
        <w:trPr>
          <w:trHeight w:val="23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 and doubtful accounts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Year Ended May 31, 2022</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20,203</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Allowance for sales returns and doubtful accounts</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1,939</w:t>
            </w:r>
          </w:p>
        </w:tc>
      </w:tr>
      <w:tr>
        <w:trPr>
          <w:trHeight w:val="22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May 31, 2023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Allowance for deferred tax asset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20,203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5,556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25,759</w:t>
            </w:r>
          </w:p>
        </w:tc>
      </w:tr>
      <w:tr>
        <w:trPr>
          <w:trHeight w:val="24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 and doubtful accounts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7"/>
        </w:trPr>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17"/>
          </w:tcPr>
          <w:p>
            <w:pPr>
              <w:ind w:left="180"/>
              <w:spacing w:after="0"/>
              <w:rPr>
                <w:sz w:val="20"/>
                <w:szCs w:val="20"/>
                <w:color w:val="auto"/>
              </w:rPr>
            </w:pPr>
            <w:r>
              <w:rPr>
                <w:rFonts w:ascii="Arial" w:cs="Arial" w:eastAsia="Arial" w:hAnsi="Arial"/>
                <w:sz w:val="18"/>
                <w:szCs w:val="18"/>
                <w:color w:val="auto"/>
              </w:rPr>
              <w:t>EXHIBITS</w:t>
            </w: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50"/>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Incorporated by Reference</w:t>
            </w:r>
          </w:p>
        </w:tc>
      </w:tr>
      <w:tr>
        <w:trPr>
          <w:trHeight w:val="173"/>
        </w:trPr>
        <w:tc>
          <w:tcPr>
            <w:tcW w:w="1140" w:type="dxa"/>
            <w:vAlign w:val="bottom"/>
          </w:tcPr>
          <w:p>
            <w:pPr>
              <w:jc w:val="center"/>
              <w:spacing w:after="0" w:line="173" w:lineRule="exact"/>
              <w:rPr>
                <w:sz w:val="20"/>
                <w:szCs w:val="20"/>
                <w:color w:val="auto"/>
              </w:rPr>
            </w:pPr>
            <w:r>
              <w:rPr>
                <w:rFonts w:ascii="Arial" w:cs="Arial" w:eastAsia="Arial" w:hAnsi="Arial"/>
                <w:sz w:val="18"/>
                <w:szCs w:val="18"/>
                <w:color w:val="auto"/>
                <w:w w:val="96"/>
              </w:rPr>
              <w:t>Exhibit</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28"/>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22"/>
          </w:tcPr>
          <w:p>
            <w:pPr>
              <w:ind w:left="600"/>
              <w:spacing w:after="0"/>
              <w:rPr>
                <w:sz w:val="20"/>
                <w:szCs w:val="20"/>
                <w:color w:val="auto"/>
              </w:rPr>
            </w:pPr>
            <w:r>
              <w:rPr>
                <w:rFonts w:ascii="Arial" w:cs="Arial" w:eastAsia="Arial" w:hAnsi="Arial"/>
                <w:sz w:val="18"/>
                <w:szCs w:val="18"/>
                <w:color w:val="auto"/>
              </w:rPr>
              <w:t>Description of Exhibits</w:t>
            </w:r>
          </w:p>
        </w:tc>
        <w:tc>
          <w:tcPr>
            <w:tcW w:w="1040" w:type="dxa"/>
            <w:vAlign w:val="bottom"/>
            <w:tcBorders>
              <w:bottom w:val="single" w:sz="8" w:color="auto"/>
            </w:tcBorders>
          </w:tcPr>
          <w:p>
            <w:pPr>
              <w:jc w:val="center"/>
              <w:ind w:left="111"/>
              <w:spacing w:after="0"/>
              <w:rPr>
                <w:sz w:val="20"/>
                <w:szCs w:val="20"/>
                <w:color w:val="auto"/>
              </w:rPr>
            </w:pPr>
            <w:r>
              <w:rPr>
                <w:rFonts w:ascii="Arial" w:cs="Arial" w:eastAsia="Arial" w:hAnsi="Arial"/>
                <w:sz w:val="18"/>
                <w:szCs w:val="18"/>
                <w:color w:val="auto"/>
                <w:w w:val="95"/>
              </w:rPr>
              <w:t>Form</w:t>
            </w:r>
          </w:p>
        </w:tc>
        <w:tc>
          <w:tcPr>
            <w:tcW w:w="14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Exhibit</w:t>
            </w:r>
          </w:p>
        </w:tc>
        <w:tc>
          <w:tcPr>
            <w:tcW w:w="170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5"/>
              </w:rPr>
              <w:t>Filing Date</w:t>
            </w:r>
          </w:p>
        </w:tc>
      </w:tr>
      <w:tr>
        <w:trPr>
          <w:trHeight w:val="181"/>
        </w:trPr>
        <w:tc>
          <w:tcPr>
            <w:tcW w:w="11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2.2</w:t>
            </w:r>
          </w:p>
        </w:tc>
        <w:tc>
          <w:tcPr>
            <w:tcW w:w="5920" w:type="dxa"/>
            <w:vAlign w:val="bottom"/>
            <w:gridSpan w:val="25"/>
            <w:shd w:val="clear" w:color="auto" w:fill="CCEEFF"/>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Stock Purchase Agreement, dated as of October 8, 2012, by and among</w:t>
              </w:r>
            </w:hyperlink>
          </w:p>
        </w:tc>
        <w:tc>
          <w:tcPr>
            <w:tcW w:w="1040" w:type="dxa"/>
            <w:vAlign w:val="bottom"/>
            <w:shd w:val="clear" w:color="auto" w:fill="CCEEFF"/>
          </w:tcPr>
          <w:p>
            <w:pPr>
              <w:jc w:val="center"/>
              <w:ind w:left="111"/>
              <w:spacing w:after="0" w:line="182" w:lineRule="exact"/>
              <w:rPr>
                <w:sz w:val="20"/>
                <w:szCs w:val="20"/>
                <w:color w:val="auto"/>
              </w:rPr>
            </w:pPr>
            <w:r>
              <w:rPr>
                <w:rFonts w:ascii="Arial" w:cs="Arial" w:eastAsia="Arial" w:hAnsi="Arial"/>
                <w:sz w:val="18"/>
                <w:szCs w:val="18"/>
                <w:color w:val="auto"/>
                <w:w w:val="99"/>
              </w:rPr>
              <w:t>8-K</w:t>
            </w:r>
          </w:p>
        </w:tc>
        <w:tc>
          <w:tcPr>
            <w:tcW w:w="1420" w:type="dxa"/>
            <w:vAlign w:val="bottom"/>
            <w:shd w:val="clear" w:color="auto" w:fill="CCEEFF"/>
          </w:tcPr>
          <w:p>
            <w:pPr>
              <w:jc w:val="center"/>
              <w:ind w:left="351"/>
              <w:spacing w:after="0" w:line="182" w:lineRule="exact"/>
              <w:rPr>
                <w:sz w:val="20"/>
                <w:szCs w:val="20"/>
                <w:color w:val="auto"/>
              </w:rPr>
            </w:pPr>
            <w:r>
              <w:rPr>
                <w:rFonts w:ascii="Arial" w:cs="Arial" w:eastAsia="Arial" w:hAnsi="Arial"/>
                <w:sz w:val="18"/>
                <w:szCs w:val="18"/>
                <w:color w:val="auto"/>
                <w:w w:val="87"/>
              </w:rPr>
              <w:t>2.1</w:t>
            </w:r>
          </w:p>
        </w:tc>
        <w:tc>
          <w:tcPr>
            <w:tcW w:w="1700" w:type="dxa"/>
            <w:vAlign w:val="bottom"/>
            <w:shd w:val="clear" w:color="auto" w:fill="CCEEFF"/>
          </w:tcPr>
          <w:p>
            <w:pPr>
              <w:jc w:val="center"/>
              <w:ind w:left="131"/>
              <w:spacing w:after="0" w:line="182" w:lineRule="exact"/>
              <w:rPr>
                <w:sz w:val="20"/>
                <w:szCs w:val="20"/>
                <w:color w:val="auto"/>
              </w:rPr>
            </w:pPr>
            <w:r>
              <w:rPr>
                <w:rFonts w:ascii="Arial" w:cs="Arial" w:eastAsia="Arial" w:hAnsi="Arial"/>
                <w:sz w:val="18"/>
                <w:szCs w:val="18"/>
                <w:color w:val="auto"/>
                <w:w w:val="89"/>
              </w:rPr>
              <w:t>October 12, 2012</w:t>
            </w: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16"/>
            <w:shd w:val="clear" w:color="auto" w:fill="CCEEFF"/>
          </w:tcPr>
          <w:p>
            <w:pPr>
              <w:spacing w:after="0" w:line="154" w:lineRule="exact"/>
              <w:rPr>
                <w:rFonts w:ascii="Arial" w:cs="Arial" w:eastAsia="Arial" w:hAnsi="Arial"/>
                <w:sz w:val="17"/>
                <w:szCs w:val="17"/>
                <w:color w:val="0000FF"/>
                <w:w w:val="96"/>
              </w:rPr>
            </w:pPr>
            <w:hyperlink r:id="rId107">
              <w:r>
                <w:rPr>
                  <w:rFonts w:ascii="Arial" w:cs="Arial" w:eastAsia="Arial" w:hAnsi="Arial"/>
                  <w:sz w:val="17"/>
                  <w:szCs w:val="17"/>
                  <w:color w:val="0000FF"/>
                  <w:w w:val="96"/>
                </w:rPr>
                <w:t>AngioDynamics, Inc., Vortex Medical, Inc. (“Vortex”), the stockholders</w:t>
              </w:r>
            </w:hyperlink>
          </w:p>
        </w:tc>
        <w:tc>
          <w:tcPr>
            <w:tcW w:w="840" w:type="dxa"/>
            <w:vAlign w:val="bottom"/>
            <w:tcBorders>
              <w:top w:val="single" w:sz="8" w:color="CCEEFF"/>
            </w:tcBorders>
            <w:gridSpan w:val="9"/>
            <w:shd w:val="clear" w:color="auto" w:fill="CCEEFF"/>
          </w:tcPr>
          <w:p>
            <w:pPr>
              <w:ind w:left="80"/>
              <w:spacing w:after="0" w:line="154" w:lineRule="exact"/>
              <w:rPr>
                <w:rFonts w:ascii="Arial" w:cs="Arial" w:eastAsia="Arial" w:hAnsi="Arial"/>
                <w:sz w:val="17"/>
                <w:szCs w:val="17"/>
                <w:color w:val="0000FF"/>
              </w:rPr>
            </w:pPr>
            <w:hyperlink r:id="rId107">
              <w:r>
                <w:rPr>
                  <w:rFonts w:ascii="Arial" w:cs="Arial" w:eastAsia="Arial" w:hAnsi="Arial"/>
                  <w:sz w:val="17"/>
                  <w:szCs w:val="17"/>
                  <w:color w:val="0000FF"/>
                </w:rPr>
                <w:t>of Vortex</w:t>
              </w:r>
            </w:hyperlink>
          </w:p>
        </w:tc>
        <w:tc>
          <w:tcPr>
            <w:tcW w:w="10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167"/>
        </w:trPr>
        <w:tc>
          <w:tcPr>
            <w:tcW w:w="1140" w:type="dxa"/>
            <w:vAlign w:val="bottom"/>
            <w:tcBorders>
              <w:top w:val="single" w:sz="8" w:color="CCEEFF"/>
            </w:tcBorders>
            <w:shd w:val="clear" w:color="auto" w:fill="CCEEFF"/>
          </w:tcPr>
          <w:p>
            <w:pPr>
              <w:spacing w:after="0"/>
              <w:rPr>
                <w:sz w:val="14"/>
                <w:szCs w:val="14"/>
                <w:color w:val="auto"/>
              </w:rPr>
            </w:pPr>
          </w:p>
        </w:tc>
        <w:tc>
          <w:tcPr>
            <w:tcW w:w="5840" w:type="dxa"/>
            <w:vAlign w:val="bottom"/>
            <w:tcBorders>
              <w:top w:val="single" w:sz="8" w:color="0000FF"/>
            </w:tcBorders>
            <w:gridSpan w:val="24"/>
            <w:shd w:val="clear" w:color="auto" w:fill="CCEEFF"/>
          </w:tcPr>
          <w:p>
            <w:pPr>
              <w:spacing w:after="0" w:line="167"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set forth on the signature pages thereto, the option holders of Vortex set forth on</w:t>
              </w:r>
            </w:hyperlink>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CCEEFF"/>
            </w:tcBorders>
            <w:shd w:val="clear" w:color="auto" w:fill="CCEEFF"/>
          </w:tcPr>
          <w:p>
            <w:pPr>
              <w:spacing w:after="0"/>
              <w:rPr>
                <w:sz w:val="14"/>
                <w:szCs w:val="14"/>
                <w:color w:val="auto"/>
              </w:rPr>
            </w:pP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21"/>
            <w:shd w:val="clear" w:color="auto" w:fill="CCEEFF"/>
          </w:tcPr>
          <w:p>
            <w:pPr>
              <w:spacing w:after="0" w:line="154" w:lineRule="exact"/>
              <w:rPr>
                <w:rFonts w:ascii="Arial" w:cs="Arial" w:eastAsia="Arial" w:hAnsi="Arial"/>
                <w:sz w:val="17"/>
                <w:szCs w:val="17"/>
                <w:color w:val="0000FF"/>
                <w:w w:val="96"/>
              </w:rPr>
            </w:pPr>
            <w:hyperlink r:id="rId107">
              <w:r>
                <w:rPr>
                  <w:rFonts w:ascii="Arial" w:cs="Arial" w:eastAsia="Arial" w:hAnsi="Arial"/>
                  <w:sz w:val="17"/>
                  <w:szCs w:val="17"/>
                  <w:color w:val="0000FF"/>
                  <w:w w:val="96"/>
                </w:rPr>
                <w:t>the signature pages thereto and CHTP Management Services, Inc., as sellers’</w:t>
              </w:r>
            </w:hyperlink>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5480" w:type="dxa"/>
            <w:vAlign w:val="bottom"/>
            <w:tcBorders>
              <w:top w:val="single" w:sz="8" w:color="0000FF"/>
            </w:tcBorders>
            <w:gridSpan w:val="18"/>
            <w:shd w:val="clear" w:color="auto" w:fill="CCEEFF"/>
          </w:tcPr>
          <w:p>
            <w:pPr>
              <w:spacing w:after="0" w:line="154" w:lineRule="exact"/>
              <w:rPr>
                <w:rFonts w:ascii="Arial" w:cs="Arial" w:eastAsia="Arial" w:hAnsi="Arial"/>
                <w:sz w:val="17"/>
                <w:szCs w:val="17"/>
                <w:color w:val="0000FF"/>
              </w:rPr>
            </w:pPr>
            <w:hyperlink r:id="rId107">
              <w:r>
                <w:rPr>
                  <w:rFonts w:ascii="Arial" w:cs="Arial" w:eastAsia="Arial" w:hAnsi="Arial"/>
                  <w:sz w:val="17"/>
                  <w:szCs w:val="17"/>
                  <w:color w:val="0000FF"/>
                </w:rPr>
                <w:t>representative.</w:t>
              </w:r>
            </w:hyperlink>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7"/>
              </w:rPr>
              <w:t>2.3</w:t>
            </w:r>
          </w:p>
        </w:tc>
        <w:tc>
          <w:tcPr>
            <w:tcW w:w="5920" w:type="dxa"/>
            <w:vAlign w:val="bottom"/>
            <w:gridSpan w:val="25"/>
          </w:tcPr>
          <w:p>
            <w:pPr>
              <w:spacing w:after="0" w:line="188" w:lineRule="exact"/>
              <w:rPr>
                <w:rFonts w:ascii="Arial" w:cs="Arial" w:eastAsia="Arial" w:hAnsi="Arial"/>
                <w:sz w:val="18"/>
                <w:szCs w:val="18"/>
                <w:color w:val="0000FF"/>
              </w:rPr>
            </w:pPr>
            <w:hyperlink r:id="rId108">
              <w:r>
                <w:rPr>
                  <w:rFonts w:ascii="Arial" w:cs="Arial" w:eastAsia="Arial" w:hAnsi="Arial"/>
                  <w:sz w:val="18"/>
                  <w:szCs w:val="18"/>
                  <w:color w:val="0000FF"/>
                </w:rPr>
                <w:t>Asset Purchase Agreement dated as of April 17, 2019 by and between</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ind w:left="351"/>
              <w:spacing w:after="0" w:line="188" w:lineRule="exact"/>
              <w:rPr>
                <w:sz w:val="20"/>
                <w:szCs w:val="20"/>
                <w:color w:val="auto"/>
              </w:rPr>
            </w:pPr>
            <w:r>
              <w:rPr>
                <w:rFonts w:ascii="Arial" w:cs="Arial" w:eastAsia="Arial" w:hAnsi="Arial"/>
                <w:sz w:val="18"/>
                <w:szCs w:val="18"/>
                <w:color w:val="auto"/>
                <w:w w:val="87"/>
              </w:rPr>
              <w:t>2.1</w:t>
            </w:r>
          </w:p>
        </w:tc>
        <w:tc>
          <w:tcPr>
            <w:tcW w:w="170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93"/>
              </w:rPr>
              <w:t>April 18, 2019</w:t>
            </w:r>
          </w:p>
        </w:tc>
      </w:tr>
      <w:tr>
        <w:trPr>
          <w:trHeight w:val="154"/>
        </w:trPr>
        <w:tc>
          <w:tcPr>
            <w:tcW w:w="1140" w:type="dxa"/>
            <w:vAlign w:val="bottom"/>
          </w:tcPr>
          <w:p>
            <w:pPr>
              <w:spacing w:after="0"/>
              <w:rPr>
                <w:sz w:val="13"/>
                <w:szCs w:val="13"/>
                <w:color w:val="auto"/>
              </w:rPr>
            </w:pPr>
          </w:p>
        </w:tc>
        <w:tc>
          <w:tcPr>
            <w:tcW w:w="496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r:id="rId108">
              <w:r>
                <w:rPr>
                  <w:rFonts w:ascii="Arial" w:cs="Arial" w:eastAsia="Arial" w:hAnsi="Arial"/>
                  <w:sz w:val="17"/>
                  <w:szCs w:val="17"/>
                  <w:color w:val="0000FF"/>
                </w:rPr>
                <w:t>AngioDynamics, Inc. and Medline Industries Inc.</w:t>
              </w:r>
            </w:hyperlink>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7"/>
              </w:rPr>
              <w:t>2.4</w:t>
            </w:r>
          </w:p>
        </w:tc>
        <w:tc>
          <w:tcPr>
            <w:tcW w:w="5920" w:type="dxa"/>
            <w:vAlign w:val="bottom"/>
            <w:gridSpan w:val="25"/>
            <w:shd w:val="clear" w:color="auto" w:fill="CCEEFF"/>
          </w:tcPr>
          <w:p>
            <w:pPr>
              <w:spacing w:after="0" w:line="188" w:lineRule="exact"/>
              <w:rPr>
                <w:rFonts w:ascii="Arial" w:cs="Arial" w:eastAsia="Arial" w:hAnsi="Arial"/>
                <w:sz w:val="18"/>
                <w:szCs w:val="18"/>
                <w:color w:val="0000FF"/>
              </w:rPr>
            </w:pPr>
            <w:hyperlink r:id="rId109">
              <w:r>
                <w:rPr>
                  <w:rFonts w:ascii="Arial" w:cs="Arial" w:eastAsia="Arial" w:hAnsi="Arial"/>
                  <w:sz w:val="18"/>
                  <w:szCs w:val="18"/>
                  <w:color w:val="0000FF"/>
                </w:rPr>
                <w:t>Asset Purchase Agreement dated as of June 8, 2023 by and between</w:t>
              </w:r>
            </w:hyperlink>
          </w:p>
        </w:tc>
        <w:tc>
          <w:tcPr>
            <w:tcW w:w="104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9"/>
              </w:rPr>
              <w:t>8-K</w:t>
            </w:r>
          </w:p>
        </w:tc>
        <w:tc>
          <w:tcPr>
            <w:tcW w:w="1420" w:type="dxa"/>
            <w:vAlign w:val="bottom"/>
            <w:shd w:val="clear" w:color="auto" w:fill="CCEEFF"/>
          </w:tcPr>
          <w:p>
            <w:pPr>
              <w:jc w:val="center"/>
              <w:ind w:left="351"/>
              <w:spacing w:after="0" w:line="188" w:lineRule="exact"/>
              <w:rPr>
                <w:sz w:val="20"/>
                <w:szCs w:val="20"/>
                <w:color w:val="auto"/>
              </w:rPr>
            </w:pPr>
            <w:r>
              <w:rPr>
                <w:rFonts w:ascii="Arial" w:cs="Arial" w:eastAsia="Arial" w:hAnsi="Arial"/>
                <w:sz w:val="18"/>
                <w:szCs w:val="18"/>
                <w:color w:val="auto"/>
                <w:w w:val="87"/>
              </w:rPr>
              <w:t>2.4</w:t>
            </w:r>
          </w:p>
        </w:tc>
        <w:tc>
          <w:tcPr>
            <w:tcW w:w="170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87"/>
              </w:rPr>
              <w:t>June 14, 2023</w:t>
            </w:r>
          </w:p>
        </w:tc>
      </w:tr>
      <w:tr>
        <w:trPr>
          <w:trHeight w:val="187"/>
        </w:trPr>
        <w:tc>
          <w:tcPr>
            <w:tcW w:w="114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0000FF"/>
            </w:tcBorders>
            <w:gridSpan w:val="12"/>
            <w:shd w:val="clear" w:color="auto" w:fill="CCEEFF"/>
          </w:tcPr>
          <w:p>
            <w:pPr>
              <w:spacing w:after="0" w:line="167" w:lineRule="exact"/>
              <w:rPr>
                <w:rFonts w:ascii="Arial" w:cs="Arial" w:eastAsia="Arial" w:hAnsi="Arial"/>
                <w:sz w:val="18"/>
                <w:szCs w:val="18"/>
                <w:color w:val="0000FF"/>
              </w:rPr>
            </w:pPr>
            <w:hyperlink r:id="rId109">
              <w:r>
                <w:rPr>
                  <w:rFonts w:ascii="Arial" w:cs="Arial" w:eastAsia="Arial" w:hAnsi="Arial"/>
                  <w:sz w:val="18"/>
                  <w:szCs w:val="18"/>
                  <w:color w:val="0000FF"/>
                </w:rPr>
                <w:t>AngioDynamics, Inc. and Merit Medical Systems, Inc.</w:t>
              </w:r>
            </w:hyperlink>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gridSpan w:val="2"/>
            <w:shd w:val="clear" w:color="auto" w:fill="CCEEFF"/>
          </w:tcPr>
          <w:p>
            <w:pPr>
              <w:spacing w:after="0"/>
              <w:rPr>
                <w:sz w:val="16"/>
                <w:szCs w:val="16"/>
                <w:color w:val="auto"/>
              </w:rPr>
            </w:pPr>
          </w:p>
        </w:tc>
        <w:tc>
          <w:tcPr>
            <w:tcW w:w="26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r>
      <w:tr>
        <w:trPr>
          <w:trHeight w:val="187"/>
        </w:trPr>
        <w:tc>
          <w:tcPr>
            <w:tcW w:w="1140" w:type="dxa"/>
            <w:vAlign w:val="bottom"/>
            <w:tcBorders>
              <w:top w:val="single" w:sz="8" w:color="CCEEFF"/>
            </w:tcBorders>
          </w:tcPr>
          <w:p>
            <w:pPr>
              <w:jc w:val="center"/>
              <w:spacing w:after="0" w:line="188" w:lineRule="exact"/>
              <w:rPr>
                <w:sz w:val="20"/>
                <w:szCs w:val="20"/>
                <w:color w:val="auto"/>
              </w:rPr>
            </w:pPr>
            <w:r>
              <w:rPr>
                <w:rFonts w:ascii="Arial" w:cs="Arial" w:eastAsia="Arial" w:hAnsi="Arial"/>
                <w:sz w:val="18"/>
                <w:szCs w:val="18"/>
                <w:color w:val="auto"/>
                <w:w w:val="89"/>
              </w:rPr>
              <w:t>3.1.1</w:t>
            </w:r>
          </w:p>
        </w:tc>
        <w:tc>
          <w:tcPr>
            <w:tcW w:w="3900" w:type="dxa"/>
            <w:vAlign w:val="bottom"/>
            <w:tcBorders>
              <w:top w:val="single" w:sz="8" w:color="0000FF"/>
            </w:tcBorders>
            <w:gridSpan w:val="8"/>
          </w:tcPr>
          <w:p>
            <w:pPr>
              <w:spacing w:after="0" w:line="188" w:lineRule="exact"/>
              <w:rPr>
                <w:rFonts w:ascii="Arial" w:cs="Arial" w:eastAsia="Arial" w:hAnsi="Arial"/>
                <w:sz w:val="18"/>
                <w:szCs w:val="18"/>
                <w:color w:val="0000FF"/>
                <w:w w:val="94"/>
              </w:rPr>
            </w:pPr>
            <w:hyperlink r:id="rId110">
              <w:r>
                <w:rPr>
                  <w:rFonts w:ascii="Arial" w:cs="Arial" w:eastAsia="Arial" w:hAnsi="Arial"/>
                  <w:sz w:val="18"/>
                  <w:szCs w:val="18"/>
                  <w:color w:val="0000FF"/>
                  <w:w w:val="94"/>
                </w:rPr>
                <w:t>Amended and Restated Certificate of Incorporation.</w:t>
              </w:r>
            </w:hyperlink>
          </w:p>
        </w:tc>
        <w:tc>
          <w:tcPr>
            <w:tcW w:w="2020" w:type="dxa"/>
            <w:vAlign w:val="bottom"/>
            <w:tcBorders>
              <w:top w:val="single" w:sz="8" w:color="CCEEFF"/>
            </w:tcBorders>
            <w:gridSpan w:val="17"/>
          </w:tcPr>
          <w:p>
            <w:pPr>
              <w:spacing w:after="0"/>
              <w:rPr>
                <w:sz w:val="16"/>
                <w:szCs w:val="16"/>
                <w:color w:val="auto"/>
              </w:rPr>
            </w:pPr>
          </w:p>
        </w:tc>
        <w:tc>
          <w:tcPr>
            <w:tcW w:w="1040" w:type="dxa"/>
            <w:vAlign w:val="bottom"/>
            <w:tcBorders>
              <w:top w:val="single" w:sz="8" w:color="CCEEFF"/>
            </w:tcBorders>
          </w:tcPr>
          <w:p>
            <w:pPr>
              <w:jc w:val="center"/>
              <w:ind w:left="111"/>
              <w:spacing w:after="0" w:line="188" w:lineRule="exact"/>
              <w:rPr>
                <w:sz w:val="20"/>
                <w:szCs w:val="20"/>
                <w:color w:val="auto"/>
              </w:rPr>
            </w:pPr>
            <w:r>
              <w:rPr>
                <w:rFonts w:ascii="Arial" w:cs="Arial" w:eastAsia="Arial" w:hAnsi="Arial"/>
                <w:sz w:val="18"/>
                <w:szCs w:val="18"/>
                <w:color w:val="auto"/>
                <w:w w:val="89"/>
              </w:rPr>
              <w:t>10-Q</w:t>
            </w:r>
          </w:p>
        </w:tc>
        <w:tc>
          <w:tcPr>
            <w:tcW w:w="1420" w:type="dxa"/>
            <w:vAlign w:val="bottom"/>
            <w:tcBorders>
              <w:top w:val="single" w:sz="8" w:color="CCEEFF"/>
            </w:tcBorders>
          </w:tcPr>
          <w:p>
            <w:pPr>
              <w:jc w:val="center"/>
              <w:ind w:left="351"/>
              <w:spacing w:after="0" w:line="188" w:lineRule="exact"/>
              <w:rPr>
                <w:sz w:val="20"/>
                <w:szCs w:val="20"/>
                <w:color w:val="auto"/>
              </w:rPr>
            </w:pPr>
            <w:r>
              <w:rPr>
                <w:rFonts w:ascii="Arial" w:cs="Arial" w:eastAsia="Arial" w:hAnsi="Arial"/>
                <w:sz w:val="18"/>
                <w:szCs w:val="18"/>
                <w:color w:val="auto"/>
                <w:w w:val="87"/>
              </w:rPr>
              <w:t>3.1</w:t>
            </w:r>
          </w:p>
        </w:tc>
        <w:tc>
          <w:tcPr>
            <w:tcW w:w="1700" w:type="dxa"/>
            <w:vAlign w:val="bottom"/>
            <w:tcBorders>
              <w:top w:val="single" w:sz="8" w:color="CCEEFF"/>
            </w:tcBorders>
          </w:tcPr>
          <w:p>
            <w:pPr>
              <w:jc w:val="center"/>
              <w:ind w:left="131"/>
              <w:spacing w:after="0" w:line="188" w:lineRule="exact"/>
              <w:rPr>
                <w:sz w:val="20"/>
                <w:szCs w:val="20"/>
                <w:color w:val="auto"/>
              </w:rPr>
            </w:pPr>
            <w:r>
              <w:rPr>
                <w:rFonts w:ascii="Arial" w:cs="Arial" w:eastAsia="Arial" w:hAnsi="Arial"/>
                <w:sz w:val="18"/>
                <w:szCs w:val="18"/>
                <w:color w:val="auto"/>
                <w:w w:val="89"/>
              </w:rPr>
              <w:t>October 7, 2005</w:t>
            </w: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9"/>
              </w:rPr>
              <w:t>3.1.2</w:t>
            </w:r>
          </w:p>
        </w:tc>
        <w:tc>
          <w:tcPr>
            <w:tcW w:w="5920" w:type="dxa"/>
            <w:vAlign w:val="bottom"/>
            <w:gridSpan w:val="25"/>
            <w:shd w:val="clear" w:color="auto" w:fill="CCEEFF"/>
          </w:tcPr>
          <w:p>
            <w:pPr>
              <w:spacing w:after="0" w:line="188" w:lineRule="exact"/>
              <w:rPr>
                <w:rFonts w:ascii="Arial" w:cs="Arial" w:eastAsia="Arial" w:hAnsi="Arial"/>
                <w:sz w:val="18"/>
                <w:szCs w:val="18"/>
                <w:color w:val="0000FF"/>
              </w:rPr>
            </w:pPr>
            <w:hyperlink r:id="rId111">
              <w:r>
                <w:rPr>
                  <w:rFonts w:ascii="Arial" w:cs="Arial" w:eastAsia="Arial" w:hAnsi="Arial"/>
                  <w:sz w:val="18"/>
                  <w:szCs w:val="18"/>
                  <w:color w:val="0000FF"/>
                </w:rPr>
                <w:t>Certificate of Amendment to the Amended and Restated Certificate of</w:t>
              </w:r>
            </w:hyperlink>
          </w:p>
        </w:tc>
        <w:tc>
          <w:tcPr>
            <w:tcW w:w="104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4"/>
              </w:rPr>
              <w:t>10-K</w:t>
            </w:r>
          </w:p>
        </w:tc>
        <w:tc>
          <w:tcPr>
            <w:tcW w:w="1420" w:type="dxa"/>
            <w:vAlign w:val="bottom"/>
            <w:shd w:val="clear" w:color="auto" w:fill="CCEEFF"/>
          </w:tcPr>
          <w:p>
            <w:pPr>
              <w:jc w:val="center"/>
              <w:ind w:left="331"/>
              <w:spacing w:after="0" w:line="188" w:lineRule="exact"/>
              <w:rPr>
                <w:sz w:val="20"/>
                <w:szCs w:val="20"/>
                <w:color w:val="auto"/>
              </w:rPr>
            </w:pPr>
            <w:r>
              <w:rPr>
                <w:rFonts w:ascii="Arial" w:cs="Arial" w:eastAsia="Arial" w:hAnsi="Arial"/>
                <w:sz w:val="18"/>
                <w:szCs w:val="18"/>
                <w:color w:val="auto"/>
                <w:w w:val="89"/>
              </w:rPr>
              <w:t>3.1.2</w:t>
            </w:r>
          </w:p>
        </w:tc>
        <w:tc>
          <w:tcPr>
            <w:tcW w:w="1700" w:type="dxa"/>
            <w:vAlign w:val="bottom"/>
            <w:shd w:val="clear" w:color="auto" w:fill="CCEEFF"/>
          </w:tcPr>
          <w:p>
            <w:pPr>
              <w:jc w:val="center"/>
              <w:ind w:left="151"/>
              <w:spacing w:after="0" w:line="188" w:lineRule="exact"/>
              <w:rPr>
                <w:sz w:val="20"/>
                <w:szCs w:val="20"/>
                <w:color w:val="auto"/>
              </w:rPr>
            </w:pPr>
            <w:r>
              <w:rPr>
                <w:rFonts w:ascii="Arial" w:cs="Arial" w:eastAsia="Arial" w:hAnsi="Arial"/>
                <w:sz w:val="18"/>
                <w:szCs w:val="18"/>
                <w:color w:val="auto"/>
                <w:w w:val="89"/>
              </w:rPr>
              <w:t>August 10, 2015</w:t>
            </w: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4980" w:type="dxa"/>
            <w:vAlign w:val="bottom"/>
            <w:tcBorders>
              <w:top w:val="single" w:sz="8" w:color="0000FF"/>
            </w:tcBorders>
            <w:gridSpan w:val="15"/>
            <w:shd w:val="clear" w:color="auto" w:fill="CCEEFF"/>
          </w:tcPr>
          <w:p>
            <w:pPr>
              <w:spacing w:after="0" w:line="154" w:lineRule="exact"/>
              <w:rPr>
                <w:rFonts w:ascii="Arial" w:cs="Arial" w:eastAsia="Arial" w:hAnsi="Arial"/>
                <w:sz w:val="17"/>
                <w:szCs w:val="17"/>
                <w:color w:val="0000FF"/>
              </w:rPr>
            </w:pPr>
            <w:hyperlink r:id="rId111">
              <w:r>
                <w:rPr>
                  <w:rFonts w:ascii="Arial" w:cs="Arial" w:eastAsia="Arial" w:hAnsi="Arial"/>
                  <w:sz w:val="17"/>
                  <w:szCs w:val="17"/>
                  <w:color w:val="0000FF"/>
                </w:rPr>
                <w:t>Incorporation of AngioDynamics, Inc.</w:t>
              </w:r>
            </w:hyperlink>
          </w:p>
        </w:tc>
        <w:tc>
          <w:tcPr>
            <w:tcW w:w="320" w:type="dxa"/>
            <w:vAlign w:val="bottom"/>
            <w:tcBorders>
              <w:top w:val="single" w:sz="8" w:color="CCEEFF"/>
            </w:tcBorders>
            <w:gridSpan w:val="2"/>
            <w:shd w:val="clear" w:color="auto" w:fill="CCEEFF"/>
          </w:tcPr>
          <w:p>
            <w:pPr>
              <w:spacing w:after="0"/>
              <w:rPr>
                <w:sz w:val="13"/>
                <w:szCs w:val="13"/>
                <w:color w:val="auto"/>
              </w:rPr>
            </w:pPr>
          </w:p>
        </w:tc>
        <w:tc>
          <w:tcPr>
            <w:tcW w:w="2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7"/>
              </w:rPr>
              <w:t>3.2</w:t>
            </w:r>
          </w:p>
        </w:tc>
        <w:tc>
          <w:tcPr>
            <w:tcW w:w="5920" w:type="dxa"/>
            <w:vAlign w:val="bottom"/>
            <w:gridSpan w:val="25"/>
          </w:tcPr>
          <w:p>
            <w:pPr>
              <w:spacing w:after="0" w:line="188" w:lineRule="exact"/>
              <w:rPr>
                <w:rFonts w:ascii="Arial" w:cs="Arial" w:eastAsia="Arial" w:hAnsi="Arial"/>
                <w:sz w:val="18"/>
                <w:szCs w:val="18"/>
                <w:color w:val="0000FF"/>
              </w:rPr>
            </w:pPr>
            <w:hyperlink r:id="rId112">
              <w:r>
                <w:rPr>
                  <w:rFonts w:ascii="Arial" w:cs="Arial" w:eastAsia="Arial" w:hAnsi="Arial"/>
                  <w:sz w:val="18"/>
                  <w:szCs w:val="18"/>
                  <w:color w:val="0000FF"/>
                </w:rPr>
                <w:t>Second Amended and Restated By-Laws, effective October 16, 2015.</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ind w:left="331"/>
              <w:spacing w:after="0" w:line="188" w:lineRule="exact"/>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89"/>
              </w:rPr>
              <w:t>October 21, 2015</w:t>
            </w: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07"/>
        </w:trPr>
        <w:tc>
          <w:tcPr>
            <w:tcW w:w="1140" w:type="dxa"/>
            <w:vAlign w:val="bottom"/>
            <w:tcBorders>
              <w:bottom w:val="single" w:sz="8" w:color="CCEEFF"/>
            </w:tcBorders>
            <w:shd w:val="clear" w:color="auto" w:fill="CCEEFF"/>
          </w:tcPr>
          <w:p>
            <w:pPr>
              <w:jc w:val="center"/>
              <w:spacing w:after="0" w:line="188" w:lineRule="exact"/>
              <w:rPr>
                <w:sz w:val="20"/>
                <w:szCs w:val="20"/>
                <w:color w:val="auto"/>
              </w:rPr>
            </w:pPr>
            <w:r>
              <w:rPr>
                <w:rFonts w:ascii="Arial" w:cs="Arial" w:eastAsia="Arial" w:hAnsi="Arial"/>
                <w:sz w:val="18"/>
                <w:szCs w:val="18"/>
                <w:color w:val="auto"/>
                <w:w w:val="87"/>
              </w:rPr>
              <w:t>10.1.3</w:t>
            </w:r>
          </w:p>
        </w:tc>
        <w:tc>
          <w:tcPr>
            <w:tcW w:w="5300" w:type="dxa"/>
            <w:vAlign w:val="bottom"/>
            <w:tcBorders>
              <w:bottom w:val="single" w:sz="8" w:color="0000FF"/>
            </w:tcBorders>
            <w:gridSpan w:val="17"/>
            <w:shd w:val="clear" w:color="auto" w:fill="CCEEFF"/>
          </w:tcPr>
          <w:p>
            <w:pPr>
              <w:spacing w:after="0" w:line="188" w:lineRule="exact"/>
              <w:rPr>
                <w:rFonts w:ascii="Arial" w:cs="Arial" w:eastAsia="Arial" w:hAnsi="Arial"/>
                <w:sz w:val="18"/>
                <w:szCs w:val="18"/>
                <w:color w:val="0000FF"/>
                <w:w w:val="89"/>
              </w:rPr>
            </w:pPr>
            <w:hyperlink r:id="rId113">
              <w:r>
                <w:rPr>
                  <w:rFonts w:ascii="Arial" w:cs="Arial" w:eastAsia="Arial" w:hAnsi="Arial"/>
                  <w:sz w:val="18"/>
                  <w:szCs w:val="18"/>
                  <w:color w:val="0000FF"/>
                  <w:w w:val="89"/>
                </w:rPr>
                <w:t>AngioDynamics, Inc. 2004 Stock and Incentive Award Plan (as amended).</w:t>
              </w:r>
            </w:hyperlink>
          </w:p>
        </w:tc>
        <w:tc>
          <w:tcPr>
            <w:tcW w:w="620" w:type="dxa"/>
            <w:vAlign w:val="bottom"/>
            <w:tcBorders>
              <w:bottom w:val="single" w:sz="8" w:color="CCEEFF"/>
            </w:tcBorders>
            <w:gridSpan w:val="8"/>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3"/>
              </w:rPr>
              <w:t>DEF 14A</w:t>
            </w:r>
          </w:p>
        </w:tc>
        <w:tc>
          <w:tcPr>
            <w:tcW w:w="14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151"/>
              <w:spacing w:after="0" w:line="188" w:lineRule="exact"/>
              <w:rPr>
                <w:sz w:val="20"/>
                <w:szCs w:val="20"/>
                <w:color w:val="auto"/>
              </w:rPr>
            </w:pPr>
            <w:r>
              <w:rPr>
                <w:rFonts w:ascii="Arial" w:cs="Arial" w:eastAsia="Arial" w:hAnsi="Arial"/>
                <w:sz w:val="18"/>
                <w:szCs w:val="18"/>
                <w:color w:val="auto"/>
                <w:w w:val="89"/>
              </w:rPr>
              <w:t>August 30, 2018</w:t>
            </w: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7"/>
              </w:rPr>
              <w:t>10.1.6</w:t>
            </w:r>
          </w:p>
        </w:tc>
        <w:tc>
          <w:tcPr>
            <w:tcW w:w="5920" w:type="dxa"/>
            <w:vAlign w:val="bottom"/>
            <w:gridSpan w:val="25"/>
          </w:tcPr>
          <w:p>
            <w:pPr>
              <w:spacing w:after="0" w:line="188" w:lineRule="exact"/>
              <w:rPr>
                <w:rFonts w:ascii="Arial" w:cs="Arial" w:eastAsia="Arial" w:hAnsi="Arial"/>
                <w:sz w:val="18"/>
                <w:szCs w:val="18"/>
                <w:color w:val="0000FF"/>
                <w:w w:val="95"/>
              </w:rPr>
            </w:pPr>
            <w:hyperlink r:id="rId114">
              <w:r>
                <w:rPr>
                  <w:rFonts w:ascii="Arial" w:cs="Arial" w:eastAsia="Arial" w:hAnsi="Arial"/>
                  <w:sz w:val="18"/>
                  <w:szCs w:val="18"/>
                  <w:color w:val="0000FF"/>
                  <w:w w:val="95"/>
                </w:rPr>
                <w:t>AngioDynamics 2017 Total Shareholder Return Performance Unit Agreement</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89"/>
              </w:rPr>
              <w:t>10-Q</w:t>
            </w:r>
          </w:p>
        </w:tc>
        <w:tc>
          <w:tcPr>
            <w:tcW w:w="1420" w:type="dxa"/>
            <w:vAlign w:val="bottom"/>
          </w:tcPr>
          <w:p>
            <w:pPr>
              <w:jc w:val="center"/>
              <w:ind w:left="331"/>
              <w:spacing w:after="0" w:line="188" w:lineRule="exact"/>
              <w:rPr>
                <w:sz w:val="20"/>
                <w:szCs w:val="20"/>
                <w:color w:val="auto"/>
              </w:rPr>
            </w:pPr>
            <w:r>
              <w:rPr>
                <w:rFonts w:ascii="Arial" w:cs="Arial" w:eastAsia="Arial" w:hAnsi="Arial"/>
                <w:sz w:val="18"/>
                <w:szCs w:val="18"/>
                <w:color w:val="auto"/>
                <w:w w:val="91"/>
              </w:rPr>
              <w:t>10.1</w:t>
            </w:r>
          </w:p>
        </w:tc>
        <w:tc>
          <w:tcPr>
            <w:tcW w:w="1700" w:type="dxa"/>
            <w:vAlign w:val="bottom"/>
          </w:tcPr>
          <w:p>
            <w:pPr>
              <w:jc w:val="center"/>
              <w:ind w:left="151"/>
              <w:spacing w:after="0" w:line="188" w:lineRule="exact"/>
              <w:rPr>
                <w:sz w:val="20"/>
                <w:szCs w:val="20"/>
                <w:color w:val="auto"/>
              </w:rPr>
            </w:pPr>
            <w:r>
              <w:rPr>
                <w:rFonts w:ascii="Arial" w:cs="Arial" w:eastAsia="Arial" w:hAnsi="Arial"/>
                <w:sz w:val="18"/>
                <w:szCs w:val="18"/>
                <w:color w:val="auto"/>
                <w:w w:val="87"/>
              </w:rPr>
              <w:t>September 29, 2017</w:t>
            </w:r>
          </w:p>
        </w:tc>
      </w:tr>
      <w:tr>
        <w:trPr>
          <w:trHeight w:val="167"/>
        </w:trPr>
        <w:tc>
          <w:tcPr>
            <w:tcW w:w="1140" w:type="dxa"/>
            <w:vAlign w:val="bottom"/>
          </w:tcPr>
          <w:p>
            <w:pPr>
              <w:spacing w:after="0"/>
              <w:rPr>
                <w:sz w:val="14"/>
                <w:szCs w:val="14"/>
                <w:color w:val="auto"/>
              </w:rPr>
            </w:pPr>
          </w:p>
        </w:tc>
        <w:tc>
          <w:tcPr>
            <w:tcW w:w="5560" w:type="dxa"/>
            <w:vAlign w:val="bottom"/>
            <w:tcBorders>
              <w:top w:val="single" w:sz="8" w:color="0000FF"/>
            </w:tcBorders>
            <w:gridSpan w:val="19"/>
          </w:tcPr>
          <w:p>
            <w:pPr>
              <w:spacing w:after="0" w:line="167" w:lineRule="exact"/>
              <w:rPr>
                <w:rFonts w:ascii="Arial" w:cs="Arial" w:eastAsia="Arial" w:hAnsi="Arial"/>
                <w:sz w:val="18"/>
                <w:szCs w:val="18"/>
                <w:color w:val="0000FF"/>
              </w:rPr>
            </w:pPr>
            <w:hyperlink r:id="rId114">
              <w:r>
                <w:rPr>
                  <w:rFonts w:ascii="Arial" w:cs="Arial" w:eastAsia="Arial" w:hAnsi="Arial"/>
                  <w:sz w:val="18"/>
                  <w:szCs w:val="18"/>
                  <w:color w:val="0000FF"/>
                </w:rPr>
                <w:t>Program.</w:t>
              </w:r>
            </w:hyperlink>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61"/>
        </w:trPr>
        <w:tc>
          <w:tcPr>
            <w:tcW w:w="1140" w:type="dxa"/>
            <w:vAlign w:val="bottom"/>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7"/>
              </w:rPr>
              <w:t>10.1.7</w:t>
            </w:r>
          </w:p>
        </w:tc>
        <w:tc>
          <w:tcPr>
            <w:tcW w:w="5920" w:type="dxa"/>
            <w:vAlign w:val="bottom"/>
            <w:gridSpan w:val="25"/>
            <w:shd w:val="clear" w:color="auto" w:fill="CCEEFF"/>
          </w:tcPr>
          <w:p>
            <w:pPr>
              <w:spacing w:after="0" w:line="188"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AngioDynamics 2018 Total Shareholder Return Performance Unit Agreement</w:t>
              </w:r>
            </w:hyperlink>
          </w:p>
        </w:tc>
        <w:tc>
          <w:tcPr>
            <w:tcW w:w="104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4"/>
              </w:rPr>
              <w:t>10-K</w:t>
            </w:r>
          </w:p>
        </w:tc>
        <w:tc>
          <w:tcPr>
            <w:tcW w:w="1420" w:type="dxa"/>
            <w:vAlign w:val="bottom"/>
            <w:shd w:val="clear" w:color="auto" w:fill="CCEEFF"/>
          </w:tcPr>
          <w:p>
            <w:pPr>
              <w:jc w:val="center"/>
              <w:ind w:left="331"/>
              <w:spacing w:after="0" w:line="188" w:lineRule="exact"/>
              <w:rPr>
                <w:sz w:val="20"/>
                <w:szCs w:val="20"/>
                <w:color w:val="auto"/>
              </w:rPr>
            </w:pPr>
            <w:r>
              <w:rPr>
                <w:rFonts w:ascii="Arial" w:cs="Arial" w:eastAsia="Arial" w:hAnsi="Arial"/>
                <w:sz w:val="18"/>
                <w:szCs w:val="18"/>
                <w:color w:val="auto"/>
                <w:w w:val="87"/>
              </w:rPr>
              <w:t>10.1.7</w:t>
            </w:r>
          </w:p>
        </w:tc>
        <w:tc>
          <w:tcPr>
            <w:tcW w:w="170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89"/>
              </w:rPr>
              <w:t>July 23, 2018</w:t>
            </w: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5560" w:type="dxa"/>
            <w:vAlign w:val="bottom"/>
            <w:tcBorders>
              <w:top w:val="single" w:sz="8" w:color="0000FF"/>
            </w:tcBorders>
            <w:gridSpan w:val="19"/>
            <w:shd w:val="clear" w:color="auto" w:fill="CCEEFF"/>
          </w:tcPr>
          <w:p>
            <w:pPr>
              <w:spacing w:after="0" w:line="154" w:lineRule="exact"/>
              <w:rPr>
                <w:rFonts w:ascii="Arial" w:cs="Arial" w:eastAsia="Arial" w:hAnsi="Arial"/>
                <w:sz w:val="17"/>
                <w:szCs w:val="17"/>
                <w:color w:val="0000FF"/>
              </w:rPr>
            </w:pPr>
            <w:hyperlink r:id="rId115">
              <w:r>
                <w:rPr>
                  <w:rFonts w:ascii="Arial" w:cs="Arial" w:eastAsia="Arial" w:hAnsi="Arial"/>
                  <w:sz w:val="17"/>
                  <w:szCs w:val="17"/>
                  <w:color w:val="0000FF"/>
                </w:rPr>
                <w:t>Program.</w:t>
              </w:r>
            </w:hyperlink>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274"/>
        </w:trPr>
        <w:tc>
          <w:tcPr>
            <w:tcW w:w="114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0000FF"/>
            </w:tcBorders>
            <w:shd w:val="clear" w:color="auto" w:fill="CCEEFF"/>
          </w:tcPr>
          <w:p>
            <w:pPr>
              <w:spacing w:after="0"/>
              <w:rPr>
                <w:sz w:val="23"/>
                <w:szCs w:val="23"/>
                <w:color w:val="auto"/>
              </w:rPr>
            </w:pPr>
          </w:p>
        </w:tc>
        <w:tc>
          <w:tcPr>
            <w:tcW w:w="38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tcBorders>
            <w:shd w:val="clear" w:color="auto" w:fill="CCEEFF"/>
          </w:tcPr>
          <w:p>
            <w:pPr>
              <w:spacing w:after="0"/>
              <w:rPr>
                <w:sz w:val="23"/>
                <w:szCs w:val="23"/>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7"/>
              </w:rPr>
              <w:t>10.1.8</w:t>
            </w:r>
          </w:p>
        </w:tc>
        <w:tc>
          <w:tcPr>
            <w:tcW w:w="5920" w:type="dxa"/>
            <w:vAlign w:val="bottom"/>
            <w:gridSpan w:val="25"/>
          </w:tcPr>
          <w:p>
            <w:pPr>
              <w:spacing w:after="0" w:line="188"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AngioDynamics 2019 Total Shareholder Return Performance Unit Agreement</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89"/>
              </w:rPr>
              <w:t>10-Q</w:t>
            </w:r>
          </w:p>
        </w:tc>
        <w:tc>
          <w:tcPr>
            <w:tcW w:w="1420" w:type="dxa"/>
            <w:vAlign w:val="bottom"/>
          </w:tcPr>
          <w:p>
            <w:pPr>
              <w:jc w:val="center"/>
              <w:ind w:left="331"/>
              <w:spacing w:after="0" w:line="188" w:lineRule="exact"/>
              <w:rPr>
                <w:sz w:val="20"/>
                <w:szCs w:val="20"/>
                <w:color w:val="auto"/>
              </w:rPr>
            </w:pPr>
            <w:r>
              <w:rPr>
                <w:rFonts w:ascii="Arial" w:cs="Arial" w:eastAsia="Arial" w:hAnsi="Arial"/>
                <w:sz w:val="18"/>
                <w:szCs w:val="18"/>
                <w:color w:val="auto"/>
                <w:w w:val="87"/>
              </w:rPr>
              <w:t>10.1.8</w:t>
            </w:r>
          </w:p>
        </w:tc>
        <w:tc>
          <w:tcPr>
            <w:tcW w:w="1700" w:type="dxa"/>
            <w:vAlign w:val="bottom"/>
          </w:tcPr>
          <w:p>
            <w:pPr>
              <w:jc w:val="center"/>
              <w:ind w:left="151"/>
              <w:spacing w:after="0" w:line="188" w:lineRule="exact"/>
              <w:rPr>
                <w:sz w:val="20"/>
                <w:szCs w:val="20"/>
                <w:color w:val="auto"/>
              </w:rPr>
            </w:pPr>
            <w:r>
              <w:rPr>
                <w:rFonts w:ascii="Arial" w:cs="Arial" w:eastAsia="Arial" w:hAnsi="Arial"/>
                <w:sz w:val="18"/>
                <w:szCs w:val="18"/>
                <w:color w:val="auto"/>
                <w:w w:val="88"/>
              </w:rPr>
              <w:t>January 8, 2020</w:t>
            </w:r>
          </w:p>
        </w:tc>
      </w:tr>
      <w:tr>
        <w:trPr>
          <w:trHeight w:val="154"/>
        </w:trPr>
        <w:tc>
          <w:tcPr>
            <w:tcW w:w="1140" w:type="dxa"/>
            <w:vAlign w:val="bottom"/>
          </w:tcPr>
          <w:p>
            <w:pPr>
              <w:spacing w:after="0"/>
              <w:rPr>
                <w:sz w:val="13"/>
                <w:szCs w:val="13"/>
                <w:color w:val="auto"/>
              </w:rPr>
            </w:pPr>
          </w:p>
        </w:tc>
        <w:tc>
          <w:tcPr>
            <w:tcW w:w="5560" w:type="dxa"/>
            <w:vAlign w:val="bottom"/>
            <w:tcBorders>
              <w:top w:val="single" w:sz="8" w:color="0000FF"/>
            </w:tcBorders>
            <w:gridSpan w:val="19"/>
          </w:tcPr>
          <w:p>
            <w:pPr>
              <w:spacing w:after="0" w:line="154" w:lineRule="exact"/>
              <w:rPr>
                <w:rFonts w:ascii="Arial" w:cs="Arial" w:eastAsia="Arial" w:hAnsi="Arial"/>
                <w:sz w:val="17"/>
                <w:szCs w:val="17"/>
                <w:color w:val="0000FF"/>
              </w:rPr>
            </w:pPr>
            <w:hyperlink r:id="rId116">
              <w:r>
                <w:rPr>
                  <w:rFonts w:ascii="Arial" w:cs="Arial" w:eastAsia="Arial" w:hAnsi="Arial"/>
                  <w:sz w:val="17"/>
                  <w:szCs w:val="17"/>
                  <w:color w:val="0000FF"/>
                </w:rPr>
                <w:t>Program.</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1"/>
        </w:trPr>
        <w:tc>
          <w:tcPr>
            <w:tcW w:w="1140" w:type="dxa"/>
            <w:vAlign w:val="bottom"/>
            <w:tcBorders>
              <w:bottom w:val="single" w:sz="8" w:color="CCEEFF"/>
            </w:tcBorders>
            <w:shd w:val="clear" w:color="auto" w:fill="CCEEFF"/>
          </w:tcPr>
          <w:p>
            <w:pPr>
              <w:jc w:val="center"/>
              <w:spacing w:after="0" w:line="188" w:lineRule="exact"/>
              <w:rPr>
                <w:sz w:val="20"/>
                <w:szCs w:val="20"/>
                <w:color w:val="auto"/>
              </w:rPr>
            </w:pPr>
            <w:r>
              <w:rPr>
                <w:rFonts w:ascii="Arial" w:cs="Arial" w:eastAsia="Arial" w:hAnsi="Arial"/>
                <w:sz w:val="18"/>
                <w:szCs w:val="18"/>
                <w:color w:val="auto"/>
                <w:w w:val="87"/>
              </w:rPr>
              <w:t>10.1.9</w:t>
            </w:r>
          </w:p>
        </w:tc>
        <w:tc>
          <w:tcPr>
            <w:tcW w:w="4260" w:type="dxa"/>
            <w:vAlign w:val="bottom"/>
            <w:tcBorders>
              <w:bottom w:val="single" w:sz="8" w:color="0000FF"/>
            </w:tcBorders>
            <w:gridSpan w:val="9"/>
            <w:shd w:val="clear" w:color="auto" w:fill="CCEEFF"/>
          </w:tcPr>
          <w:p>
            <w:pPr>
              <w:spacing w:after="0" w:line="188"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AngioDynamics, Inc. 2020 Stock and Incentive Award Plan</w:t>
              </w:r>
            </w:hyperlink>
          </w:p>
        </w:tc>
        <w:tc>
          <w:tcPr>
            <w:tcW w:w="1660" w:type="dxa"/>
            <w:vAlign w:val="bottom"/>
            <w:tcBorders>
              <w:bottom w:val="single" w:sz="8" w:color="CCEEFF"/>
            </w:tcBorders>
            <w:gridSpan w:val="16"/>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3"/>
              </w:rPr>
              <w:t>DEF 14A</w:t>
            </w:r>
          </w:p>
        </w:tc>
        <w:tc>
          <w:tcPr>
            <w:tcW w:w="14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center"/>
              <w:ind w:left="151"/>
              <w:spacing w:after="0" w:line="188" w:lineRule="exact"/>
              <w:rPr>
                <w:sz w:val="20"/>
                <w:szCs w:val="20"/>
                <w:color w:val="auto"/>
              </w:rPr>
            </w:pPr>
            <w:r>
              <w:rPr>
                <w:rFonts w:ascii="Arial" w:cs="Arial" w:eastAsia="Arial" w:hAnsi="Arial"/>
                <w:sz w:val="18"/>
                <w:szCs w:val="18"/>
                <w:color w:val="auto"/>
                <w:w w:val="87"/>
              </w:rPr>
              <w:t>September 3, 2020</w:t>
            </w: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91"/>
              </w:rPr>
              <w:t>10.2</w:t>
            </w:r>
          </w:p>
        </w:tc>
        <w:tc>
          <w:tcPr>
            <w:tcW w:w="5920" w:type="dxa"/>
            <w:vAlign w:val="bottom"/>
            <w:gridSpan w:val="25"/>
          </w:tcPr>
          <w:p>
            <w:pPr>
              <w:spacing w:after="0" w:line="188" w:lineRule="exact"/>
              <w:rPr>
                <w:rFonts w:ascii="Arial" w:cs="Arial" w:eastAsia="Arial" w:hAnsi="Arial"/>
                <w:sz w:val="18"/>
                <w:szCs w:val="18"/>
                <w:color w:val="0000FF"/>
              </w:rPr>
            </w:pPr>
            <w:hyperlink r:id="rId117">
              <w:r>
                <w:rPr>
                  <w:rFonts w:ascii="Arial" w:cs="Arial" w:eastAsia="Arial" w:hAnsi="Arial"/>
                  <w:sz w:val="18"/>
                  <w:szCs w:val="18"/>
                  <w:color w:val="0000FF"/>
                </w:rPr>
                <w:t>AngioDynamics, Inc. Employee Stock Purchase Plan (as amended).</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3"/>
              </w:rPr>
              <w:t>DEF 14A</w:t>
            </w:r>
          </w:p>
        </w:tc>
        <w:tc>
          <w:tcPr>
            <w:tcW w:w="1420" w:type="dxa"/>
            <w:vAlign w:val="bottom"/>
          </w:tcPr>
          <w:p>
            <w:pPr>
              <w:spacing w:after="0"/>
              <w:rPr>
                <w:sz w:val="16"/>
                <w:szCs w:val="16"/>
                <w:color w:val="auto"/>
              </w:rPr>
            </w:pPr>
          </w:p>
        </w:tc>
        <w:tc>
          <w:tcPr>
            <w:tcW w:w="1700" w:type="dxa"/>
            <w:vAlign w:val="bottom"/>
          </w:tcPr>
          <w:p>
            <w:pPr>
              <w:jc w:val="center"/>
              <w:ind w:left="151"/>
              <w:spacing w:after="0" w:line="188" w:lineRule="exact"/>
              <w:rPr>
                <w:sz w:val="20"/>
                <w:szCs w:val="20"/>
                <w:color w:val="auto"/>
              </w:rPr>
            </w:pPr>
            <w:r>
              <w:rPr>
                <w:rFonts w:ascii="Arial" w:cs="Arial" w:eastAsia="Arial" w:hAnsi="Arial"/>
                <w:sz w:val="18"/>
                <w:szCs w:val="18"/>
                <w:color w:val="auto"/>
                <w:w w:val="87"/>
              </w:rPr>
              <w:t>September 3, 2020</w:t>
            </w: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1"/>
              </w:rPr>
              <w:t>10.3</w:t>
            </w:r>
          </w:p>
        </w:tc>
        <w:tc>
          <w:tcPr>
            <w:tcW w:w="5920" w:type="dxa"/>
            <w:vAlign w:val="bottom"/>
            <w:gridSpan w:val="25"/>
            <w:shd w:val="clear" w:color="auto" w:fill="CCEEFF"/>
          </w:tcPr>
          <w:p>
            <w:pPr>
              <w:spacing w:after="0" w:line="188"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Form of Non-Statutory Stock Option Agreement pursuant to the AngioDynamics,</w:t>
              </w:r>
            </w:hyperlink>
          </w:p>
        </w:tc>
        <w:tc>
          <w:tcPr>
            <w:tcW w:w="104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89"/>
              </w:rPr>
              <w:t>10-Q</w:t>
            </w:r>
          </w:p>
        </w:tc>
        <w:tc>
          <w:tcPr>
            <w:tcW w:w="1420" w:type="dxa"/>
            <w:vAlign w:val="bottom"/>
            <w:shd w:val="clear" w:color="auto" w:fill="CCEEFF"/>
          </w:tcPr>
          <w:p>
            <w:pPr>
              <w:jc w:val="center"/>
              <w:ind w:left="331"/>
              <w:spacing w:after="0" w:line="188" w:lineRule="exact"/>
              <w:rPr>
                <w:sz w:val="20"/>
                <w:szCs w:val="20"/>
                <w:color w:val="auto"/>
              </w:rPr>
            </w:pPr>
            <w:r>
              <w:rPr>
                <w:rFonts w:ascii="Arial" w:cs="Arial" w:eastAsia="Arial" w:hAnsi="Arial"/>
                <w:sz w:val="18"/>
                <w:szCs w:val="18"/>
                <w:color w:val="auto"/>
                <w:w w:val="91"/>
              </w:rPr>
              <w:t>10.1</w:t>
            </w:r>
          </w:p>
        </w:tc>
        <w:tc>
          <w:tcPr>
            <w:tcW w:w="170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89"/>
              </w:rPr>
              <w:t>October 12, 2004</w:t>
            </w: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5820" w:type="dxa"/>
            <w:vAlign w:val="bottom"/>
            <w:tcBorders>
              <w:top w:val="single" w:sz="8" w:color="0000FF"/>
            </w:tcBorders>
            <w:gridSpan w:val="23"/>
            <w:shd w:val="clear" w:color="auto" w:fill="CCEEFF"/>
          </w:tcPr>
          <w:p>
            <w:pPr>
              <w:spacing w:after="0" w:line="154" w:lineRule="exact"/>
              <w:rPr>
                <w:rFonts w:ascii="Arial" w:cs="Arial" w:eastAsia="Arial" w:hAnsi="Arial"/>
                <w:sz w:val="17"/>
                <w:szCs w:val="17"/>
                <w:color w:val="0000FF"/>
              </w:rPr>
            </w:pPr>
            <w:hyperlink r:id="rId118">
              <w:r>
                <w:rPr>
                  <w:rFonts w:ascii="Arial" w:cs="Arial" w:eastAsia="Arial" w:hAnsi="Arial"/>
                  <w:sz w:val="17"/>
                  <w:szCs w:val="17"/>
                  <w:color w:val="0000FF"/>
                </w:rPr>
                <w:t>Inc. Stock and Incentive Award Plan.</w:t>
              </w:r>
            </w:hyperlink>
          </w:p>
        </w:tc>
        <w:tc>
          <w:tcPr>
            <w:tcW w:w="10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7"/>
              </w:rPr>
              <w:t>10.3.1</w:t>
            </w:r>
          </w:p>
        </w:tc>
        <w:tc>
          <w:tcPr>
            <w:tcW w:w="5920" w:type="dxa"/>
            <w:vAlign w:val="bottom"/>
            <w:gridSpan w:val="25"/>
          </w:tcPr>
          <w:p>
            <w:pPr>
              <w:spacing w:after="0" w:line="188"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Form of Non-Statutory Stock Option Agreement pursuant to the AngioDynamics,</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4"/>
              </w:rPr>
              <w:t>10-K</w:t>
            </w:r>
          </w:p>
        </w:tc>
        <w:tc>
          <w:tcPr>
            <w:tcW w:w="1420" w:type="dxa"/>
            <w:vAlign w:val="bottom"/>
          </w:tcPr>
          <w:p>
            <w:pPr>
              <w:jc w:val="center"/>
              <w:ind w:left="331"/>
              <w:spacing w:after="0" w:line="188" w:lineRule="exact"/>
              <w:rPr>
                <w:sz w:val="20"/>
                <w:szCs w:val="20"/>
                <w:color w:val="auto"/>
              </w:rPr>
            </w:pPr>
            <w:r>
              <w:rPr>
                <w:rFonts w:ascii="Arial" w:cs="Arial" w:eastAsia="Arial" w:hAnsi="Arial"/>
                <w:sz w:val="18"/>
                <w:szCs w:val="18"/>
                <w:color w:val="auto"/>
                <w:w w:val="87"/>
              </w:rPr>
              <w:t>10.3.1</w:t>
            </w:r>
          </w:p>
        </w:tc>
        <w:tc>
          <w:tcPr>
            <w:tcW w:w="170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89"/>
              </w:rPr>
              <w:t>July 23, 2018</w:t>
            </w:r>
          </w:p>
        </w:tc>
      </w:tr>
      <w:tr>
        <w:trPr>
          <w:trHeight w:val="154"/>
        </w:trPr>
        <w:tc>
          <w:tcPr>
            <w:tcW w:w="1140" w:type="dxa"/>
            <w:vAlign w:val="bottom"/>
          </w:tcPr>
          <w:p>
            <w:pPr>
              <w:spacing w:after="0"/>
              <w:rPr>
                <w:sz w:val="13"/>
                <w:szCs w:val="13"/>
                <w:color w:val="auto"/>
              </w:rPr>
            </w:pPr>
          </w:p>
        </w:tc>
        <w:tc>
          <w:tcPr>
            <w:tcW w:w="5820" w:type="dxa"/>
            <w:vAlign w:val="bottom"/>
            <w:tcBorders>
              <w:top w:val="single" w:sz="8" w:color="0000FF"/>
            </w:tcBorders>
            <w:gridSpan w:val="23"/>
          </w:tcPr>
          <w:p>
            <w:pPr>
              <w:spacing w:after="0" w:line="154" w:lineRule="exact"/>
              <w:rPr>
                <w:rFonts w:ascii="Arial" w:cs="Arial" w:eastAsia="Arial" w:hAnsi="Arial"/>
                <w:sz w:val="17"/>
                <w:szCs w:val="17"/>
                <w:color w:val="0000FF"/>
              </w:rPr>
            </w:pPr>
            <w:hyperlink r:id="rId119">
              <w:r>
                <w:rPr>
                  <w:rFonts w:ascii="Arial" w:cs="Arial" w:eastAsia="Arial" w:hAnsi="Arial"/>
                  <w:sz w:val="17"/>
                  <w:szCs w:val="17"/>
                  <w:color w:val="0000FF"/>
                </w:rPr>
                <w:t>Inc. Stock and Incentive Award Plan.</w:t>
              </w:r>
            </w:hyperlink>
          </w:p>
        </w:tc>
        <w:tc>
          <w:tcPr>
            <w:tcW w:w="10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7"/>
              </w:rPr>
              <w:t>10.4.3</w:t>
            </w:r>
          </w:p>
        </w:tc>
        <w:tc>
          <w:tcPr>
            <w:tcW w:w="5920" w:type="dxa"/>
            <w:vAlign w:val="bottom"/>
            <w:gridSpan w:val="25"/>
            <w:shd w:val="clear" w:color="auto" w:fill="CCEEFF"/>
          </w:tcPr>
          <w:p>
            <w:pPr>
              <w:spacing w:after="0" w:line="188" w:lineRule="exact"/>
              <w:rPr>
                <w:rFonts w:ascii="Arial" w:cs="Arial" w:eastAsia="Arial" w:hAnsi="Arial"/>
                <w:sz w:val="18"/>
                <w:szCs w:val="18"/>
                <w:color w:val="0000FF"/>
              </w:rPr>
            </w:pPr>
            <w:hyperlink r:id="rId120">
              <w:r>
                <w:rPr>
                  <w:rFonts w:ascii="Arial" w:cs="Arial" w:eastAsia="Arial" w:hAnsi="Arial"/>
                  <w:sz w:val="18"/>
                  <w:szCs w:val="18"/>
                  <w:color w:val="0000FF"/>
                </w:rPr>
                <w:t>Form of 2016 Performance Share Award Agreement pursuant to the</w:t>
              </w:r>
            </w:hyperlink>
          </w:p>
        </w:tc>
        <w:tc>
          <w:tcPr>
            <w:tcW w:w="104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89"/>
              </w:rPr>
              <w:t>10-Q</w:t>
            </w:r>
          </w:p>
        </w:tc>
        <w:tc>
          <w:tcPr>
            <w:tcW w:w="1420" w:type="dxa"/>
            <w:vAlign w:val="bottom"/>
            <w:shd w:val="clear" w:color="auto" w:fill="CCEEFF"/>
          </w:tcPr>
          <w:p>
            <w:pPr>
              <w:jc w:val="center"/>
              <w:ind w:left="331"/>
              <w:spacing w:after="0" w:line="188" w:lineRule="exact"/>
              <w:rPr>
                <w:sz w:val="20"/>
                <w:szCs w:val="20"/>
                <w:color w:val="auto"/>
              </w:rPr>
            </w:pPr>
            <w:r>
              <w:rPr>
                <w:rFonts w:ascii="Arial" w:cs="Arial" w:eastAsia="Arial" w:hAnsi="Arial"/>
                <w:sz w:val="18"/>
                <w:szCs w:val="18"/>
                <w:color w:val="auto"/>
                <w:w w:val="91"/>
              </w:rPr>
              <w:t>10.2</w:t>
            </w:r>
          </w:p>
        </w:tc>
        <w:tc>
          <w:tcPr>
            <w:tcW w:w="170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89"/>
              </w:rPr>
              <w:t>October 5, 2016</w:t>
            </w:r>
          </w:p>
        </w:tc>
      </w:tr>
      <w:tr>
        <w:trPr>
          <w:trHeight w:val="187"/>
        </w:trPr>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4300" w:type="dxa"/>
            <w:vAlign w:val="bottom"/>
            <w:tcBorders>
              <w:top w:val="single" w:sz="8" w:color="0000FF"/>
              <w:bottom w:val="single" w:sz="8" w:color="0000FF"/>
            </w:tcBorders>
            <w:gridSpan w:val="10"/>
            <w:shd w:val="clear" w:color="auto" w:fill="CCEEFF"/>
          </w:tcPr>
          <w:p>
            <w:pPr>
              <w:spacing w:after="0" w:line="167"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AngioDynamics, Inc. 2004 Stock and Incentive Award Plan.</w:t>
              </w:r>
            </w:hyperlink>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7"/>
              </w:rPr>
              <w:t>10.4.4</w:t>
            </w:r>
          </w:p>
        </w:tc>
        <w:tc>
          <w:tcPr>
            <w:tcW w:w="5920" w:type="dxa"/>
            <w:vAlign w:val="bottom"/>
            <w:gridSpan w:val="25"/>
          </w:tcPr>
          <w:p>
            <w:pPr>
              <w:spacing w:after="0" w:line="188" w:lineRule="exact"/>
              <w:rPr>
                <w:rFonts w:ascii="Arial" w:cs="Arial" w:eastAsia="Arial" w:hAnsi="Arial"/>
                <w:sz w:val="18"/>
                <w:szCs w:val="18"/>
                <w:color w:val="0000FF"/>
              </w:rPr>
            </w:pPr>
            <w:hyperlink r:id="rId121">
              <w:r>
                <w:rPr>
                  <w:rFonts w:ascii="Arial" w:cs="Arial" w:eastAsia="Arial" w:hAnsi="Arial"/>
                  <w:sz w:val="18"/>
                  <w:szCs w:val="18"/>
                  <w:color w:val="0000FF"/>
                </w:rPr>
                <w:t>Form of 2017 Performance Share Award Agreement pursuant to the</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89"/>
              </w:rPr>
              <w:t>10-Q</w:t>
            </w:r>
          </w:p>
        </w:tc>
        <w:tc>
          <w:tcPr>
            <w:tcW w:w="1420" w:type="dxa"/>
            <w:vAlign w:val="bottom"/>
          </w:tcPr>
          <w:p>
            <w:pPr>
              <w:jc w:val="center"/>
              <w:ind w:left="331"/>
              <w:spacing w:after="0" w:line="188" w:lineRule="exact"/>
              <w:rPr>
                <w:sz w:val="20"/>
                <w:szCs w:val="20"/>
                <w:color w:val="auto"/>
              </w:rPr>
            </w:pPr>
            <w:r>
              <w:rPr>
                <w:rFonts w:ascii="Arial" w:cs="Arial" w:eastAsia="Arial" w:hAnsi="Arial"/>
                <w:sz w:val="18"/>
                <w:szCs w:val="18"/>
                <w:color w:val="auto"/>
                <w:w w:val="91"/>
              </w:rPr>
              <w:t>10.2</w:t>
            </w:r>
          </w:p>
        </w:tc>
        <w:tc>
          <w:tcPr>
            <w:tcW w:w="1700" w:type="dxa"/>
            <w:vAlign w:val="bottom"/>
          </w:tcPr>
          <w:p>
            <w:pPr>
              <w:jc w:val="center"/>
              <w:ind w:left="151"/>
              <w:spacing w:after="0" w:line="188" w:lineRule="exact"/>
              <w:rPr>
                <w:sz w:val="20"/>
                <w:szCs w:val="20"/>
                <w:color w:val="auto"/>
              </w:rPr>
            </w:pPr>
            <w:r>
              <w:rPr>
                <w:rFonts w:ascii="Arial" w:cs="Arial" w:eastAsia="Arial" w:hAnsi="Arial"/>
                <w:sz w:val="18"/>
                <w:szCs w:val="18"/>
                <w:color w:val="auto"/>
                <w:w w:val="87"/>
              </w:rPr>
              <w:t>September 29, 2017</w:t>
            </w:r>
          </w:p>
        </w:tc>
      </w:tr>
      <w:tr>
        <w:trPr>
          <w:trHeight w:val="154"/>
        </w:trPr>
        <w:tc>
          <w:tcPr>
            <w:tcW w:w="1140" w:type="dxa"/>
            <w:vAlign w:val="bottom"/>
          </w:tcPr>
          <w:p>
            <w:pPr>
              <w:spacing w:after="0"/>
              <w:rPr>
                <w:sz w:val="13"/>
                <w:szCs w:val="13"/>
                <w:color w:val="auto"/>
              </w:rPr>
            </w:pPr>
          </w:p>
        </w:tc>
        <w:tc>
          <w:tcPr>
            <w:tcW w:w="482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121">
              <w:r>
                <w:rPr>
                  <w:rFonts w:ascii="Arial" w:cs="Arial" w:eastAsia="Arial" w:hAnsi="Arial"/>
                  <w:sz w:val="17"/>
                  <w:szCs w:val="17"/>
                  <w:color w:val="0000FF"/>
                </w:rPr>
                <w:t>AngioDynamics, Inc. 2004 Stock and Incentive Award Plan.</w:t>
              </w:r>
            </w:hyperlink>
          </w:p>
        </w:tc>
        <w:tc>
          <w:tcPr>
            <w:tcW w:w="760" w:type="dxa"/>
            <w:vAlign w:val="bottom"/>
            <w:gridSpan w:val="9"/>
          </w:tcPr>
          <w:p>
            <w:pPr>
              <w:spacing w:after="0"/>
              <w:rPr>
                <w:sz w:val="13"/>
                <w:szCs w:val="13"/>
                <w:color w:val="auto"/>
              </w:rPr>
            </w:pPr>
          </w:p>
        </w:tc>
        <w:tc>
          <w:tcPr>
            <w:tcW w:w="22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33"/>
        </w:trPr>
        <w:tc>
          <w:tcPr>
            <w:tcW w:w="114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7"/>
              </w:rPr>
              <w:t>10.4.5</w:t>
            </w:r>
          </w:p>
        </w:tc>
        <w:tc>
          <w:tcPr>
            <w:tcW w:w="5920" w:type="dxa"/>
            <w:vAlign w:val="bottom"/>
            <w:gridSpan w:val="25"/>
            <w:shd w:val="clear" w:color="auto" w:fill="CCEEFF"/>
          </w:tcPr>
          <w:p>
            <w:pPr>
              <w:spacing w:after="0" w:line="188" w:lineRule="exact"/>
              <w:rPr>
                <w:rFonts w:ascii="Arial" w:cs="Arial" w:eastAsia="Arial" w:hAnsi="Arial"/>
                <w:sz w:val="18"/>
                <w:szCs w:val="18"/>
                <w:color w:val="0000FF"/>
              </w:rPr>
            </w:pPr>
            <w:hyperlink r:id="rId122">
              <w:r>
                <w:rPr>
                  <w:rFonts w:ascii="Arial" w:cs="Arial" w:eastAsia="Arial" w:hAnsi="Arial"/>
                  <w:sz w:val="18"/>
                  <w:szCs w:val="18"/>
                  <w:color w:val="0000FF"/>
                </w:rPr>
                <w:t>Form of 2018 Performance Share Award Agreement pursuant to the</w:t>
              </w:r>
            </w:hyperlink>
          </w:p>
        </w:tc>
        <w:tc>
          <w:tcPr>
            <w:tcW w:w="104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4"/>
              </w:rPr>
              <w:t>10-K</w:t>
            </w:r>
          </w:p>
        </w:tc>
        <w:tc>
          <w:tcPr>
            <w:tcW w:w="1420" w:type="dxa"/>
            <w:vAlign w:val="bottom"/>
            <w:shd w:val="clear" w:color="auto" w:fill="CCEEFF"/>
          </w:tcPr>
          <w:p>
            <w:pPr>
              <w:jc w:val="center"/>
              <w:ind w:left="331"/>
              <w:spacing w:after="0" w:line="188" w:lineRule="exact"/>
              <w:rPr>
                <w:sz w:val="20"/>
                <w:szCs w:val="20"/>
                <w:color w:val="auto"/>
              </w:rPr>
            </w:pPr>
            <w:r>
              <w:rPr>
                <w:rFonts w:ascii="Arial" w:cs="Arial" w:eastAsia="Arial" w:hAnsi="Arial"/>
                <w:sz w:val="18"/>
                <w:szCs w:val="18"/>
                <w:color w:val="auto"/>
                <w:w w:val="87"/>
              </w:rPr>
              <w:t>10.4.5</w:t>
            </w:r>
          </w:p>
        </w:tc>
        <w:tc>
          <w:tcPr>
            <w:tcW w:w="170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89"/>
              </w:rPr>
              <w:t>July 23, 2018</w:t>
            </w:r>
          </w:p>
        </w:tc>
      </w:tr>
      <w:tr>
        <w:trPr>
          <w:trHeight w:val="174"/>
        </w:trPr>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4300" w:type="dxa"/>
            <w:vAlign w:val="bottom"/>
            <w:tcBorders>
              <w:top w:val="single" w:sz="8" w:color="0000FF"/>
              <w:bottom w:val="single" w:sz="8" w:color="0000FF"/>
            </w:tcBorders>
            <w:gridSpan w:val="10"/>
            <w:shd w:val="clear" w:color="auto" w:fill="CCEEFF"/>
          </w:tcPr>
          <w:p>
            <w:pPr>
              <w:spacing w:after="0" w:line="154" w:lineRule="exact"/>
              <w:rPr>
                <w:rFonts w:ascii="Arial" w:cs="Arial" w:eastAsia="Arial" w:hAnsi="Arial"/>
                <w:sz w:val="17"/>
                <w:szCs w:val="17"/>
                <w:color w:val="0000FF"/>
                <w:w w:val="95"/>
              </w:rPr>
            </w:pPr>
            <w:hyperlink r:id="rId122">
              <w:r>
                <w:rPr>
                  <w:rFonts w:ascii="Arial" w:cs="Arial" w:eastAsia="Arial" w:hAnsi="Arial"/>
                  <w:sz w:val="17"/>
                  <w:szCs w:val="17"/>
                  <w:color w:val="0000FF"/>
                  <w:w w:val="95"/>
                </w:rPr>
                <w:t>AngioDynamics, Inc. 2004 Stock and Incentive Award Plan.</w:t>
              </w:r>
            </w:hyperlink>
          </w:p>
        </w:tc>
        <w:tc>
          <w:tcPr>
            <w:tcW w:w="520" w:type="dxa"/>
            <w:vAlign w:val="bottom"/>
            <w:tcBorders>
              <w:top w:val="single" w:sz="8" w:color="0000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7"/>
              </w:rPr>
              <w:t>10.4.6</w:t>
            </w:r>
          </w:p>
        </w:tc>
        <w:tc>
          <w:tcPr>
            <w:tcW w:w="5920" w:type="dxa"/>
            <w:vAlign w:val="bottom"/>
            <w:gridSpan w:val="25"/>
          </w:tcPr>
          <w:p>
            <w:pPr>
              <w:spacing w:after="0" w:line="188" w:lineRule="exact"/>
              <w:rPr>
                <w:rFonts w:ascii="Arial" w:cs="Arial" w:eastAsia="Arial" w:hAnsi="Arial"/>
                <w:sz w:val="18"/>
                <w:szCs w:val="18"/>
                <w:color w:val="0000FF"/>
              </w:rPr>
            </w:pPr>
            <w:hyperlink r:id="rId123">
              <w:r>
                <w:rPr>
                  <w:rFonts w:ascii="Arial" w:cs="Arial" w:eastAsia="Arial" w:hAnsi="Arial"/>
                  <w:sz w:val="18"/>
                  <w:szCs w:val="18"/>
                  <w:color w:val="0000FF"/>
                </w:rPr>
                <w:t>Form of 2020 Performance Share Award Agreement pursuant to the</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89"/>
              </w:rPr>
              <w:t>10-Q</w:t>
            </w:r>
          </w:p>
        </w:tc>
        <w:tc>
          <w:tcPr>
            <w:tcW w:w="1420" w:type="dxa"/>
            <w:vAlign w:val="bottom"/>
          </w:tcPr>
          <w:p>
            <w:pPr>
              <w:jc w:val="center"/>
              <w:ind w:left="331"/>
              <w:spacing w:after="0" w:line="188" w:lineRule="exact"/>
              <w:rPr>
                <w:sz w:val="20"/>
                <w:szCs w:val="20"/>
                <w:color w:val="auto"/>
              </w:rPr>
            </w:pPr>
            <w:r>
              <w:rPr>
                <w:rFonts w:ascii="Arial" w:cs="Arial" w:eastAsia="Arial" w:hAnsi="Arial"/>
                <w:sz w:val="18"/>
                <w:szCs w:val="18"/>
                <w:color w:val="auto"/>
                <w:w w:val="87"/>
              </w:rPr>
              <w:t>10.4.6</w:t>
            </w:r>
          </w:p>
        </w:tc>
        <w:tc>
          <w:tcPr>
            <w:tcW w:w="1700" w:type="dxa"/>
            <w:vAlign w:val="bottom"/>
          </w:tcPr>
          <w:p>
            <w:pPr>
              <w:jc w:val="center"/>
              <w:ind w:left="151"/>
              <w:spacing w:after="0" w:line="188" w:lineRule="exact"/>
              <w:rPr>
                <w:sz w:val="20"/>
                <w:szCs w:val="20"/>
                <w:color w:val="auto"/>
              </w:rPr>
            </w:pPr>
            <w:r>
              <w:rPr>
                <w:rFonts w:ascii="Arial" w:cs="Arial" w:eastAsia="Arial" w:hAnsi="Arial"/>
                <w:sz w:val="18"/>
                <w:szCs w:val="18"/>
                <w:color w:val="auto"/>
                <w:w w:val="88"/>
              </w:rPr>
              <w:t>January 8, 2021</w:t>
            </w:r>
          </w:p>
        </w:tc>
      </w:tr>
      <w:tr>
        <w:trPr>
          <w:trHeight w:val="167"/>
        </w:trPr>
        <w:tc>
          <w:tcPr>
            <w:tcW w:w="1140" w:type="dxa"/>
            <w:vAlign w:val="bottom"/>
          </w:tcPr>
          <w:p>
            <w:pPr>
              <w:spacing w:after="0"/>
              <w:rPr>
                <w:sz w:val="14"/>
                <w:szCs w:val="14"/>
                <w:color w:val="auto"/>
              </w:rPr>
            </w:pPr>
          </w:p>
        </w:tc>
        <w:tc>
          <w:tcPr>
            <w:tcW w:w="4820" w:type="dxa"/>
            <w:vAlign w:val="bottom"/>
            <w:tcBorders>
              <w:top w:val="single" w:sz="8" w:color="0000FF"/>
            </w:tcBorders>
            <w:gridSpan w:val="11"/>
          </w:tcPr>
          <w:p>
            <w:pPr>
              <w:spacing w:after="0" w:line="167" w:lineRule="exact"/>
              <w:rPr>
                <w:rFonts w:ascii="Arial" w:cs="Arial" w:eastAsia="Arial" w:hAnsi="Arial"/>
                <w:sz w:val="18"/>
                <w:szCs w:val="18"/>
                <w:color w:val="0000FF"/>
              </w:rPr>
            </w:pPr>
            <w:hyperlink r:id="rId123">
              <w:r>
                <w:rPr>
                  <w:rFonts w:ascii="Arial" w:cs="Arial" w:eastAsia="Arial" w:hAnsi="Arial"/>
                  <w:sz w:val="18"/>
                  <w:szCs w:val="18"/>
                  <w:color w:val="0000FF"/>
                </w:rPr>
                <w:t>AngioDynamics, Inc. 2004 Stock and Incentive Award Plan</w:t>
              </w:r>
            </w:hyperlink>
          </w:p>
        </w:tc>
        <w:tc>
          <w:tcPr>
            <w:tcW w:w="760" w:type="dxa"/>
            <w:vAlign w:val="bottom"/>
            <w:gridSpan w:val="9"/>
          </w:tcPr>
          <w:p>
            <w:pPr>
              <w:spacing w:after="0"/>
              <w:rPr>
                <w:sz w:val="14"/>
                <w:szCs w:val="14"/>
                <w:color w:val="auto"/>
              </w:rPr>
            </w:pPr>
          </w:p>
        </w:tc>
        <w:tc>
          <w:tcPr>
            <w:tcW w:w="2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7"/>
              </w:rPr>
              <w:t>10.4.7</w:t>
            </w:r>
          </w:p>
        </w:tc>
        <w:tc>
          <w:tcPr>
            <w:tcW w:w="5920" w:type="dxa"/>
            <w:vAlign w:val="bottom"/>
            <w:gridSpan w:val="25"/>
            <w:shd w:val="clear" w:color="auto" w:fill="CCEEFF"/>
          </w:tcPr>
          <w:p>
            <w:pPr>
              <w:spacing w:after="0" w:line="188"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Form of Performance Share Award Agreement pursuant to the 2020 Stock and</w:t>
              </w:r>
            </w:hyperlink>
          </w:p>
        </w:tc>
        <w:tc>
          <w:tcPr>
            <w:tcW w:w="104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89"/>
              </w:rPr>
              <w:t>10-Q</w:t>
            </w:r>
          </w:p>
        </w:tc>
        <w:tc>
          <w:tcPr>
            <w:tcW w:w="1420" w:type="dxa"/>
            <w:vAlign w:val="bottom"/>
            <w:shd w:val="clear" w:color="auto" w:fill="CCEEFF"/>
          </w:tcPr>
          <w:p>
            <w:pPr>
              <w:jc w:val="center"/>
              <w:ind w:left="331"/>
              <w:spacing w:after="0" w:line="188" w:lineRule="exact"/>
              <w:rPr>
                <w:sz w:val="20"/>
                <w:szCs w:val="20"/>
                <w:color w:val="auto"/>
              </w:rPr>
            </w:pPr>
            <w:r>
              <w:rPr>
                <w:rFonts w:ascii="Arial" w:cs="Arial" w:eastAsia="Arial" w:hAnsi="Arial"/>
                <w:sz w:val="18"/>
                <w:szCs w:val="18"/>
                <w:color w:val="auto"/>
                <w:w w:val="87"/>
              </w:rPr>
              <w:t>10.4.7</w:t>
            </w:r>
          </w:p>
        </w:tc>
        <w:tc>
          <w:tcPr>
            <w:tcW w:w="1700" w:type="dxa"/>
            <w:vAlign w:val="bottom"/>
            <w:shd w:val="clear" w:color="auto" w:fill="CCEEFF"/>
          </w:tcPr>
          <w:p>
            <w:pPr>
              <w:jc w:val="center"/>
              <w:ind w:left="151"/>
              <w:spacing w:after="0" w:line="188" w:lineRule="exact"/>
              <w:rPr>
                <w:sz w:val="20"/>
                <w:szCs w:val="20"/>
                <w:color w:val="auto"/>
              </w:rPr>
            </w:pPr>
            <w:r>
              <w:rPr>
                <w:rFonts w:ascii="Arial" w:cs="Arial" w:eastAsia="Arial" w:hAnsi="Arial"/>
                <w:sz w:val="18"/>
                <w:szCs w:val="18"/>
                <w:color w:val="auto"/>
                <w:w w:val="87"/>
              </w:rPr>
              <w:t>September 30, 2021</w:t>
            </w: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0000FF"/>
            </w:tcBorders>
            <w:gridSpan w:val="20"/>
            <w:shd w:val="clear" w:color="auto" w:fill="CCEEFF"/>
          </w:tcPr>
          <w:p>
            <w:pPr>
              <w:spacing w:after="0" w:line="154" w:lineRule="exact"/>
              <w:rPr>
                <w:rFonts w:ascii="Arial" w:cs="Arial" w:eastAsia="Arial" w:hAnsi="Arial"/>
                <w:sz w:val="17"/>
                <w:szCs w:val="17"/>
                <w:color w:val="0000FF"/>
              </w:rPr>
            </w:pPr>
            <w:hyperlink r:id="rId124">
              <w:r>
                <w:rPr>
                  <w:rFonts w:ascii="Arial" w:cs="Arial" w:eastAsia="Arial" w:hAnsi="Arial"/>
                  <w:sz w:val="17"/>
                  <w:szCs w:val="17"/>
                  <w:color w:val="0000FF"/>
                </w:rPr>
                <w:t>Incentive Award Plan</w:t>
              </w:r>
            </w:hyperlink>
          </w:p>
        </w:tc>
        <w:tc>
          <w:tcPr>
            <w:tcW w:w="22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91"/>
              </w:rPr>
              <w:t>10.5</w:t>
            </w:r>
          </w:p>
        </w:tc>
        <w:tc>
          <w:tcPr>
            <w:tcW w:w="5920" w:type="dxa"/>
            <w:vAlign w:val="bottom"/>
            <w:gridSpan w:val="25"/>
          </w:tcPr>
          <w:p>
            <w:pPr>
              <w:spacing w:after="0" w:line="188"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Form of Restricted Stock Award Agreement pursuant to the AngioDynamics, Inc.</w:t>
              </w:r>
            </w:hyperlink>
          </w:p>
        </w:tc>
        <w:tc>
          <w:tcPr>
            <w:tcW w:w="104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ind w:left="331"/>
              <w:spacing w:after="0" w:line="188" w:lineRule="exact"/>
              <w:rPr>
                <w:sz w:val="20"/>
                <w:szCs w:val="20"/>
                <w:color w:val="auto"/>
              </w:rPr>
            </w:pPr>
            <w:r>
              <w:rPr>
                <w:rFonts w:ascii="Arial" w:cs="Arial" w:eastAsia="Arial" w:hAnsi="Arial"/>
                <w:sz w:val="18"/>
                <w:szCs w:val="18"/>
                <w:color w:val="auto"/>
                <w:w w:val="91"/>
              </w:rPr>
              <w:t>10.3</w:t>
            </w:r>
          </w:p>
        </w:tc>
        <w:tc>
          <w:tcPr>
            <w:tcW w:w="170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91"/>
              </w:rPr>
              <w:t>May 12, 2005</w:t>
            </w:r>
          </w:p>
        </w:tc>
      </w:tr>
      <w:tr>
        <w:trPr>
          <w:trHeight w:val="154"/>
        </w:trPr>
        <w:tc>
          <w:tcPr>
            <w:tcW w:w="1140" w:type="dxa"/>
            <w:vAlign w:val="bottom"/>
          </w:tcPr>
          <w:p>
            <w:pPr>
              <w:spacing w:after="0"/>
              <w:rPr>
                <w:sz w:val="13"/>
                <w:szCs w:val="13"/>
                <w:color w:val="auto"/>
              </w:rPr>
            </w:pPr>
          </w:p>
        </w:tc>
        <w:tc>
          <w:tcPr>
            <w:tcW w:w="580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125">
              <w:r>
                <w:rPr>
                  <w:rFonts w:ascii="Arial" w:cs="Arial" w:eastAsia="Arial" w:hAnsi="Arial"/>
                  <w:sz w:val="17"/>
                  <w:szCs w:val="17"/>
                  <w:color w:val="0000FF"/>
                </w:rPr>
                <w:t>2004 Stock and Incentive Award Plan.</w:t>
              </w:r>
            </w:hyperlink>
          </w:p>
        </w:tc>
        <w:tc>
          <w:tcPr>
            <w:tcW w:w="120" w:type="dxa"/>
            <w:vAlign w:val="bottom"/>
            <w:gridSpan w:val="3"/>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1"/>
              </w:rPr>
              <w:t>10.6</w:t>
            </w:r>
          </w:p>
        </w:tc>
        <w:tc>
          <w:tcPr>
            <w:tcW w:w="5920" w:type="dxa"/>
            <w:vAlign w:val="bottom"/>
            <w:gridSpan w:val="25"/>
            <w:shd w:val="clear" w:color="auto" w:fill="CCEEFF"/>
          </w:tcPr>
          <w:p>
            <w:pPr>
              <w:spacing w:after="0" w:line="188" w:lineRule="exact"/>
              <w:rPr>
                <w:rFonts w:ascii="Arial" w:cs="Arial" w:eastAsia="Arial" w:hAnsi="Arial"/>
                <w:sz w:val="18"/>
                <w:szCs w:val="18"/>
                <w:color w:val="0000FF"/>
              </w:rPr>
            </w:pPr>
            <w:hyperlink r:id="rId126">
              <w:r>
                <w:rPr>
                  <w:rFonts w:ascii="Arial" w:cs="Arial" w:eastAsia="Arial" w:hAnsi="Arial"/>
                  <w:sz w:val="18"/>
                  <w:szCs w:val="18"/>
                  <w:color w:val="0000FF"/>
                </w:rPr>
                <w:t>Rita Medical Systems, Inc. 1994 Incentive Stock Plan.</w:t>
              </w:r>
            </w:hyperlink>
          </w:p>
        </w:tc>
        <w:tc>
          <w:tcPr>
            <w:tcW w:w="104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85"/>
              </w:rPr>
              <w:t>S-1</w:t>
            </w:r>
          </w:p>
        </w:tc>
        <w:tc>
          <w:tcPr>
            <w:tcW w:w="1420" w:type="dxa"/>
            <w:vAlign w:val="bottom"/>
            <w:shd w:val="clear" w:color="auto" w:fill="CCEEFF"/>
          </w:tcPr>
          <w:p>
            <w:pPr>
              <w:jc w:val="center"/>
              <w:ind w:left="331"/>
              <w:spacing w:after="0" w:line="188" w:lineRule="exact"/>
              <w:rPr>
                <w:sz w:val="20"/>
                <w:szCs w:val="20"/>
                <w:color w:val="auto"/>
              </w:rPr>
            </w:pPr>
            <w:r>
              <w:rPr>
                <w:rFonts w:ascii="Arial" w:cs="Arial" w:eastAsia="Arial" w:hAnsi="Arial"/>
                <w:sz w:val="18"/>
                <w:szCs w:val="18"/>
                <w:color w:val="auto"/>
                <w:w w:val="91"/>
              </w:rPr>
              <w:t>10.2</w:t>
            </w:r>
          </w:p>
        </w:tc>
        <w:tc>
          <w:tcPr>
            <w:tcW w:w="1700" w:type="dxa"/>
            <w:vAlign w:val="bottom"/>
            <w:shd w:val="clear" w:color="auto" w:fill="CCEEFF"/>
          </w:tcPr>
          <w:p>
            <w:pPr>
              <w:jc w:val="center"/>
              <w:ind w:left="151"/>
              <w:spacing w:after="0" w:line="188" w:lineRule="exact"/>
              <w:rPr>
                <w:sz w:val="20"/>
                <w:szCs w:val="20"/>
                <w:color w:val="auto"/>
              </w:rPr>
            </w:pPr>
            <w:r>
              <w:rPr>
                <w:rFonts w:ascii="Arial" w:cs="Arial" w:eastAsia="Arial" w:hAnsi="Arial"/>
                <w:sz w:val="18"/>
                <w:szCs w:val="18"/>
                <w:color w:val="auto"/>
                <w:w w:val="90"/>
              </w:rPr>
              <w:t>May 3, 2000</w:t>
            </w: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7"/>
        </w:trPr>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169"/>
        </w:trPr>
        <w:tc>
          <w:tcPr>
            <w:tcW w:w="1140" w:type="dxa"/>
            <w:vAlign w:val="bottom"/>
          </w:tcPr>
          <w:p>
            <w:pPr>
              <w:jc w:val="center"/>
              <w:spacing w:after="0" w:line="169" w:lineRule="exact"/>
              <w:rPr>
                <w:sz w:val="20"/>
                <w:szCs w:val="20"/>
                <w:color w:val="auto"/>
              </w:rPr>
            </w:pPr>
            <w:r>
              <w:rPr>
                <w:rFonts w:ascii="Arial" w:cs="Arial" w:eastAsia="Arial" w:hAnsi="Arial"/>
                <w:sz w:val="18"/>
                <w:szCs w:val="18"/>
                <w:color w:val="auto"/>
                <w:w w:val="96"/>
              </w:rPr>
              <w:t>Exhibit</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gridSpan w:val="19"/>
            <w:vMerge w:val="restart"/>
          </w:tcPr>
          <w:p>
            <w:pPr>
              <w:ind w:left="440"/>
              <w:spacing w:after="0"/>
              <w:rPr>
                <w:sz w:val="20"/>
                <w:szCs w:val="20"/>
                <w:color w:val="auto"/>
              </w:rPr>
            </w:pPr>
            <w:r>
              <w:rPr>
                <w:rFonts w:ascii="Arial" w:cs="Arial" w:eastAsia="Arial" w:hAnsi="Arial"/>
                <w:sz w:val="18"/>
                <w:szCs w:val="18"/>
                <w:color w:val="auto"/>
              </w:rPr>
              <w:t>Description of Exhibits</w:t>
            </w:r>
          </w:p>
        </w:tc>
        <w:tc>
          <w:tcPr>
            <w:tcW w:w="1020" w:type="dxa"/>
            <w:vAlign w:val="bottom"/>
            <w:vMerge w:val="restart"/>
          </w:tcPr>
          <w:p>
            <w:pPr>
              <w:jc w:val="center"/>
              <w:ind w:left="131"/>
              <w:spacing w:after="0"/>
              <w:rPr>
                <w:sz w:val="20"/>
                <w:szCs w:val="20"/>
                <w:color w:val="auto"/>
              </w:rPr>
            </w:pPr>
            <w:r>
              <w:rPr>
                <w:rFonts w:ascii="Arial" w:cs="Arial" w:eastAsia="Arial" w:hAnsi="Arial"/>
                <w:sz w:val="18"/>
                <w:szCs w:val="18"/>
                <w:color w:val="auto"/>
                <w:w w:val="95"/>
              </w:rPr>
              <w:t>Form</w:t>
            </w:r>
          </w:p>
        </w:tc>
        <w:tc>
          <w:tcPr>
            <w:tcW w:w="1480" w:type="dxa"/>
            <w:vAlign w:val="bottom"/>
            <w:vMerge w:val="restart"/>
          </w:tcPr>
          <w:p>
            <w:pPr>
              <w:ind w:left="680"/>
              <w:spacing w:after="0"/>
              <w:rPr>
                <w:sz w:val="20"/>
                <w:szCs w:val="20"/>
                <w:color w:val="auto"/>
              </w:rPr>
            </w:pPr>
            <w:r>
              <w:rPr>
                <w:rFonts w:ascii="Arial" w:cs="Arial" w:eastAsia="Arial" w:hAnsi="Arial"/>
                <w:sz w:val="18"/>
                <w:szCs w:val="18"/>
                <w:color w:val="auto"/>
              </w:rPr>
              <w:t>Exhibit</w:t>
            </w:r>
          </w:p>
        </w:tc>
        <w:tc>
          <w:tcPr>
            <w:tcW w:w="1660" w:type="dxa"/>
            <w:vAlign w:val="bottom"/>
            <w:vMerge w:val="restart"/>
          </w:tcPr>
          <w:p>
            <w:pPr>
              <w:jc w:val="center"/>
              <w:ind w:left="111"/>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22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9"/>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shd w:val="clear" w:color="auto" w:fill="CCEEFF"/>
          </w:tcPr>
          <w:p>
            <w:pPr>
              <w:jc w:val="center"/>
              <w:spacing w:after="0" w:line="181" w:lineRule="exact"/>
              <w:rPr>
                <w:sz w:val="20"/>
                <w:szCs w:val="20"/>
                <w:color w:val="auto"/>
              </w:rPr>
            </w:pPr>
            <w:r>
              <w:rPr>
                <w:rFonts w:ascii="Arial" w:cs="Arial" w:eastAsia="Arial" w:hAnsi="Arial"/>
                <w:sz w:val="18"/>
                <w:szCs w:val="18"/>
                <w:color w:val="auto"/>
                <w:w w:val="91"/>
              </w:rPr>
              <w:t>10.7</w:t>
            </w:r>
          </w:p>
        </w:tc>
        <w:tc>
          <w:tcPr>
            <w:tcW w:w="5920" w:type="dxa"/>
            <w:vAlign w:val="bottom"/>
            <w:gridSpan w:val="24"/>
            <w:shd w:val="clear" w:color="auto" w:fill="CCEEFF"/>
          </w:tcPr>
          <w:p>
            <w:pPr>
              <w:spacing w:after="0" w:line="181" w:lineRule="exact"/>
              <w:rPr>
                <w:rFonts w:ascii="Arial" w:cs="Arial" w:eastAsia="Arial" w:hAnsi="Arial"/>
                <w:sz w:val="18"/>
                <w:szCs w:val="18"/>
                <w:color w:val="0000FF"/>
              </w:rPr>
            </w:pPr>
            <w:hyperlink r:id="rId128">
              <w:r>
                <w:rPr>
                  <w:rFonts w:ascii="Arial" w:cs="Arial" w:eastAsia="Arial" w:hAnsi="Arial"/>
                  <w:sz w:val="18"/>
                  <w:szCs w:val="18"/>
                  <w:color w:val="0000FF"/>
                </w:rPr>
                <w:t>Horizon Medical Products, Inc. 1998 Stock Incentive Plan.</w:t>
              </w:r>
            </w:hyperlink>
          </w:p>
        </w:tc>
        <w:tc>
          <w:tcPr>
            <w:tcW w:w="1020" w:type="dxa"/>
            <w:vAlign w:val="bottom"/>
            <w:shd w:val="clear" w:color="auto" w:fill="CCEEFF"/>
          </w:tcPr>
          <w:p>
            <w:pPr>
              <w:jc w:val="center"/>
              <w:ind w:left="131"/>
              <w:spacing w:after="0" w:line="181" w:lineRule="exact"/>
              <w:rPr>
                <w:sz w:val="20"/>
                <w:szCs w:val="20"/>
                <w:color w:val="auto"/>
              </w:rPr>
            </w:pPr>
            <w:r>
              <w:rPr>
                <w:rFonts w:ascii="Arial" w:cs="Arial" w:eastAsia="Arial" w:hAnsi="Arial"/>
                <w:sz w:val="18"/>
                <w:szCs w:val="18"/>
                <w:color w:val="auto"/>
                <w:w w:val="85"/>
              </w:rPr>
              <w:t>S-1</w:t>
            </w:r>
          </w:p>
        </w:tc>
        <w:tc>
          <w:tcPr>
            <w:tcW w:w="1480" w:type="dxa"/>
            <w:vAlign w:val="bottom"/>
            <w:shd w:val="clear" w:color="auto" w:fill="CCEEFF"/>
          </w:tcPr>
          <w:p>
            <w:pPr>
              <w:jc w:val="center"/>
              <w:ind w:left="311"/>
              <w:spacing w:after="0" w:line="181" w:lineRule="exact"/>
              <w:rPr>
                <w:sz w:val="20"/>
                <w:szCs w:val="20"/>
                <w:color w:val="auto"/>
              </w:rPr>
            </w:pPr>
            <w:r>
              <w:rPr>
                <w:rFonts w:ascii="Arial" w:cs="Arial" w:eastAsia="Arial" w:hAnsi="Arial"/>
                <w:sz w:val="18"/>
                <w:szCs w:val="18"/>
                <w:color w:val="auto"/>
                <w:w w:val="88"/>
              </w:rPr>
              <w:t>10.11</w:t>
            </w:r>
          </w:p>
        </w:tc>
        <w:tc>
          <w:tcPr>
            <w:tcW w:w="1660" w:type="dxa"/>
            <w:vAlign w:val="bottom"/>
            <w:shd w:val="clear" w:color="auto" w:fill="CCEEFF"/>
          </w:tcPr>
          <w:p>
            <w:pPr>
              <w:jc w:val="center"/>
              <w:ind w:left="111"/>
              <w:spacing w:after="0" w:line="181" w:lineRule="exact"/>
              <w:rPr>
                <w:sz w:val="20"/>
                <w:szCs w:val="20"/>
                <w:color w:val="auto"/>
              </w:rPr>
            </w:pPr>
            <w:r>
              <w:rPr>
                <w:rFonts w:ascii="Arial" w:cs="Arial" w:eastAsia="Arial" w:hAnsi="Arial"/>
                <w:sz w:val="18"/>
                <w:szCs w:val="18"/>
                <w:color w:val="auto"/>
                <w:w w:val="88"/>
              </w:rPr>
              <w:t>February 13, 1998</w:t>
            </w:r>
          </w:p>
        </w:tc>
        <w:tc>
          <w:tcPr>
            <w:tcW w:w="0" w:type="dxa"/>
            <w:vAlign w:val="bottom"/>
          </w:tcPr>
          <w:p>
            <w:pPr>
              <w:spacing w:after="0"/>
              <w:rPr>
                <w:sz w:val="1"/>
                <w:szCs w:val="1"/>
                <w:color w:val="auto"/>
              </w:rPr>
            </w:pPr>
          </w:p>
        </w:tc>
      </w:tr>
      <w:tr>
        <w:trPr>
          <w:trHeight w:val="187"/>
        </w:trPr>
        <w:tc>
          <w:tcPr>
            <w:tcW w:w="1140" w:type="dxa"/>
            <w:vAlign w:val="bottom"/>
            <w:tcBorders>
              <w:top w:val="single" w:sz="8" w:color="CCEEFF"/>
            </w:tcBorders>
          </w:tcPr>
          <w:p>
            <w:pPr>
              <w:jc w:val="center"/>
              <w:spacing w:after="0" w:line="188" w:lineRule="exact"/>
              <w:rPr>
                <w:sz w:val="20"/>
                <w:szCs w:val="20"/>
                <w:color w:val="auto"/>
              </w:rPr>
            </w:pPr>
            <w:r>
              <w:rPr>
                <w:rFonts w:ascii="Arial" w:cs="Arial" w:eastAsia="Arial" w:hAnsi="Arial"/>
                <w:sz w:val="18"/>
                <w:szCs w:val="18"/>
                <w:color w:val="auto"/>
                <w:w w:val="91"/>
              </w:rPr>
              <w:t>10.8</w:t>
            </w:r>
          </w:p>
        </w:tc>
        <w:tc>
          <w:tcPr>
            <w:tcW w:w="4200" w:type="dxa"/>
            <w:vAlign w:val="bottom"/>
            <w:tcBorders>
              <w:top w:val="single" w:sz="8" w:color="0000FF"/>
            </w:tcBorders>
            <w:gridSpan w:val="12"/>
          </w:tcPr>
          <w:p>
            <w:pPr>
              <w:spacing w:after="0" w:line="188" w:lineRule="exact"/>
              <w:rPr>
                <w:rFonts w:ascii="Arial" w:cs="Arial" w:eastAsia="Arial" w:hAnsi="Arial"/>
                <w:sz w:val="18"/>
                <w:szCs w:val="18"/>
                <w:color w:val="0000FF"/>
              </w:rPr>
            </w:pPr>
            <w:hyperlink r:id="rId129">
              <w:r>
                <w:rPr>
                  <w:rFonts w:ascii="Arial" w:cs="Arial" w:eastAsia="Arial" w:hAnsi="Arial"/>
                  <w:sz w:val="18"/>
                  <w:szCs w:val="18"/>
                  <w:color w:val="0000FF"/>
                </w:rPr>
                <w:t>Rita Medical Systems, Inc. 2000 Stock Plan.</w:t>
              </w:r>
            </w:hyperlink>
          </w:p>
        </w:tc>
        <w:tc>
          <w:tcPr>
            <w:tcW w:w="1720" w:type="dxa"/>
            <w:vAlign w:val="bottom"/>
            <w:tcBorders>
              <w:top w:val="single" w:sz="8" w:color="CCEEFF"/>
            </w:tcBorders>
            <w:gridSpan w:val="12"/>
          </w:tcPr>
          <w:p>
            <w:pPr>
              <w:spacing w:after="0"/>
              <w:rPr>
                <w:sz w:val="16"/>
                <w:szCs w:val="16"/>
                <w:color w:val="auto"/>
              </w:rPr>
            </w:pPr>
          </w:p>
        </w:tc>
        <w:tc>
          <w:tcPr>
            <w:tcW w:w="1020" w:type="dxa"/>
            <w:vAlign w:val="bottom"/>
            <w:tcBorders>
              <w:top w:val="single" w:sz="8" w:color="CCEEFF"/>
            </w:tcBorders>
          </w:tcPr>
          <w:p>
            <w:pPr>
              <w:jc w:val="center"/>
              <w:ind w:left="131"/>
              <w:spacing w:after="0" w:line="188" w:lineRule="exact"/>
              <w:rPr>
                <w:sz w:val="20"/>
                <w:szCs w:val="20"/>
                <w:color w:val="auto"/>
              </w:rPr>
            </w:pPr>
            <w:r>
              <w:rPr>
                <w:rFonts w:ascii="Arial" w:cs="Arial" w:eastAsia="Arial" w:hAnsi="Arial"/>
                <w:sz w:val="18"/>
                <w:szCs w:val="18"/>
                <w:color w:val="auto"/>
                <w:w w:val="97"/>
              </w:rPr>
              <w:t>S-1/A</w:t>
            </w:r>
          </w:p>
        </w:tc>
        <w:tc>
          <w:tcPr>
            <w:tcW w:w="1480" w:type="dxa"/>
            <w:vAlign w:val="bottom"/>
            <w:tcBorders>
              <w:top w:val="single" w:sz="8" w:color="CCEEFF"/>
            </w:tcBorders>
          </w:tcPr>
          <w:p>
            <w:pPr>
              <w:jc w:val="center"/>
              <w:ind w:left="311"/>
              <w:spacing w:after="0" w:line="188" w:lineRule="exact"/>
              <w:rPr>
                <w:sz w:val="20"/>
                <w:szCs w:val="20"/>
                <w:color w:val="auto"/>
              </w:rPr>
            </w:pPr>
            <w:r>
              <w:rPr>
                <w:rFonts w:ascii="Arial" w:cs="Arial" w:eastAsia="Arial" w:hAnsi="Arial"/>
                <w:sz w:val="18"/>
                <w:szCs w:val="18"/>
                <w:color w:val="auto"/>
                <w:w w:val="91"/>
              </w:rPr>
              <w:t>10.3</w:t>
            </w:r>
          </w:p>
        </w:tc>
        <w:tc>
          <w:tcPr>
            <w:tcW w:w="1660" w:type="dxa"/>
            <w:vAlign w:val="bottom"/>
            <w:tcBorders>
              <w:top w:val="single" w:sz="8" w:color="CCEEFF"/>
            </w:tcBorders>
          </w:tcPr>
          <w:p>
            <w:pPr>
              <w:jc w:val="center"/>
              <w:ind w:left="111"/>
              <w:spacing w:after="0" w:line="188" w:lineRule="exact"/>
              <w:rPr>
                <w:sz w:val="20"/>
                <w:szCs w:val="20"/>
                <w:color w:val="auto"/>
              </w:rPr>
            </w:pPr>
            <w:r>
              <w:rPr>
                <w:rFonts w:ascii="Arial" w:cs="Arial" w:eastAsia="Arial" w:hAnsi="Arial"/>
                <w:sz w:val="18"/>
                <w:szCs w:val="18"/>
                <w:color w:val="auto"/>
                <w:w w:val="85"/>
              </w:rPr>
              <w:t>June 14, 2000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1"/>
              </w:rPr>
              <w:t>10.9</w:t>
            </w:r>
          </w:p>
        </w:tc>
        <w:tc>
          <w:tcPr>
            <w:tcW w:w="5920" w:type="dxa"/>
            <w:vAlign w:val="bottom"/>
            <w:gridSpan w:val="24"/>
            <w:shd w:val="clear" w:color="auto" w:fill="CCEEFF"/>
          </w:tcPr>
          <w:p>
            <w:pPr>
              <w:spacing w:after="0" w:line="188"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Rita Medical Systems, Inc. 2000 Directors’ Stock Plan, as amended on June 8,</w:t>
              </w:r>
            </w:hyperlink>
          </w:p>
        </w:tc>
        <w:tc>
          <w:tcPr>
            <w:tcW w:w="102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85"/>
              </w:rPr>
              <w:t>S-8</w:t>
            </w:r>
          </w:p>
        </w:tc>
        <w:tc>
          <w:tcPr>
            <w:tcW w:w="1480" w:type="dxa"/>
            <w:vAlign w:val="bottom"/>
            <w:shd w:val="clear" w:color="auto" w:fill="CCEEFF"/>
          </w:tcPr>
          <w:p>
            <w:pPr>
              <w:jc w:val="center"/>
              <w:ind w:left="311"/>
              <w:spacing w:after="0" w:line="188" w:lineRule="exact"/>
              <w:rPr>
                <w:sz w:val="20"/>
                <w:szCs w:val="20"/>
                <w:color w:val="auto"/>
              </w:rPr>
            </w:pPr>
            <w:r>
              <w:rPr>
                <w:rFonts w:ascii="Arial" w:cs="Arial" w:eastAsia="Arial" w:hAnsi="Arial"/>
                <w:sz w:val="18"/>
                <w:szCs w:val="18"/>
                <w:color w:val="auto"/>
                <w:w w:val="91"/>
              </w:rPr>
              <w:t>99.2</w:t>
            </w:r>
          </w:p>
        </w:tc>
        <w:tc>
          <w:tcPr>
            <w:tcW w:w="1660" w:type="dxa"/>
            <w:vAlign w:val="bottom"/>
            <w:shd w:val="clear" w:color="auto" w:fill="CCEEFF"/>
          </w:tcPr>
          <w:p>
            <w:pPr>
              <w:jc w:val="center"/>
              <w:ind w:left="91"/>
              <w:spacing w:after="0" w:line="188" w:lineRule="exact"/>
              <w:rPr>
                <w:sz w:val="20"/>
                <w:szCs w:val="20"/>
                <w:color w:val="auto"/>
              </w:rPr>
            </w:pPr>
            <w:r>
              <w:rPr>
                <w:rFonts w:ascii="Arial" w:cs="Arial" w:eastAsia="Arial" w:hAnsi="Arial"/>
                <w:sz w:val="18"/>
                <w:szCs w:val="18"/>
                <w:color w:val="auto"/>
                <w:w w:val="90"/>
              </w:rPr>
              <w:t>July 8, 2005</w:t>
            </w:r>
          </w:p>
        </w:tc>
        <w:tc>
          <w:tcPr>
            <w:tcW w:w="0" w:type="dxa"/>
            <w:vAlign w:val="bottom"/>
          </w:tcPr>
          <w:p>
            <w:pPr>
              <w:spacing w:after="0"/>
              <w:rPr>
                <w:sz w:val="1"/>
                <w:szCs w:val="1"/>
                <w:color w:val="auto"/>
              </w:rPr>
            </w:pPr>
          </w:p>
        </w:tc>
      </w:tr>
      <w:tr>
        <w:trPr>
          <w:trHeight w:val="192"/>
        </w:trPr>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0000FF"/>
            </w:tcBorders>
            <w:shd w:val="clear" w:color="auto" w:fill="CCEEFF"/>
          </w:tcPr>
          <w:p>
            <w:pPr>
              <w:spacing w:after="0" w:line="154" w:lineRule="exact"/>
              <w:rPr>
                <w:rFonts w:ascii="Arial" w:cs="Arial" w:eastAsia="Arial" w:hAnsi="Arial"/>
                <w:sz w:val="17"/>
                <w:szCs w:val="17"/>
                <w:color w:val="0000FF"/>
                <w:w w:val="89"/>
              </w:rPr>
            </w:pPr>
            <w:hyperlink r:id="rId130">
              <w:r>
                <w:rPr>
                  <w:rFonts w:ascii="Arial" w:cs="Arial" w:eastAsia="Arial" w:hAnsi="Arial"/>
                  <w:sz w:val="17"/>
                  <w:szCs w:val="17"/>
                  <w:color w:val="0000FF"/>
                  <w:w w:val="89"/>
                </w:rPr>
                <w:t>2005.</w:t>
              </w:r>
            </w:hyperlink>
          </w:p>
        </w:tc>
        <w:tc>
          <w:tcPr>
            <w:tcW w:w="70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114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48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Borders>
              <w:top w:val="single" w:sz="8" w:color="CCEEFF"/>
            </w:tcBorders>
          </w:tcPr>
          <w:p>
            <w:pPr>
              <w:jc w:val="center"/>
              <w:spacing w:after="0" w:line="188" w:lineRule="exact"/>
              <w:rPr>
                <w:sz w:val="20"/>
                <w:szCs w:val="20"/>
                <w:color w:val="auto"/>
              </w:rPr>
            </w:pPr>
            <w:r>
              <w:rPr>
                <w:rFonts w:ascii="Arial" w:cs="Arial" w:eastAsia="Arial" w:hAnsi="Arial"/>
                <w:sz w:val="18"/>
                <w:szCs w:val="18"/>
                <w:color w:val="auto"/>
                <w:w w:val="88"/>
              </w:rPr>
              <w:t>10.10</w:t>
            </w:r>
          </w:p>
        </w:tc>
        <w:tc>
          <w:tcPr>
            <w:tcW w:w="5920" w:type="dxa"/>
            <w:vAlign w:val="bottom"/>
            <w:tcBorders>
              <w:top w:val="single" w:sz="8" w:color="CCEEFF"/>
            </w:tcBorders>
            <w:gridSpan w:val="24"/>
          </w:tcPr>
          <w:p>
            <w:pPr>
              <w:spacing w:after="0" w:line="188" w:lineRule="exact"/>
              <w:rPr>
                <w:rFonts w:ascii="Arial" w:cs="Arial" w:eastAsia="Arial" w:hAnsi="Arial"/>
                <w:sz w:val="18"/>
                <w:szCs w:val="18"/>
                <w:color w:val="0000FF"/>
              </w:rPr>
            </w:pPr>
            <w:hyperlink r:id="rId131">
              <w:r>
                <w:rPr>
                  <w:rFonts w:ascii="Arial" w:cs="Arial" w:eastAsia="Arial" w:hAnsi="Arial"/>
                  <w:sz w:val="18"/>
                  <w:szCs w:val="18"/>
                  <w:color w:val="0000FF"/>
                </w:rPr>
                <w:t>Rita Medical Systems, Inc. 2005 Stock and Incentive Plan.</w:t>
              </w:r>
            </w:hyperlink>
          </w:p>
        </w:tc>
        <w:tc>
          <w:tcPr>
            <w:tcW w:w="1020" w:type="dxa"/>
            <w:vAlign w:val="bottom"/>
            <w:tcBorders>
              <w:top w:val="single" w:sz="8" w:color="CCEEFF"/>
            </w:tcBorders>
          </w:tcPr>
          <w:p>
            <w:pPr>
              <w:jc w:val="center"/>
              <w:ind w:left="131"/>
              <w:spacing w:after="0" w:line="188" w:lineRule="exact"/>
              <w:rPr>
                <w:sz w:val="20"/>
                <w:szCs w:val="20"/>
                <w:color w:val="auto"/>
              </w:rPr>
            </w:pPr>
            <w:r>
              <w:rPr>
                <w:rFonts w:ascii="Arial" w:cs="Arial" w:eastAsia="Arial" w:hAnsi="Arial"/>
                <w:sz w:val="18"/>
                <w:szCs w:val="18"/>
                <w:color w:val="auto"/>
                <w:w w:val="85"/>
              </w:rPr>
              <w:t>S-8</w:t>
            </w:r>
          </w:p>
        </w:tc>
        <w:tc>
          <w:tcPr>
            <w:tcW w:w="1480" w:type="dxa"/>
            <w:vAlign w:val="bottom"/>
            <w:tcBorders>
              <w:top w:val="single" w:sz="8" w:color="CCEEFF"/>
            </w:tcBorders>
          </w:tcPr>
          <w:p>
            <w:pPr>
              <w:jc w:val="center"/>
              <w:ind w:left="311"/>
              <w:spacing w:after="0" w:line="188" w:lineRule="exact"/>
              <w:rPr>
                <w:sz w:val="20"/>
                <w:szCs w:val="20"/>
                <w:color w:val="auto"/>
              </w:rPr>
            </w:pPr>
            <w:r>
              <w:rPr>
                <w:rFonts w:ascii="Arial" w:cs="Arial" w:eastAsia="Arial" w:hAnsi="Arial"/>
                <w:sz w:val="18"/>
                <w:szCs w:val="18"/>
                <w:color w:val="auto"/>
                <w:w w:val="91"/>
              </w:rPr>
              <w:t>99.1</w:t>
            </w:r>
          </w:p>
        </w:tc>
        <w:tc>
          <w:tcPr>
            <w:tcW w:w="1660" w:type="dxa"/>
            <w:vAlign w:val="bottom"/>
            <w:tcBorders>
              <w:top w:val="single" w:sz="8" w:color="CCEEFF"/>
            </w:tcBorders>
          </w:tcPr>
          <w:p>
            <w:pPr>
              <w:jc w:val="center"/>
              <w:ind w:left="91"/>
              <w:spacing w:after="0" w:line="188" w:lineRule="exact"/>
              <w:rPr>
                <w:sz w:val="20"/>
                <w:szCs w:val="20"/>
                <w:color w:val="auto"/>
              </w:rPr>
            </w:pPr>
            <w:r>
              <w:rPr>
                <w:rFonts w:ascii="Arial" w:cs="Arial" w:eastAsia="Arial" w:hAnsi="Arial"/>
                <w:sz w:val="18"/>
                <w:szCs w:val="18"/>
                <w:color w:val="auto"/>
                <w:w w:val="90"/>
              </w:rPr>
              <w:t>July 8, 2005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8"/>
              </w:rPr>
              <w:t>10.11</w:t>
            </w:r>
          </w:p>
        </w:tc>
        <w:tc>
          <w:tcPr>
            <w:tcW w:w="5920" w:type="dxa"/>
            <w:vAlign w:val="bottom"/>
            <w:gridSpan w:val="24"/>
            <w:shd w:val="clear" w:color="auto" w:fill="CCEEFF"/>
          </w:tcPr>
          <w:p>
            <w:pPr>
              <w:spacing w:after="0" w:line="188" w:lineRule="exact"/>
              <w:rPr>
                <w:rFonts w:ascii="Arial" w:cs="Arial" w:eastAsia="Arial" w:hAnsi="Arial"/>
                <w:sz w:val="18"/>
                <w:szCs w:val="18"/>
                <w:color w:val="0000FF"/>
              </w:rPr>
            </w:pPr>
            <w:hyperlink r:id="rId132">
              <w:r>
                <w:rPr>
                  <w:rFonts w:ascii="Arial" w:cs="Arial" w:eastAsia="Arial" w:hAnsi="Arial"/>
                  <w:sz w:val="18"/>
                  <w:szCs w:val="18"/>
                  <w:color w:val="0000FF"/>
                </w:rPr>
                <w:t>Form of Indemnification Agreement of AngioDynamics, Inc.</w:t>
              </w:r>
            </w:hyperlink>
          </w:p>
        </w:tc>
        <w:tc>
          <w:tcPr>
            <w:tcW w:w="102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1"/>
              <w:spacing w:after="0" w:line="188" w:lineRule="exact"/>
              <w:rPr>
                <w:sz w:val="20"/>
                <w:szCs w:val="20"/>
                <w:color w:val="auto"/>
              </w:rPr>
            </w:pPr>
            <w:r>
              <w:rPr>
                <w:rFonts w:ascii="Arial" w:cs="Arial" w:eastAsia="Arial" w:hAnsi="Arial"/>
                <w:sz w:val="18"/>
                <w:szCs w:val="18"/>
                <w:color w:val="auto"/>
                <w:w w:val="91"/>
              </w:rPr>
              <w:t>10.1</w:t>
            </w:r>
          </w:p>
        </w:tc>
        <w:tc>
          <w:tcPr>
            <w:tcW w:w="166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89"/>
              </w:rPr>
              <w:t>May 12, 2006</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6"/>
              </w:rPr>
              <w:t>10.11.1</w:t>
            </w:r>
          </w:p>
        </w:tc>
        <w:tc>
          <w:tcPr>
            <w:tcW w:w="5920" w:type="dxa"/>
            <w:vAlign w:val="bottom"/>
            <w:gridSpan w:val="24"/>
          </w:tcPr>
          <w:p>
            <w:pPr>
              <w:spacing w:after="0" w:line="188"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Employment Agreement, dated April 1, 2016, between AngioDynamics, Inc. and</w:t>
              </w:r>
            </w:hyperlink>
          </w:p>
        </w:tc>
        <w:tc>
          <w:tcPr>
            <w:tcW w:w="102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1"/>
              <w:spacing w:after="0" w:line="188" w:lineRule="exact"/>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2"/>
              </w:rPr>
              <w:t>April 6, 2016</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760" w:type="dxa"/>
            <w:vAlign w:val="bottom"/>
            <w:tcBorders>
              <w:top w:val="single" w:sz="8" w:color="0000FF"/>
            </w:tcBorders>
            <w:gridSpan w:val="21"/>
          </w:tcPr>
          <w:p>
            <w:pPr>
              <w:spacing w:after="0" w:line="167" w:lineRule="exact"/>
              <w:rPr>
                <w:rFonts w:ascii="Arial" w:cs="Arial" w:eastAsia="Arial" w:hAnsi="Arial"/>
                <w:sz w:val="18"/>
                <w:szCs w:val="18"/>
                <w:color w:val="0000FF"/>
              </w:rPr>
            </w:pPr>
            <w:hyperlink r:id="rId133">
              <w:r>
                <w:rPr>
                  <w:rFonts w:ascii="Arial" w:cs="Arial" w:eastAsia="Arial" w:hAnsi="Arial"/>
                  <w:sz w:val="18"/>
                  <w:szCs w:val="18"/>
                  <w:color w:val="0000FF"/>
                </w:rPr>
                <w:t>James C. Clemmer.</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8"/>
              </w:rPr>
              <w:t>10.12</w:t>
            </w:r>
          </w:p>
        </w:tc>
        <w:tc>
          <w:tcPr>
            <w:tcW w:w="5920" w:type="dxa"/>
            <w:vAlign w:val="bottom"/>
            <w:gridSpan w:val="24"/>
            <w:shd w:val="clear" w:color="auto" w:fill="CCEEFF"/>
          </w:tcPr>
          <w:p>
            <w:pPr>
              <w:spacing w:after="0" w:line="188"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Change in Control Agreement, dated April 1, 2016, between AngioDynamics, Inc.</w:t>
              </w:r>
            </w:hyperlink>
          </w:p>
        </w:tc>
        <w:tc>
          <w:tcPr>
            <w:tcW w:w="102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1"/>
              <w:spacing w:after="0" w:line="188" w:lineRule="exact"/>
              <w:rPr>
                <w:sz w:val="20"/>
                <w:szCs w:val="20"/>
                <w:color w:val="auto"/>
              </w:rPr>
            </w:pPr>
            <w:r>
              <w:rPr>
                <w:rFonts w:ascii="Arial" w:cs="Arial" w:eastAsia="Arial" w:hAnsi="Arial"/>
                <w:sz w:val="18"/>
                <w:szCs w:val="18"/>
                <w:color w:val="auto"/>
                <w:w w:val="91"/>
              </w:rPr>
              <w:t>10.2</w:t>
            </w:r>
          </w:p>
        </w:tc>
        <w:tc>
          <w:tcPr>
            <w:tcW w:w="166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2"/>
              </w:rPr>
              <w:t>April 6, 2016</w:t>
            </w:r>
          </w:p>
        </w:tc>
        <w:tc>
          <w:tcPr>
            <w:tcW w:w="0" w:type="dxa"/>
            <w:vAlign w:val="bottom"/>
          </w:tcPr>
          <w:p>
            <w:pPr>
              <w:spacing w:after="0"/>
              <w:rPr>
                <w:sz w:val="1"/>
                <w:szCs w:val="1"/>
                <w:color w:val="auto"/>
              </w:rPr>
            </w:pP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5860" w:type="dxa"/>
            <w:vAlign w:val="bottom"/>
            <w:tcBorders>
              <w:top w:val="single" w:sz="8" w:color="0000FF"/>
            </w:tcBorders>
            <w:gridSpan w:val="23"/>
            <w:shd w:val="clear" w:color="auto" w:fill="CCEEFF"/>
          </w:tcPr>
          <w:p>
            <w:pPr>
              <w:spacing w:after="0" w:line="154" w:lineRule="exact"/>
              <w:rPr>
                <w:rFonts w:ascii="Arial" w:cs="Arial" w:eastAsia="Arial" w:hAnsi="Arial"/>
                <w:sz w:val="17"/>
                <w:szCs w:val="17"/>
                <w:color w:val="0000FF"/>
              </w:rPr>
            </w:pPr>
            <w:hyperlink r:id="rId134">
              <w:r>
                <w:rPr>
                  <w:rFonts w:ascii="Arial" w:cs="Arial" w:eastAsia="Arial" w:hAnsi="Arial"/>
                  <w:sz w:val="17"/>
                  <w:szCs w:val="17"/>
                  <w:color w:val="0000FF"/>
                </w:rPr>
                <w:t>and James C. Clemmer.</w:t>
              </w:r>
            </w:hyperlink>
          </w:p>
        </w:tc>
        <w:tc>
          <w:tcPr>
            <w:tcW w:w="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9"/>
              </w:rPr>
              <w:t>10.12.2</w:t>
            </w:r>
          </w:p>
        </w:tc>
        <w:tc>
          <w:tcPr>
            <w:tcW w:w="5920" w:type="dxa"/>
            <w:vAlign w:val="bottom"/>
            <w:gridSpan w:val="24"/>
          </w:tcPr>
          <w:p>
            <w:pPr>
              <w:spacing w:after="0" w:line="188" w:lineRule="exact"/>
              <w:rPr>
                <w:rFonts w:ascii="Arial" w:cs="Arial" w:eastAsia="Arial" w:hAnsi="Arial"/>
                <w:sz w:val="18"/>
                <w:szCs w:val="18"/>
                <w:color w:val="0000FF"/>
              </w:rPr>
            </w:pPr>
            <w:hyperlink r:id="rId135">
              <w:r>
                <w:rPr>
                  <w:rFonts w:ascii="Arial" w:cs="Arial" w:eastAsia="Arial" w:hAnsi="Arial"/>
                  <w:sz w:val="18"/>
                  <w:szCs w:val="18"/>
                  <w:color w:val="0000FF"/>
                </w:rPr>
                <w:t>Form of Severance Agreement of AngioDynamics, Inc.</w:t>
              </w:r>
            </w:hyperlink>
          </w:p>
        </w:tc>
        <w:tc>
          <w:tcPr>
            <w:tcW w:w="102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94"/>
              </w:rPr>
              <w:t>10-K</w:t>
            </w:r>
          </w:p>
        </w:tc>
        <w:tc>
          <w:tcPr>
            <w:tcW w:w="1480" w:type="dxa"/>
            <w:vAlign w:val="bottom"/>
          </w:tcPr>
          <w:p>
            <w:pPr>
              <w:jc w:val="center"/>
              <w:ind w:left="331"/>
              <w:spacing w:after="0" w:line="188" w:lineRule="exact"/>
              <w:rPr>
                <w:sz w:val="20"/>
                <w:szCs w:val="20"/>
                <w:color w:val="auto"/>
              </w:rPr>
            </w:pPr>
            <w:r>
              <w:rPr>
                <w:rFonts w:ascii="Arial" w:cs="Arial" w:eastAsia="Arial" w:hAnsi="Arial"/>
                <w:sz w:val="18"/>
                <w:szCs w:val="18"/>
                <w:color w:val="auto"/>
                <w:w w:val="89"/>
              </w:rPr>
              <w:t>10.12.2</w:t>
            </w:r>
          </w:p>
        </w:tc>
        <w:tc>
          <w:tcPr>
            <w:tcW w:w="166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89"/>
              </w:rPr>
              <w:t>August 10, 2020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Borders>
              <w:bottom w:val="single" w:sz="8" w:color="CCEEFF"/>
            </w:tcBorders>
            <w:shd w:val="clear" w:color="auto" w:fill="CCEEFF"/>
          </w:tcPr>
          <w:p>
            <w:pPr>
              <w:jc w:val="center"/>
              <w:spacing w:after="0" w:line="188" w:lineRule="exact"/>
              <w:rPr>
                <w:sz w:val="20"/>
                <w:szCs w:val="20"/>
                <w:color w:val="auto"/>
              </w:rPr>
            </w:pPr>
            <w:r>
              <w:rPr>
                <w:rFonts w:ascii="Arial" w:cs="Arial" w:eastAsia="Arial" w:hAnsi="Arial"/>
                <w:sz w:val="18"/>
                <w:szCs w:val="18"/>
                <w:color w:val="auto"/>
                <w:w w:val="88"/>
              </w:rPr>
              <w:t>10.13</w:t>
            </w:r>
          </w:p>
        </w:tc>
        <w:tc>
          <w:tcPr>
            <w:tcW w:w="2820" w:type="dxa"/>
            <w:vAlign w:val="bottom"/>
            <w:tcBorders>
              <w:bottom w:val="single" w:sz="8" w:color="0000FF"/>
            </w:tcBorders>
            <w:gridSpan w:val="6"/>
            <w:shd w:val="clear" w:color="auto" w:fill="CCEEFF"/>
          </w:tcPr>
          <w:p>
            <w:pPr>
              <w:spacing w:after="0" w:line="188"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Form of Change in Control Agreement.</w:t>
              </w:r>
            </w:hyperlink>
          </w:p>
        </w:tc>
        <w:tc>
          <w:tcPr>
            <w:tcW w:w="3100" w:type="dxa"/>
            <w:vAlign w:val="bottom"/>
            <w:tcBorders>
              <w:bottom w:val="single" w:sz="8" w:color="CCEEFF"/>
            </w:tcBorders>
            <w:gridSpan w:val="18"/>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rPr>
              <w:t>10-K/A</w:t>
            </w:r>
          </w:p>
        </w:tc>
        <w:tc>
          <w:tcPr>
            <w:tcW w:w="1480" w:type="dxa"/>
            <w:vAlign w:val="bottom"/>
            <w:tcBorders>
              <w:bottom w:val="single" w:sz="8" w:color="CCEEFF"/>
            </w:tcBorders>
            <w:shd w:val="clear" w:color="auto" w:fill="CCEEFF"/>
          </w:tcPr>
          <w:p>
            <w:pPr>
              <w:jc w:val="center"/>
              <w:ind w:left="311"/>
              <w:spacing w:after="0" w:line="188" w:lineRule="exact"/>
              <w:rPr>
                <w:sz w:val="20"/>
                <w:szCs w:val="20"/>
                <w:color w:val="auto"/>
              </w:rPr>
            </w:pPr>
            <w:r>
              <w:rPr>
                <w:rFonts w:ascii="Arial" w:cs="Arial" w:eastAsia="Arial" w:hAnsi="Arial"/>
                <w:sz w:val="18"/>
                <w:szCs w:val="18"/>
                <w:color w:val="auto"/>
                <w:w w:val="88"/>
              </w:rPr>
              <w:t>10.13</w:t>
            </w:r>
          </w:p>
        </w:tc>
        <w:tc>
          <w:tcPr>
            <w:tcW w:w="1660" w:type="dxa"/>
            <w:vAlign w:val="bottom"/>
            <w:tcBorders>
              <w:bottom w:val="single" w:sz="8" w:color="CCEEFF"/>
            </w:tcBorders>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87"/>
              </w:rPr>
              <w:t>January 12, 2015</w:t>
            </w:r>
          </w:p>
        </w:tc>
        <w:tc>
          <w:tcPr>
            <w:tcW w:w="0" w:type="dxa"/>
            <w:vAlign w:val="bottom"/>
          </w:tcPr>
          <w:p>
            <w:pPr>
              <w:spacing w:after="0"/>
              <w:rPr>
                <w:sz w:val="1"/>
                <w:szCs w:val="1"/>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8"/>
              </w:rPr>
              <w:t>10.14</w:t>
            </w:r>
          </w:p>
        </w:tc>
        <w:tc>
          <w:tcPr>
            <w:tcW w:w="5920" w:type="dxa"/>
            <w:vAlign w:val="bottom"/>
            <w:gridSpan w:val="24"/>
          </w:tcPr>
          <w:p>
            <w:pPr>
              <w:spacing w:after="0" w:line="188"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Performance Share Award Agreement, with a grant date of April 4, 2016, between</w:t>
              </w:r>
            </w:hyperlink>
          </w:p>
        </w:tc>
        <w:tc>
          <w:tcPr>
            <w:tcW w:w="102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1"/>
              <w:spacing w:after="0" w:line="188" w:lineRule="exact"/>
              <w:rPr>
                <w:sz w:val="20"/>
                <w:szCs w:val="20"/>
                <w:color w:val="auto"/>
              </w:rPr>
            </w:pPr>
            <w:r>
              <w:rPr>
                <w:rFonts w:ascii="Arial" w:cs="Arial" w:eastAsia="Arial" w:hAnsi="Arial"/>
                <w:sz w:val="18"/>
                <w:szCs w:val="18"/>
                <w:color w:val="auto"/>
                <w:w w:val="91"/>
              </w:rPr>
              <w:t>10.3</w:t>
            </w:r>
          </w:p>
        </w:tc>
        <w:tc>
          <w:tcPr>
            <w:tcW w:w="166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2"/>
              </w:rPr>
              <w:t>April 6, 2016</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840" w:type="dxa"/>
            <w:vAlign w:val="bottom"/>
            <w:tcBorders>
              <w:top w:val="single" w:sz="8" w:color="0000FF"/>
            </w:tcBorders>
            <w:gridSpan w:val="22"/>
          </w:tcPr>
          <w:p>
            <w:pPr>
              <w:spacing w:after="0" w:line="167" w:lineRule="exact"/>
              <w:rPr>
                <w:rFonts w:ascii="Arial" w:cs="Arial" w:eastAsia="Arial" w:hAnsi="Arial"/>
                <w:sz w:val="18"/>
                <w:szCs w:val="18"/>
                <w:color w:val="0000FF"/>
              </w:rPr>
            </w:pPr>
            <w:hyperlink r:id="rId137">
              <w:r>
                <w:rPr>
                  <w:rFonts w:ascii="Arial" w:cs="Arial" w:eastAsia="Arial" w:hAnsi="Arial"/>
                  <w:sz w:val="18"/>
                  <w:szCs w:val="18"/>
                  <w:color w:val="0000FF"/>
                </w:rPr>
                <w:t>AngioDynamics, Inc. and James C. Clemmer.</w:t>
              </w:r>
            </w:hyperlink>
          </w:p>
        </w:tc>
        <w:tc>
          <w:tcPr>
            <w:tcW w:w="8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8"/>
              </w:rPr>
              <w:t>10.15</w:t>
            </w:r>
          </w:p>
        </w:tc>
        <w:tc>
          <w:tcPr>
            <w:tcW w:w="5920" w:type="dxa"/>
            <w:vAlign w:val="bottom"/>
            <w:gridSpan w:val="24"/>
            <w:shd w:val="clear" w:color="auto" w:fill="CCEEFF"/>
          </w:tcPr>
          <w:p>
            <w:pPr>
              <w:spacing w:after="0" w:line="188" w:lineRule="exact"/>
              <w:rPr>
                <w:rFonts w:ascii="Arial" w:cs="Arial" w:eastAsia="Arial" w:hAnsi="Arial"/>
                <w:sz w:val="18"/>
                <w:szCs w:val="18"/>
                <w:color w:val="0000FF"/>
              </w:rPr>
            </w:pPr>
            <w:hyperlink r:id="rId138">
              <w:r>
                <w:rPr>
                  <w:rFonts w:ascii="Arial" w:cs="Arial" w:eastAsia="Arial" w:hAnsi="Arial"/>
                  <w:sz w:val="18"/>
                  <w:szCs w:val="18"/>
                  <w:color w:val="0000FF"/>
                </w:rPr>
                <w:t>AngioDynamics, Inc. Total Shareholder Return Performance Share Award</w:t>
              </w:r>
            </w:hyperlink>
          </w:p>
        </w:tc>
        <w:tc>
          <w:tcPr>
            <w:tcW w:w="102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1"/>
              <w:spacing w:after="0" w:line="188" w:lineRule="exact"/>
              <w:rPr>
                <w:sz w:val="20"/>
                <w:szCs w:val="20"/>
                <w:color w:val="auto"/>
              </w:rPr>
            </w:pPr>
            <w:r>
              <w:rPr>
                <w:rFonts w:ascii="Arial" w:cs="Arial" w:eastAsia="Arial" w:hAnsi="Arial"/>
                <w:sz w:val="18"/>
                <w:szCs w:val="18"/>
                <w:color w:val="auto"/>
                <w:w w:val="91"/>
              </w:rPr>
              <w:t>10.4</w:t>
            </w:r>
          </w:p>
        </w:tc>
        <w:tc>
          <w:tcPr>
            <w:tcW w:w="166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2"/>
              </w:rPr>
              <w:t>April 6, 2016</w:t>
            </w:r>
          </w:p>
        </w:tc>
        <w:tc>
          <w:tcPr>
            <w:tcW w:w="0" w:type="dxa"/>
            <w:vAlign w:val="bottom"/>
          </w:tcPr>
          <w:p>
            <w:pPr>
              <w:spacing w:after="0"/>
              <w:rPr>
                <w:sz w:val="1"/>
                <w:szCs w:val="1"/>
                <w:color w:val="auto"/>
              </w:rPr>
            </w:pPr>
          </w:p>
        </w:tc>
      </w:tr>
      <w:tr>
        <w:trPr>
          <w:trHeight w:val="187"/>
        </w:trPr>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3540" w:type="dxa"/>
            <w:vAlign w:val="bottom"/>
            <w:tcBorders>
              <w:top w:val="single" w:sz="8" w:color="0000FF"/>
              <w:bottom w:val="single" w:sz="8" w:color="0000FF"/>
            </w:tcBorders>
            <w:gridSpan w:val="9"/>
            <w:shd w:val="clear" w:color="auto" w:fill="CCEEFF"/>
          </w:tcPr>
          <w:p>
            <w:pPr>
              <w:spacing w:after="0" w:line="154" w:lineRule="exact"/>
              <w:rPr>
                <w:rFonts w:ascii="Arial" w:cs="Arial" w:eastAsia="Arial" w:hAnsi="Arial"/>
                <w:sz w:val="17"/>
                <w:szCs w:val="17"/>
                <w:color w:val="0000FF"/>
                <w:w w:val="94"/>
              </w:rPr>
            </w:pPr>
            <w:hyperlink r:id="rId138">
              <w:r>
                <w:rPr>
                  <w:rFonts w:ascii="Arial" w:cs="Arial" w:eastAsia="Arial" w:hAnsi="Arial"/>
                  <w:sz w:val="17"/>
                  <w:szCs w:val="17"/>
                  <w:color w:val="0000FF"/>
                  <w:w w:val="94"/>
                </w:rPr>
                <w:t>Program - Performance Period Ending July 2019.</w:t>
              </w:r>
            </w:hyperlink>
          </w:p>
        </w:tc>
        <w:tc>
          <w:tcPr>
            <w:tcW w:w="174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8"/>
              </w:rPr>
              <w:t>10.16</w:t>
            </w:r>
          </w:p>
        </w:tc>
        <w:tc>
          <w:tcPr>
            <w:tcW w:w="5920" w:type="dxa"/>
            <w:vAlign w:val="bottom"/>
            <w:gridSpan w:val="24"/>
          </w:tcPr>
          <w:p>
            <w:pPr>
              <w:spacing w:after="0" w:line="188" w:lineRule="exact"/>
              <w:rPr>
                <w:rFonts w:ascii="Arial" w:cs="Arial" w:eastAsia="Arial" w:hAnsi="Arial"/>
                <w:sz w:val="18"/>
                <w:szCs w:val="18"/>
                <w:color w:val="0000FF"/>
                <w:w w:val="98"/>
              </w:rPr>
            </w:pPr>
            <w:hyperlink r:id="rId139">
              <w:r>
                <w:rPr>
                  <w:rFonts w:ascii="Arial" w:cs="Arial" w:eastAsia="Arial" w:hAnsi="Arial"/>
                  <w:sz w:val="18"/>
                  <w:szCs w:val="18"/>
                  <w:color w:val="0000FF"/>
                  <w:w w:val="98"/>
                </w:rPr>
                <w:t>Stock Option Award Agreement, with a grant date of April 4, 2016, between</w:t>
              </w:r>
            </w:hyperlink>
          </w:p>
        </w:tc>
        <w:tc>
          <w:tcPr>
            <w:tcW w:w="102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1"/>
              <w:spacing w:after="0" w:line="188" w:lineRule="exact"/>
              <w:rPr>
                <w:sz w:val="20"/>
                <w:szCs w:val="20"/>
                <w:color w:val="auto"/>
              </w:rPr>
            </w:pPr>
            <w:r>
              <w:rPr>
                <w:rFonts w:ascii="Arial" w:cs="Arial" w:eastAsia="Arial" w:hAnsi="Arial"/>
                <w:sz w:val="18"/>
                <w:szCs w:val="18"/>
                <w:color w:val="auto"/>
                <w:w w:val="91"/>
              </w:rPr>
              <w:t>10.5</w:t>
            </w:r>
          </w:p>
        </w:tc>
        <w:tc>
          <w:tcPr>
            <w:tcW w:w="166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2"/>
              </w:rPr>
              <w:t>April 6, 2016</w:t>
            </w: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5420" w:type="dxa"/>
            <w:vAlign w:val="bottom"/>
            <w:tcBorders>
              <w:top w:val="single" w:sz="8" w:color="0000FF"/>
            </w:tcBorders>
            <w:gridSpan w:val="19"/>
          </w:tcPr>
          <w:p>
            <w:pPr>
              <w:spacing w:after="0" w:line="154" w:lineRule="exact"/>
              <w:rPr>
                <w:rFonts w:ascii="Arial" w:cs="Arial" w:eastAsia="Arial" w:hAnsi="Arial"/>
                <w:sz w:val="17"/>
                <w:szCs w:val="17"/>
                <w:color w:val="0000FF"/>
              </w:rPr>
            </w:pPr>
            <w:hyperlink r:id="rId139">
              <w:r>
                <w:rPr>
                  <w:rFonts w:ascii="Arial" w:cs="Arial" w:eastAsia="Arial" w:hAnsi="Arial"/>
                  <w:sz w:val="17"/>
                  <w:szCs w:val="17"/>
                  <w:color w:val="0000FF"/>
                </w:rPr>
                <w:t>AngioDynamics, Inc. and James C. Clemmer.</w:t>
              </w:r>
            </w:hyperlink>
          </w:p>
        </w:tc>
        <w:tc>
          <w:tcPr>
            <w:tcW w:w="50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8"/>
              </w:rPr>
              <w:t>10.17</w:t>
            </w:r>
          </w:p>
        </w:tc>
        <w:tc>
          <w:tcPr>
            <w:tcW w:w="5920" w:type="dxa"/>
            <w:vAlign w:val="bottom"/>
            <w:gridSpan w:val="24"/>
            <w:shd w:val="clear" w:color="auto" w:fill="CCEEFF"/>
          </w:tcPr>
          <w:p>
            <w:pPr>
              <w:spacing w:after="0" w:line="188"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Restricted Stock Unit Award Agreement, with a grant date of April 4, 2016,</w:t>
              </w:r>
            </w:hyperlink>
          </w:p>
        </w:tc>
        <w:tc>
          <w:tcPr>
            <w:tcW w:w="102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1"/>
              <w:spacing w:after="0" w:line="188" w:lineRule="exact"/>
              <w:rPr>
                <w:sz w:val="20"/>
                <w:szCs w:val="20"/>
                <w:color w:val="auto"/>
              </w:rPr>
            </w:pPr>
            <w:r>
              <w:rPr>
                <w:rFonts w:ascii="Arial" w:cs="Arial" w:eastAsia="Arial" w:hAnsi="Arial"/>
                <w:sz w:val="18"/>
                <w:szCs w:val="18"/>
                <w:color w:val="auto"/>
                <w:w w:val="91"/>
              </w:rPr>
              <w:t>10.6</w:t>
            </w:r>
          </w:p>
        </w:tc>
        <w:tc>
          <w:tcPr>
            <w:tcW w:w="166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92"/>
              </w:rPr>
              <w:t>April 6, 2016</w:t>
            </w:r>
          </w:p>
        </w:tc>
        <w:tc>
          <w:tcPr>
            <w:tcW w:w="0" w:type="dxa"/>
            <w:vAlign w:val="bottom"/>
          </w:tcPr>
          <w:p>
            <w:pPr>
              <w:spacing w:after="0"/>
              <w:rPr>
                <w:sz w:val="1"/>
                <w:szCs w:val="1"/>
                <w:color w:val="auto"/>
              </w:rPr>
            </w:pPr>
          </w:p>
        </w:tc>
      </w:tr>
      <w:tr>
        <w:trPr>
          <w:trHeight w:val="187"/>
        </w:trPr>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3900" w:type="dxa"/>
            <w:vAlign w:val="bottom"/>
            <w:tcBorders>
              <w:top w:val="single" w:sz="8" w:color="0000FF"/>
              <w:bottom w:val="single" w:sz="8" w:color="0000FF"/>
            </w:tcBorders>
            <w:gridSpan w:val="10"/>
            <w:shd w:val="clear" w:color="auto" w:fill="CCEEFF"/>
          </w:tcPr>
          <w:p>
            <w:pPr>
              <w:spacing w:after="0" w:line="167" w:lineRule="exact"/>
              <w:rPr>
                <w:rFonts w:ascii="Arial" w:cs="Arial" w:eastAsia="Arial" w:hAnsi="Arial"/>
                <w:sz w:val="18"/>
                <w:szCs w:val="18"/>
                <w:color w:val="0000FF"/>
                <w:w w:val="88"/>
              </w:rPr>
            </w:pPr>
            <w:hyperlink r:id="rId140">
              <w:r>
                <w:rPr>
                  <w:rFonts w:ascii="Arial" w:cs="Arial" w:eastAsia="Arial" w:hAnsi="Arial"/>
                  <w:sz w:val="18"/>
                  <w:szCs w:val="18"/>
                  <w:color w:val="0000FF"/>
                  <w:w w:val="88"/>
                </w:rPr>
                <w:t>between AngioDynamics, Inc. and James C. Clemmer.</w:t>
              </w:r>
            </w:hyperlink>
          </w:p>
        </w:tc>
        <w:tc>
          <w:tcPr>
            <w:tcW w:w="148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54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8"/>
              </w:rPr>
              <w:t>10.18</w:t>
            </w:r>
          </w:p>
        </w:tc>
        <w:tc>
          <w:tcPr>
            <w:tcW w:w="5920" w:type="dxa"/>
            <w:vAlign w:val="bottom"/>
            <w:gridSpan w:val="24"/>
          </w:tcPr>
          <w:p>
            <w:pPr>
              <w:spacing w:after="0" w:line="188" w:lineRule="exact"/>
              <w:rPr>
                <w:rFonts w:ascii="Arial" w:cs="Arial" w:eastAsia="Arial" w:hAnsi="Arial"/>
                <w:sz w:val="18"/>
                <w:szCs w:val="18"/>
                <w:color w:val="0000FF"/>
                <w:w w:val="97"/>
              </w:rPr>
            </w:pPr>
            <w:hyperlink r:id="rId141">
              <w:r>
                <w:rPr>
                  <w:rFonts w:ascii="Arial" w:cs="Arial" w:eastAsia="Arial" w:hAnsi="Arial"/>
                  <w:sz w:val="18"/>
                  <w:szCs w:val="18"/>
                  <w:color w:val="0000FF"/>
                  <w:w w:val="97"/>
                </w:rPr>
                <w:t>Separation Agreement and General Release, dated April 22, 2016, between</w:t>
              </w:r>
            </w:hyperlink>
          </w:p>
        </w:tc>
        <w:tc>
          <w:tcPr>
            <w:tcW w:w="102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1"/>
              <w:spacing w:after="0" w:line="188" w:lineRule="exact"/>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95"/>
              </w:rPr>
              <w:t>April 27, 2016</w:t>
            </w: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534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41">
              <w:r>
                <w:rPr>
                  <w:rFonts w:ascii="Arial" w:cs="Arial" w:eastAsia="Arial" w:hAnsi="Arial"/>
                  <w:sz w:val="17"/>
                  <w:szCs w:val="17"/>
                  <w:color w:val="0000FF"/>
                </w:rPr>
                <w:t>AngioDynamics, Inc. and Joseph M. DeVivo.</w:t>
              </w:r>
            </w:hyperlink>
          </w:p>
        </w:tc>
        <w:tc>
          <w:tcPr>
            <w:tcW w:w="580" w:type="dxa"/>
            <w:vAlign w:val="bottom"/>
            <w:gridSpan w:val="7"/>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8"/>
              </w:rPr>
              <w:t>10.19</w:t>
            </w:r>
          </w:p>
        </w:tc>
        <w:tc>
          <w:tcPr>
            <w:tcW w:w="5920" w:type="dxa"/>
            <w:vAlign w:val="bottom"/>
            <w:gridSpan w:val="24"/>
            <w:shd w:val="clear" w:color="auto" w:fill="CCEEFF"/>
          </w:tcPr>
          <w:p>
            <w:pPr>
              <w:spacing w:after="0" w:line="188" w:lineRule="exact"/>
              <w:rPr>
                <w:rFonts w:ascii="Arial" w:cs="Arial" w:eastAsia="Arial" w:hAnsi="Arial"/>
                <w:sz w:val="18"/>
                <w:szCs w:val="18"/>
                <w:color w:val="0000FF"/>
              </w:rPr>
            </w:pPr>
            <w:hyperlink r:id="rId142">
              <w:r>
                <w:rPr>
                  <w:rFonts w:ascii="Arial" w:cs="Arial" w:eastAsia="Arial" w:hAnsi="Arial"/>
                  <w:sz w:val="18"/>
                  <w:szCs w:val="18"/>
                  <w:color w:val="0000FF"/>
                </w:rPr>
                <w:t>Amended and Restated Change in Control Agreement, by and between</w:t>
              </w:r>
            </w:hyperlink>
          </w:p>
        </w:tc>
        <w:tc>
          <w:tcPr>
            <w:tcW w:w="102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1"/>
              <w:spacing w:after="0" w:line="188" w:lineRule="exact"/>
              <w:rPr>
                <w:sz w:val="20"/>
                <w:szCs w:val="20"/>
                <w:color w:val="auto"/>
              </w:rPr>
            </w:pPr>
            <w:r>
              <w:rPr>
                <w:rFonts w:ascii="Arial" w:cs="Arial" w:eastAsia="Arial" w:hAnsi="Arial"/>
                <w:sz w:val="18"/>
                <w:szCs w:val="18"/>
                <w:color w:val="auto"/>
                <w:w w:val="91"/>
              </w:rPr>
              <w:t>10.1</w:t>
            </w:r>
          </w:p>
        </w:tc>
        <w:tc>
          <w:tcPr>
            <w:tcW w:w="166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88"/>
              </w:rPr>
              <w:t>February 3, 2021</w:t>
            </w:r>
          </w:p>
        </w:tc>
        <w:tc>
          <w:tcPr>
            <w:tcW w:w="0" w:type="dxa"/>
            <w:vAlign w:val="bottom"/>
          </w:tcPr>
          <w:p>
            <w:pPr>
              <w:spacing w:after="0"/>
              <w:rPr>
                <w:sz w:val="1"/>
                <w:szCs w:val="1"/>
                <w:color w:val="auto"/>
              </w:rPr>
            </w:pPr>
          </w:p>
        </w:tc>
      </w:tr>
      <w:tr>
        <w:trPr>
          <w:trHeight w:val="154"/>
        </w:trPr>
        <w:tc>
          <w:tcPr>
            <w:tcW w:w="1140" w:type="dxa"/>
            <w:vAlign w:val="bottom"/>
            <w:tcBorders>
              <w:top w:val="single" w:sz="8" w:color="CCEEFF"/>
            </w:tcBorders>
            <w:shd w:val="clear" w:color="auto" w:fill="CCEEFF"/>
          </w:tcPr>
          <w:p>
            <w:pPr>
              <w:spacing w:after="0"/>
              <w:rPr>
                <w:sz w:val="13"/>
                <w:szCs w:val="13"/>
                <w:color w:val="auto"/>
              </w:rPr>
            </w:pPr>
          </w:p>
        </w:tc>
        <w:tc>
          <w:tcPr>
            <w:tcW w:w="5060" w:type="dxa"/>
            <w:vAlign w:val="bottom"/>
            <w:tcBorders>
              <w:top w:val="single" w:sz="8" w:color="0000FF"/>
            </w:tcBorders>
            <w:gridSpan w:val="15"/>
            <w:shd w:val="clear" w:color="auto" w:fill="CCEEFF"/>
          </w:tcPr>
          <w:p>
            <w:pPr>
              <w:spacing w:after="0" w:line="154" w:lineRule="exact"/>
              <w:rPr>
                <w:rFonts w:ascii="Arial" w:cs="Arial" w:eastAsia="Arial" w:hAnsi="Arial"/>
                <w:sz w:val="17"/>
                <w:szCs w:val="17"/>
                <w:color w:val="0000FF"/>
              </w:rPr>
            </w:pPr>
            <w:hyperlink r:id="rId142">
              <w:r>
                <w:rPr>
                  <w:rFonts w:ascii="Arial" w:cs="Arial" w:eastAsia="Arial" w:hAnsi="Arial"/>
                  <w:sz w:val="17"/>
                  <w:szCs w:val="17"/>
                  <w:color w:val="0000FF"/>
                </w:rPr>
                <w:t>AngioDynamics, Inc. and James C. Clemmer.</w:t>
              </w:r>
            </w:hyperlink>
          </w:p>
        </w:tc>
        <w:tc>
          <w:tcPr>
            <w:tcW w:w="860" w:type="dxa"/>
            <w:vAlign w:val="bottom"/>
            <w:tcBorders>
              <w:top w:val="single" w:sz="8" w:color="CCEEFF"/>
            </w:tcBorders>
            <w:gridSpan w:val="9"/>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91"/>
              </w:rPr>
              <w:t>10.2</w:t>
            </w:r>
          </w:p>
        </w:tc>
        <w:tc>
          <w:tcPr>
            <w:tcW w:w="5920" w:type="dxa"/>
            <w:vAlign w:val="bottom"/>
            <w:gridSpan w:val="24"/>
          </w:tcPr>
          <w:p>
            <w:pPr>
              <w:spacing w:after="0" w:line="188" w:lineRule="exact"/>
              <w:rPr>
                <w:rFonts w:ascii="Arial" w:cs="Arial" w:eastAsia="Arial" w:hAnsi="Arial"/>
                <w:sz w:val="18"/>
                <w:szCs w:val="18"/>
                <w:color w:val="0000FF"/>
              </w:rPr>
            </w:pPr>
            <w:hyperlink r:id="rId142">
              <w:r>
                <w:rPr>
                  <w:rFonts w:ascii="Arial" w:cs="Arial" w:eastAsia="Arial" w:hAnsi="Arial"/>
                  <w:sz w:val="18"/>
                  <w:szCs w:val="18"/>
                  <w:color w:val="0000FF"/>
                </w:rPr>
                <w:t>Form of Amended and Restated Change in Control Agreement with</w:t>
              </w:r>
            </w:hyperlink>
          </w:p>
        </w:tc>
        <w:tc>
          <w:tcPr>
            <w:tcW w:w="1020" w:type="dxa"/>
            <w:vAlign w:val="bottom"/>
          </w:tcPr>
          <w:p>
            <w:pPr>
              <w:jc w:val="center"/>
              <w:ind w:left="131"/>
              <w:spacing w:after="0" w:line="188"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1"/>
              <w:spacing w:after="0" w:line="188" w:lineRule="exact"/>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111"/>
              <w:spacing w:after="0" w:line="188" w:lineRule="exact"/>
              <w:rPr>
                <w:sz w:val="20"/>
                <w:szCs w:val="20"/>
                <w:color w:val="auto"/>
              </w:rPr>
            </w:pPr>
            <w:r>
              <w:rPr>
                <w:rFonts w:ascii="Arial" w:cs="Arial" w:eastAsia="Arial" w:hAnsi="Arial"/>
                <w:sz w:val="18"/>
                <w:szCs w:val="18"/>
                <w:color w:val="auto"/>
                <w:w w:val="88"/>
              </w:rPr>
              <w:t>February 3, 2021</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820" w:type="dxa"/>
            <w:vAlign w:val="bottom"/>
            <w:tcBorders>
              <w:top w:val="single" w:sz="8" w:color="0000FF"/>
            </w:tcBorders>
            <w:gridSpan w:val="14"/>
          </w:tcPr>
          <w:p>
            <w:pPr>
              <w:spacing w:after="0" w:line="167" w:lineRule="exact"/>
              <w:rPr>
                <w:rFonts w:ascii="Arial" w:cs="Arial" w:eastAsia="Arial" w:hAnsi="Arial"/>
                <w:sz w:val="18"/>
                <w:szCs w:val="18"/>
                <w:color w:val="0000FF"/>
              </w:rPr>
            </w:pPr>
            <w:hyperlink r:id="rId142">
              <w:r>
                <w:rPr>
                  <w:rFonts w:ascii="Arial" w:cs="Arial" w:eastAsia="Arial" w:hAnsi="Arial"/>
                  <w:sz w:val="18"/>
                  <w:szCs w:val="18"/>
                  <w:color w:val="0000FF"/>
                </w:rPr>
                <w:t>AngioDynamics, Inc.</w:t>
              </w:r>
            </w:hyperlink>
          </w:p>
        </w:tc>
        <w:tc>
          <w:tcPr>
            <w:tcW w:w="1100" w:type="dxa"/>
            <w:vAlign w:val="bottom"/>
            <w:gridSpan w:val="10"/>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9"/>
              </w:rPr>
              <w:t>14</w:t>
            </w:r>
          </w:p>
        </w:tc>
        <w:tc>
          <w:tcPr>
            <w:tcW w:w="5920" w:type="dxa"/>
            <w:vAlign w:val="bottom"/>
            <w:gridSpan w:val="24"/>
            <w:shd w:val="clear" w:color="auto" w:fill="CCEEFF"/>
          </w:tcPr>
          <w:p>
            <w:pPr>
              <w:spacing w:after="0" w:line="188" w:lineRule="exact"/>
              <w:rPr>
                <w:rFonts w:ascii="Arial" w:cs="Arial" w:eastAsia="Arial" w:hAnsi="Arial"/>
                <w:sz w:val="18"/>
                <w:szCs w:val="18"/>
                <w:color w:val="0000FF"/>
              </w:rPr>
            </w:pPr>
            <w:hyperlink r:id="rId143">
              <w:r>
                <w:rPr>
                  <w:rFonts w:ascii="Arial" w:cs="Arial" w:eastAsia="Arial" w:hAnsi="Arial"/>
                  <w:sz w:val="18"/>
                  <w:szCs w:val="18"/>
                  <w:color w:val="0000FF"/>
                </w:rPr>
                <w:t>Code of Ethics.</w:t>
              </w:r>
            </w:hyperlink>
          </w:p>
        </w:tc>
        <w:tc>
          <w:tcPr>
            <w:tcW w:w="1020" w:type="dxa"/>
            <w:vAlign w:val="bottom"/>
            <w:shd w:val="clear" w:color="auto" w:fill="CCEEFF"/>
          </w:tcPr>
          <w:p>
            <w:pPr>
              <w:jc w:val="center"/>
              <w:ind w:left="131"/>
              <w:spacing w:after="0" w:line="188" w:lineRule="exact"/>
              <w:rPr>
                <w:sz w:val="20"/>
                <w:szCs w:val="20"/>
                <w:color w:val="auto"/>
              </w:rPr>
            </w:pPr>
            <w:r>
              <w:rPr>
                <w:rFonts w:ascii="Arial" w:cs="Arial" w:eastAsia="Arial" w:hAnsi="Arial"/>
                <w:sz w:val="18"/>
                <w:szCs w:val="18"/>
                <w:color w:val="auto"/>
                <w:w w:val="94"/>
              </w:rPr>
              <w:t>10-K</w:t>
            </w:r>
          </w:p>
        </w:tc>
        <w:tc>
          <w:tcPr>
            <w:tcW w:w="1480" w:type="dxa"/>
            <w:vAlign w:val="bottom"/>
            <w:shd w:val="clear" w:color="auto" w:fill="CCEEFF"/>
          </w:tcPr>
          <w:p>
            <w:pPr>
              <w:jc w:val="center"/>
              <w:ind w:left="331"/>
              <w:spacing w:after="0" w:line="188" w:lineRule="exact"/>
              <w:rPr>
                <w:sz w:val="20"/>
                <w:szCs w:val="20"/>
                <w:color w:val="auto"/>
              </w:rPr>
            </w:pPr>
            <w:r>
              <w:rPr>
                <w:rFonts w:ascii="Arial" w:cs="Arial" w:eastAsia="Arial" w:hAnsi="Arial"/>
                <w:sz w:val="18"/>
                <w:szCs w:val="18"/>
                <w:color w:val="auto"/>
                <w:w w:val="89"/>
              </w:rPr>
              <w:t>14</w:t>
            </w:r>
          </w:p>
        </w:tc>
        <w:tc>
          <w:tcPr>
            <w:tcW w:w="1660" w:type="dxa"/>
            <w:vAlign w:val="bottom"/>
            <w:shd w:val="clear" w:color="auto" w:fill="CCEEFF"/>
          </w:tcPr>
          <w:p>
            <w:pPr>
              <w:jc w:val="center"/>
              <w:ind w:left="111"/>
              <w:spacing w:after="0" w:line="188" w:lineRule="exact"/>
              <w:rPr>
                <w:sz w:val="20"/>
                <w:szCs w:val="20"/>
                <w:color w:val="auto"/>
              </w:rPr>
            </w:pPr>
            <w:r>
              <w:rPr>
                <w:rFonts w:ascii="Arial" w:cs="Arial" w:eastAsia="Arial" w:hAnsi="Arial"/>
                <w:sz w:val="18"/>
                <w:szCs w:val="18"/>
                <w:color w:val="auto"/>
                <w:w w:val="88"/>
              </w:rPr>
              <w:t>October 1, 2021</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40" w:hanging="66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0000FF"/>
        </w:rPr>
        <w:t>Subsidiaries</w:t>
      </w:r>
    </w:p>
    <w:p>
      <w:pPr>
        <w:spacing w:after="0" w:line="33" w:lineRule="exact"/>
        <w:rPr>
          <w:sz w:val="20"/>
          <w:szCs w:val="20"/>
          <w:color w:val="auto"/>
        </w:rPr>
      </w:pPr>
    </w:p>
    <w:p>
      <w:pPr>
        <w:ind w:left="1140" w:hanging="66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0000FF"/>
        </w:rPr>
        <w:t>Consent of Deloitte &amp; Touche LLP, an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25335" cy="144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25335" cy="144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80" w:type="dxa"/>
            <w:vAlign w:val="bottom"/>
            <w:gridSpan w:val="6"/>
          </w:tcPr>
          <w:p>
            <w:pPr>
              <w:spacing w:after="0"/>
              <w:rPr>
                <w:sz w:val="20"/>
                <w:szCs w:val="20"/>
                <w:color w:val="auto"/>
              </w:rPr>
            </w:pPr>
            <w:r>
              <w:rPr>
                <w:rFonts w:ascii="Arial" w:cs="Arial" w:eastAsia="Arial" w:hAnsi="Arial"/>
                <w:sz w:val="18"/>
                <w:szCs w:val="18"/>
                <w:color w:val="0000FF"/>
              </w:rPr>
              <w:t>Certification by the Chief Executive Officer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1"/>
              </w:rPr>
              <w:t>31.2</w:t>
            </w:r>
          </w:p>
        </w:tc>
        <w:tc>
          <w:tcPr>
            <w:tcW w:w="10080" w:type="dxa"/>
            <w:vAlign w:val="bottom"/>
            <w:gridSpan w:val="6"/>
            <w:shd w:val="clear" w:color="auto" w:fill="CCEEFF"/>
          </w:tcPr>
          <w:p>
            <w:pPr>
              <w:spacing w:after="0" w:line="188" w:lineRule="exact"/>
              <w:rPr>
                <w:sz w:val="20"/>
                <w:szCs w:val="20"/>
                <w:color w:val="auto"/>
              </w:rPr>
            </w:pPr>
            <w:r>
              <w:rPr>
                <w:rFonts w:ascii="Arial" w:cs="Arial" w:eastAsia="Arial" w:hAnsi="Arial"/>
                <w:sz w:val="18"/>
                <w:szCs w:val="18"/>
                <w:color w:val="0000FF"/>
              </w:rPr>
              <w:t>Certification by the Chief Financial Officer Pursuant to Section 302 of the Sarbanes-Oxley Act of 2002.</w:t>
            </w: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65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7"/>
        </w:trPr>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91"/>
              </w:rPr>
              <w:t>32.1</w:t>
            </w:r>
          </w:p>
        </w:tc>
        <w:tc>
          <w:tcPr>
            <w:tcW w:w="10080" w:type="dxa"/>
            <w:vAlign w:val="bottom"/>
            <w:gridSpan w:val="6"/>
          </w:tcPr>
          <w:p>
            <w:pPr>
              <w:spacing w:after="0" w:line="188" w:lineRule="exact"/>
              <w:rPr>
                <w:sz w:val="20"/>
                <w:szCs w:val="20"/>
                <w:color w:val="auto"/>
              </w:rPr>
            </w:pPr>
            <w:r>
              <w:rPr>
                <w:rFonts w:ascii="Arial" w:cs="Arial" w:eastAsia="Arial" w:hAnsi="Arial"/>
                <w:sz w:val="18"/>
                <w:szCs w:val="18"/>
                <w:color w:val="0000FF"/>
                <w:w w:val="90"/>
              </w:rPr>
              <w:t>Certification by the Chief Executive Officer Pursuant to 18 U.S.C. Section 1350, as Adopted Pursuant to Section 906 of the Sarbanes-Oxley</w:t>
            </w:r>
          </w:p>
        </w:tc>
      </w:tr>
      <w:tr>
        <w:trPr>
          <w:trHeight w:val="154"/>
        </w:trPr>
        <w:tc>
          <w:tcPr>
            <w:tcW w:w="1140" w:type="dxa"/>
            <w:vAlign w:val="bottom"/>
          </w:tcPr>
          <w:p>
            <w:pPr>
              <w:spacing w:after="0"/>
              <w:rPr>
                <w:sz w:val="13"/>
                <w:szCs w:val="13"/>
                <w:color w:val="auto"/>
              </w:rPr>
            </w:pPr>
          </w:p>
        </w:tc>
        <w:tc>
          <w:tcPr>
            <w:tcW w:w="9980" w:type="dxa"/>
            <w:vAlign w:val="bottom"/>
            <w:tcBorders>
              <w:top w:val="single" w:sz="8" w:color="0000FF"/>
            </w:tcBorders>
            <w:gridSpan w:val="5"/>
          </w:tcPr>
          <w:p>
            <w:pPr>
              <w:spacing w:after="0" w:line="154" w:lineRule="exact"/>
              <w:rPr>
                <w:sz w:val="20"/>
                <w:szCs w:val="20"/>
                <w:color w:val="auto"/>
              </w:rPr>
            </w:pPr>
            <w:r>
              <w:rPr>
                <w:rFonts w:ascii="Arial" w:cs="Arial" w:eastAsia="Arial" w:hAnsi="Arial"/>
                <w:sz w:val="17"/>
                <w:szCs w:val="17"/>
                <w:color w:val="0000FF"/>
              </w:rPr>
              <w:t>Act of 2002.</w:t>
            </w:r>
          </w:p>
        </w:tc>
        <w:tc>
          <w:tcPr>
            <w:tcW w:w="10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11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1"/>
              </w:rPr>
              <w:t>32.2</w:t>
            </w:r>
          </w:p>
        </w:tc>
        <w:tc>
          <w:tcPr>
            <w:tcW w:w="10080" w:type="dxa"/>
            <w:vAlign w:val="bottom"/>
            <w:gridSpan w:val="6"/>
            <w:shd w:val="clear" w:color="auto" w:fill="CCEEFF"/>
          </w:tcPr>
          <w:p>
            <w:pPr>
              <w:spacing w:after="0" w:line="188" w:lineRule="exact"/>
              <w:rPr>
                <w:sz w:val="20"/>
                <w:szCs w:val="20"/>
                <w:color w:val="auto"/>
              </w:rPr>
            </w:pPr>
            <w:r>
              <w:rPr>
                <w:rFonts w:ascii="Arial" w:cs="Arial" w:eastAsia="Arial" w:hAnsi="Arial"/>
                <w:sz w:val="18"/>
                <w:szCs w:val="18"/>
                <w:color w:val="0000FF"/>
                <w:w w:val="91"/>
              </w:rPr>
              <w:t>Certification by the Chief Financial Officer Pursuant to 18 U.S.C. Section 1350, as Adopted Pursuant to Section 906 of the Sarbanes-Oxley</w:t>
            </w:r>
          </w:p>
        </w:tc>
      </w:tr>
      <w:tr>
        <w:trPr>
          <w:trHeight w:val="187"/>
        </w:trPr>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0000FF"/>
            </w:tcBorders>
            <w:shd w:val="clear" w:color="auto" w:fill="CCEEFF"/>
          </w:tcPr>
          <w:p>
            <w:pPr>
              <w:spacing w:after="0" w:line="167" w:lineRule="exact"/>
              <w:rPr>
                <w:sz w:val="20"/>
                <w:szCs w:val="20"/>
                <w:color w:val="auto"/>
              </w:rPr>
            </w:pPr>
            <w:r>
              <w:rPr>
                <w:rFonts w:ascii="Arial" w:cs="Arial" w:eastAsia="Arial" w:hAnsi="Arial"/>
                <w:sz w:val="18"/>
                <w:szCs w:val="18"/>
                <w:color w:val="0000FF"/>
                <w:w w:val="91"/>
              </w:rPr>
              <w:t>Act of 2002.</w:t>
            </w:r>
          </w:p>
        </w:tc>
        <w:tc>
          <w:tcPr>
            <w:tcW w:w="904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227"/>
        </w:trPr>
        <w:tc>
          <w:tcPr>
            <w:tcW w:w="11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41"/>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Schema Document</w:t>
            </w:r>
          </w:p>
        </w:tc>
      </w:tr>
      <w:tr>
        <w:trPr>
          <w:trHeight w:val="227"/>
        </w:trPr>
        <w:tc>
          <w:tcPr>
            <w:tcW w:w="114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080" w:type="dxa"/>
            <w:vAlign w:val="bottom"/>
            <w:gridSpan w:val="6"/>
          </w:tcPr>
          <w:p>
            <w:pPr>
              <w:spacing w:after="0"/>
              <w:rPr>
                <w:sz w:val="20"/>
                <w:szCs w:val="20"/>
                <w:color w:val="auto"/>
              </w:rPr>
            </w:pPr>
            <w:r>
              <w:rPr>
                <w:rFonts w:ascii="Arial" w:cs="Arial" w:eastAsia="Arial" w:hAnsi="Arial"/>
                <w:sz w:val="18"/>
                <w:szCs w:val="18"/>
                <w:color w:val="auto"/>
              </w:rPr>
              <w:t>XBRL Calculation Linkbase Documents</w:t>
            </w:r>
          </w:p>
        </w:tc>
      </w:tr>
      <w:tr>
        <w:trPr>
          <w:trHeight w:val="228"/>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101.DEF</w:t>
            </w: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4"/>
        </w:trPr>
        <w:tc>
          <w:tcPr>
            <w:tcW w:w="114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0080" w:type="dxa"/>
            <w:vAlign w:val="bottom"/>
            <w:gridSpan w:val="6"/>
          </w:tcPr>
          <w:p>
            <w:pPr>
              <w:spacing w:after="0"/>
              <w:rPr>
                <w:sz w:val="20"/>
                <w:szCs w:val="20"/>
                <w:color w:val="auto"/>
              </w:rPr>
            </w:pPr>
            <w:r>
              <w:rPr>
                <w:rFonts w:ascii="Arial" w:cs="Arial" w:eastAsia="Arial" w:hAnsi="Arial"/>
                <w:sz w:val="18"/>
                <w:szCs w:val="18"/>
                <w:color w:val="auto"/>
              </w:rPr>
              <w:t>XBRL Labels Linkbase Documents</w:t>
            </w:r>
          </w:p>
        </w:tc>
      </w:tr>
      <w:tr>
        <w:trPr>
          <w:trHeight w:val="234"/>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Presentation Linkbase 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28" w:right="359" w:bottom="1440" w:gutter="0" w:footer="0" w:header="0"/>
        </w:sectPr>
      </w:pPr>
    </w:p>
    <w:bookmarkStart w:id="85" w:name="page86"/>
    <w:bookmarkEnd w:id="85"/>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ANGIODYNAMICS, INC.</w:t>
      </w:r>
    </w:p>
    <w:p>
      <w:pPr>
        <w:spacing w:after="0" w:line="38" w:lineRule="exact"/>
        <w:rPr>
          <w:sz w:val="20"/>
          <w:szCs w:val="20"/>
          <w:color w:val="auto"/>
        </w:rPr>
      </w:pPr>
    </w:p>
    <w:p>
      <w:pPr>
        <w:ind w:left="20"/>
        <w:spacing w:after="0"/>
        <w:tabs>
          <w:tab w:leader="none" w:pos="740" w:val="left"/>
          <w:tab w:leader="none" w:pos="5620" w:val="left"/>
          <w:tab w:leader="none" w:pos="7560" w:val="left"/>
          <w:tab w:leader="none" w:pos="7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13335</wp:posOffset>
            </wp:positionV>
            <wp:extent cx="3108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8"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Howard W. Donnelly,</w:t>
      </w:r>
    </w:p>
    <w:p>
      <w:pPr>
        <w:jc w:val="center"/>
        <w:ind w:left="6220"/>
        <w:spacing w:after="0"/>
        <w:rPr>
          <w:sz w:val="20"/>
          <w:szCs w:val="20"/>
          <w:color w:val="auto"/>
        </w:rPr>
      </w:pPr>
      <w:r>
        <w:rPr>
          <w:rFonts w:ascii="Arial" w:cs="Arial" w:eastAsia="Arial" w:hAnsi="Arial"/>
          <w:sz w:val="14"/>
          <w:szCs w:val="14"/>
          <w:b w:val="1"/>
          <w:bCs w:val="1"/>
          <w:color w:val="auto"/>
        </w:rPr>
        <w:t>Chairman of the Board, Director</w:t>
      </w:r>
    </w:p>
    <w:p>
      <w:pPr>
        <w:spacing w:after="0" w:line="152" w:lineRule="exact"/>
        <w:rPr>
          <w:sz w:val="20"/>
          <w:szCs w:val="20"/>
          <w:color w:val="auto"/>
        </w:rPr>
      </w:pPr>
    </w:p>
    <w:p>
      <w:pPr>
        <w:ind w:right="260" w:firstLine="441"/>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320" w:top="883" w:right="539" w:bottom="1440" w:gutter="0" w:footer="0" w:header="0"/>
        </w:sectPr>
      </w:pPr>
    </w:p>
    <w:p>
      <w:pPr>
        <w:spacing w:after="0" w:line="188"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3, 2023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Howard W. Donnelly,</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Chairman of the Board, Director</w:t>
      </w:r>
    </w:p>
    <w:p>
      <w:pPr>
        <w:spacing w:after="0" w:line="88"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C. C</w:t>
      </w:r>
      <w:r>
        <w:rPr>
          <w:rFonts w:ascii="Arial" w:cs="Arial" w:eastAsia="Arial" w:hAnsi="Arial"/>
          <w:sz w:val="13"/>
          <w:szCs w:val="13"/>
          <w:color w:val="auto"/>
        </w:rPr>
        <w:t>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James C. Clemmer,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President, Chief Executive Officer</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(Principal Executive Officer)</w:t>
      </w:r>
    </w:p>
    <w:p>
      <w:pPr>
        <w:spacing w:after="0" w:line="85"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w:t>
      </w:r>
      <w:r>
        <w:rPr>
          <w:rFonts w:ascii="Arial" w:cs="Arial" w:eastAsia="Arial" w:hAnsi="Arial"/>
          <w:sz w:val="13"/>
          <w:szCs w:val="13"/>
          <w:color w:val="auto"/>
        </w:rPr>
        <w:t>TEPHEN</w:t>
      </w:r>
      <w:r>
        <w:rPr>
          <w:rFonts w:ascii="Arial" w:cs="Arial" w:eastAsia="Arial" w:hAnsi="Arial"/>
          <w:sz w:val="17"/>
          <w:szCs w:val="17"/>
          <w:color w:val="auto"/>
        </w:rPr>
        <w:t xml:space="preserve"> A. T</w:t>
      </w:r>
      <w:r>
        <w:rPr>
          <w:rFonts w:ascii="Arial" w:cs="Arial" w:eastAsia="Arial" w:hAnsi="Arial"/>
          <w:sz w:val="13"/>
          <w:szCs w:val="13"/>
          <w:color w:val="auto"/>
        </w:rPr>
        <w: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13335</wp:posOffset>
            </wp:positionV>
            <wp:extent cx="3533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5"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Stephen A. Trowbridge,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Vice President, Chief Financial Officer,</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(Principal Financial and Accounting Officer)</w:t>
      </w:r>
    </w:p>
    <w:p>
      <w:pPr>
        <w:spacing w:after="0" w:line="84"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t>
      </w:r>
      <w:r>
        <w:rPr>
          <w:rFonts w:ascii="Arial" w:cs="Arial" w:eastAsia="Arial" w:hAnsi="Arial"/>
          <w:sz w:val="13"/>
          <w:szCs w:val="13"/>
          <w:color w:val="auto"/>
        </w:rPr>
        <w:t>ESLEY</w:t>
      </w:r>
      <w:r>
        <w:rPr>
          <w:rFonts w:ascii="Arial" w:cs="Arial" w:eastAsia="Arial" w:hAnsi="Arial"/>
          <w:sz w:val="17"/>
          <w:szCs w:val="17"/>
          <w:color w:val="auto"/>
        </w:rPr>
        <w:t xml:space="preserve"> E. J</w:t>
      </w:r>
      <w:r>
        <w:rPr>
          <w:rFonts w:ascii="Arial" w:cs="Arial" w:eastAsia="Arial" w:hAnsi="Arial"/>
          <w:sz w:val="13"/>
          <w:szCs w:val="13"/>
          <w:color w:val="auto"/>
        </w:rPr>
        <w:t>OHNSON</w:t>
      </w:r>
      <w:r>
        <w:rPr>
          <w:rFonts w:ascii="Arial" w:cs="Arial" w:eastAsia="Arial" w:hAnsi="Arial"/>
          <w:sz w:val="17"/>
          <w:szCs w:val="17"/>
          <w:color w:val="auto"/>
        </w:rPr>
        <w:t>, J</w:t>
      </w:r>
      <w:r>
        <w:rPr>
          <w:rFonts w:ascii="Arial" w:cs="Arial" w:eastAsia="Arial" w:hAnsi="Arial"/>
          <w:sz w:val="13"/>
          <w:szCs w:val="13"/>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Wesley E. Johnson, Jr.,</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Director</w:t>
      </w:r>
    </w:p>
    <w:p>
      <w:pPr>
        <w:spacing w:after="0" w:line="88"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ENNIS</w:t>
      </w:r>
      <w:r>
        <w:rPr>
          <w:rFonts w:ascii="Arial" w:cs="Arial" w:eastAsia="Arial" w:hAnsi="Arial"/>
          <w:sz w:val="17"/>
          <w:szCs w:val="17"/>
          <w:color w:val="auto"/>
        </w:rPr>
        <w:t xml:space="preserve"> S. M</w:t>
      </w:r>
      <w:r>
        <w:rPr>
          <w:rFonts w:ascii="Arial" w:cs="Arial" w:eastAsia="Arial" w:hAnsi="Arial"/>
          <w:sz w:val="13"/>
          <w:szCs w:val="13"/>
          <w:color w:val="auto"/>
        </w:rPr>
        <w:t>ETENY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Dennis S. Meteny,</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Director</w:t>
      </w:r>
    </w:p>
    <w:p>
      <w:pPr>
        <w:spacing w:after="0" w:line="88" w:lineRule="exact"/>
        <w:rPr>
          <w:sz w:val="20"/>
          <w:szCs w:val="20"/>
          <w:color w:val="auto"/>
        </w:rPr>
      </w:pPr>
    </w:p>
    <w:p>
      <w:pPr>
        <w:jc w:val="center"/>
        <w:ind w:right="110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2"/>
          <w:szCs w:val="12"/>
          <w:color w:val="auto"/>
        </w:rPr>
        <w:t>AN</w:t>
      </w:r>
      <w:r>
        <w:rPr>
          <w:rFonts w:ascii="Arial" w:cs="Arial" w:eastAsia="Arial" w:hAnsi="Arial"/>
          <w:sz w:val="16"/>
          <w:szCs w:val="16"/>
          <w:color w:val="auto"/>
        </w:rPr>
        <w:t xml:space="preserve"> S. R</w:t>
      </w:r>
      <w:r>
        <w:rPr>
          <w:rFonts w:ascii="Arial" w:cs="Arial" w:eastAsia="Arial" w:hAnsi="Arial"/>
          <w:sz w:val="12"/>
          <w:szCs w:val="12"/>
          <w:color w:val="auto"/>
        </w:rPr>
        <w: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Jan S. Reed,</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Director</w:t>
      </w:r>
    </w:p>
    <w:p>
      <w:pPr>
        <w:spacing w:after="0" w:line="88" w:lineRule="exact"/>
        <w:rPr>
          <w:sz w:val="20"/>
          <w:szCs w:val="20"/>
          <w:color w:val="auto"/>
        </w:rPr>
      </w:pPr>
    </w:p>
    <w:p>
      <w:pPr>
        <w:ind w:left="740"/>
        <w:spacing w:after="0"/>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w:t>
      </w:r>
      <w:r>
        <w:rPr>
          <w:rFonts w:ascii="Arial" w:cs="Arial" w:eastAsia="Arial" w:hAnsi="Arial"/>
          <w:sz w:val="13"/>
          <w:szCs w:val="13"/>
          <w:color w:val="auto"/>
        </w:rPr>
        <w:t>ILEEN</w:t>
      </w:r>
      <w:r>
        <w:rPr>
          <w:rFonts w:ascii="Arial" w:cs="Arial" w:eastAsia="Arial" w:hAnsi="Arial"/>
          <w:sz w:val="17"/>
          <w:szCs w:val="17"/>
          <w:color w:val="auto"/>
        </w:rPr>
        <w:t xml:space="preserve"> O. A</w:t>
      </w:r>
      <w:r>
        <w:rPr>
          <w:rFonts w:ascii="Arial" w:cs="Arial" w:eastAsia="Arial" w:hAnsi="Arial"/>
          <w:sz w:val="13"/>
          <w:szCs w:val="13"/>
          <w:color w:val="auto"/>
        </w:rPr>
        <w:t>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Eileen O. Auen,</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Director</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AREN</w:t>
      </w:r>
      <w:r>
        <w:rPr>
          <w:rFonts w:ascii="Arial" w:cs="Arial" w:eastAsia="Arial" w:hAnsi="Arial"/>
          <w:sz w:val="18"/>
          <w:szCs w:val="18"/>
          <w:color w:val="auto"/>
        </w:rPr>
        <w:t xml:space="preserve"> A. L</w:t>
      </w:r>
      <w:r>
        <w:rPr>
          <w:rFonts w:ascii="Arial" w:cs="Arial" w:eastAsia="Arial" w:hAnsi="Arial"/>
          <w:sz w:val="14"/>
          <w:szCs w:val="14"/>
          <w:color w:val="auto"/>
        </w:rPr>
        <w:t>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Karen A. Licitra,</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Director</w:t>
      </w:r>
    </w:p>
    <w:p>
      <w:pPr>
        <w:spacing w:after="0" w:line="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E. T</w:t>
      </w:r>
      <w:r>
        <w:rPr>
          <w:rFonts w:ascii="Arial" w:cs="Arial" w:eastAsia="Arial" w:hAnsi="Arial"/>
          <w:sz w:val="14"/>
          <w:szCs w:val="14"/>
          <w:color w:val="auto"/>
        </w:rPr>
        <w:t>ARNOFF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Michael E. Tarnoff,</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Director</w:t>
      </w:r>
    </w:p>
    <w:p>
      <w:pPr>
        <w:spacing w:after="0" w:line="8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LORINDA 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22225</wp:posOffset>
            </wp:positionV>
            <wp:extent cx="35331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533140" cy="8255"/>
                    </a:xfrm>
                    <a:prstGeom prst="rect">
                      <a:avLst/>
                    </a:prstGeom>
                    <a:noFill/>
                  </pic:spPr>
                </pic:pic>
              </a:graphicData>
            </a:graphic>
          </wp:anchor>
        </w:drawing>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Lorinda A. Burgess</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Director</w:t>
      </w:r>
    </w:p>
    <w:p>
      <w:pPr>
        <w:spacing w:after="0" w:line="200" w:lineRule="exact"/>
        <w:rPr>
          <w:sz w:val="20"/>
          <w:szCs w:val="20"/>
          <w:color w:val="auto"/>
        </w:rPr>
      </w:pPr>
    </w:p>
    <w:p>
      <w:pPr>
        <w:sectPr>
          <w:pgSz w:w="11900" w:h="16838" w:orient="portrait"/>
          <w:cols w:equalWidth="0" w:num="2">
            <w:col w:w="6200" w:space="720"/>
            <w:col w:w="4120"/>
          </w:cols>
          <w:pgMar w:left="320" w:top="88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040"/>
          </w:cols>
          <w:pgMar w:left="320" w:top="883" w:right="539" w:bottom="1440" w:gutter="0" w:footer="0" w:header="0"/>
          <w:type w:val="continuous"/>
        </w:sectPr>
      </w:pPr>
    </w:p>
    <w:bookmarkStart w:id="86" w:name="page87"/>
    <w:bookmarkEnd w:id="86"/>
    <w:p>
      <w:pPr>
        <w:spacing w:after="0" w:line="126"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AngioDynamics,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ind w:left="20"/>
              <w:spacing w:after="0"/>
              <w:rPr>
                <w:sz w:val="20"/>
                <w:szCs w:val="20"/>
                <w:color w:val="auto"/>
              </w:rPr>
            </w:pPr>
            <w:r>
              <w:rPr>
                <w:rFonts w:ascii="Arial" w:cs="Arial" w:eastAsia="Arial" w:hAnsi="Arial"/>
                <w:sz w:val="13"/>
                <w:szCs w:val="13"/>
                <w:b w:val="1"/>
                <w:bCs w:val="1"/>
                <w:color w:val="auto"/>
              </w:rPr>
              <w:t>Subsidiary</w:t>
            </w:r>
          </w:p>
        </w:tc>
        <w:tc>
          <w:tcPr>
            <w:tcW w:w="24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3"/>
                <w:szCs w:val="13"/>
                <w:b w:val="1"/>
                <w:bCs w:val="1"/>
                <w:color w:val="auto"/>
              </w:rPr>
              <w:t>State of Incorporation or Organization</w:t>
            </w:r>
          </w:p>
        </w:tc>
      </w:tr>
      <w:tr>
        <w:trPr>
          <w:trHeight w:val="94"/>
        </w:trPr>
        <w:tc>
          <w:tcPr>
            <w:tcW w:w="5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260" w:type="dxa"/>
            <w:vAlign w:val="bottom"/>
            <w:tcBorders>
              <w:bottom w:val="single" w:sz="8" w:color="auto"/>
            </w:tcBorders>
          </w:tcPr>
          <w:p>
            <w:pPr>
              <w:spacing w:after="0"/>
              <w:rPr>
                <w:sz w:val="8"/>
                <w:szCs w:val="8"/>
                <w:color w:val="auto"/>
              </w:rPr>
            </w:pPr>
          </w:p>
        </w:tc>
      </w:tr>
      <w:tr>
        <w:trPr>
          <w:trHeight w:val="220"/>
        </w:trPr>
        <w:tc>
          <w:tcPr>
            <w:tcW w:w="5740" w:type="dxa"/>
            <w:vAlign w:val="bottom"/>
          </w:tcPr>
          <w:p>
            <w:pPr>
              <w:ind w:left="20"/>
              <w:spacing w:after="0"/>
              <w:rPr>
                <w:sz w:val="20"/>
                <w:szCs w:val="20"/>
                <w:color w:val="auto"/>
              </w:rPr>
            </w:pPr>
            <w:r>
              <w:rPr>
                <w:rFonts w:ascii="Arial" w:cs="Arial" w:eastAsia="Arial" w:hAnsi="Arial"/>
                <w:sz w:val="18"/>
                <w:szCs w:val="18"/>
                <w:color w:val="auto"/>
              </w:rPr>
              <w:t>AngioDynamics UK Limited</w:t>
            </w:r>
          </w:p>
        </w:tc>
        <w:tc>
          <w:tcPr>
            <w:tcW w:w="2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0"/>
        </w:trPr>
        <w:tc>
          <w:tcPr>
            <w:tcW w:w="5740" w:type="dxa"/>
            <w:vAlign w:val="bottom"/>
          </w:tcPr>
          <w:p>
            <w:pPr>
              <w:ind w:left="20"/>
              <w:spacing w:after="0"/>
              <w:rPr>
                <w:sz w:val="20"/>
                <w:szCs w:val="20"/>
                <w:color w:val="auto"/>
              </w:rPr>
            </w:pPr>
            <w:r>
              <w:rPr>
                <w:rFonts w:ascii="Arial" w:cs="Arial" w:eastAsia="Arial" w:hAnsi="Arial"/>
                <w:sz w:val="18"/>
                <w:szCs w:val="18"/>
                <w:color w:val="auto"/>
              </w:rPr>
              <w:t>AngioDynamics Netherlands B. V.</w:t>
            </w:r>
          </w:p>
        </w:tc>
        <w:tc>
          <w:tcPr>
            <w:tcW w:w="2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7"/>
        </w:trPr>
        <w:tc>
          <w:tcPr>
            <w:tcW w:w="5740" w:type="dxa"/>
            <w:vAlign w:val="bottom"/>
          </w:tcPr>
          <w:p>
            <w:pPr>
              <w:ind w:left="20"/>
              <w:spacing w:after="0"/>
              <w:rPr>
                <w:sz w:val="20"/>
                <w:szCs w:val="20"/>
                <w:color w:val="auto"/>
              </w:rPr>
            </w:pPr>
            <w:r>
              <w:rPr>
                <w:rFonts w:ascii="Arial" w:cs="Arial" w:eastAsia="Arial" w:hAnsi="Arial"/>
                <w:sz w:val="18"/>
                <w:szCs w:val="18"/>
                <w:color w:val="auto"/>
              </w:rPr>
              <w:t>RITA Medical Systems, LLC</w:t>
            </w:r>
          </w:p>
        </w:tc>
        <w:tc>
          <w:tcPr>
            <w:tcW w:w="2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5740" w:type="dxa"/>
            <w:vAlign w:val="bottom"/>
          </w:tcPr>
          <w:p>
            <w:pPr>
              <w:ind w:left="20"/>
              <w:spacing w:after="0"/>
              <w:rPr>
                <w:sz w:val="20"/>
                <w:szCs w:val="20"/>
                <w:color w:val="auto"/>
              </w:rPr>
            </w:pPr>
            <w:r>
              <w:rPr>
                <w:rFonts w:ascii="Arial" w:cs="Arial" w:eastAsia="Arial" w:hAnsi="Arial"/>
                <w:sz w:val="18"/>
                <w:szCs w:val="18"/>
                <w:color w:val="auto"/>
              </w:rPr>
              <w:t>AngioDynamics France, SARL</w:t>
            </w:r>
          </w:p>
        </w:tc>
        <w:tc>
          <w:tcPr>
            <w:tcW w:w="2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41"/>
        </w:trPr>
        <w:tc>
          <w:tcPr>
            <w:tcW w:w="5740" w:type="dxa"/>
            <w:vAlign w:val="bottom"/>
          </w:tcPr>
          <w:p>
            <w:pPr>
              <w:ind w:left="20"/>
              <w:spacing w:after="0"/>
              <w:rPr>
                <w:sz w:val="20"/>
                <w:szCs w:val="20"/>
                <w:color w:val="auto"/>
              </w:rPr>
            </w:pPr>
            <w:r>
              <w:rPr>
                <w:rFonts w:ascii="Arial" w:cs="Arial" w:eastAsia="Arial" w:hAnsi="Arial"/>
                <w:sz w:val="18"/>
                <w:szCs w:val="18"/>
                <w:color w:val="auto"/>
              </w:rPr>
              <w:t>AngioDynamics Canada Inc.</w:t>
            </w:r>
          </w:p>
        </w:tc>
        <w:tc>
          <w:tcPr>
            <w:tcW w:w="2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7"/>
        </w:trPr>
        <w:tc>
          <w:tcPr>
            <w:tcW w:w="5740" w:type="dxa"/>
            <w:vAlign w:val="bottom"/>
          </w:tcPr>
          <w:p>
            <w:pPr>
              <w:ind w:left="20"/>
              <w:spacing w:after="0"/>
              <w:rPr>
                <w:sz w:val="20"/>
                <w:szCs w:val="20"/>
                <w:color w:val="auto"/>
              </w:rPr>
            </w:pPr>
            <w:r>
              <w:rPr>
                <w:rFonts w:ascii="Arial" w:cs="Arial" w:eastAsia="Arial" w:hAnsi="Arial"/>
                <w:sz w:val="18"/>
                <w:szCs w:val="18"/>
                <w:color w:val="auto"/>
              </w:rPr>
              <w:t>AngioDynamics Medical Brasil Servicos de Marketing Ltda.</w:t>
            </w:r>
          </w:p>
        </w:tc>
        <w:tc>
          <w:tcPr>
            <w:tcW w:w="2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27"/>
        </w:trPr>
        <w:tc>
          <w:tcPr>
            <w:tcW w:w="5740" w:type="dxa"/>
            <w:vAlign w:val="bottom"/>
          </w:tcPr>
          <w:p>
            <w:pPr>
              <w:ind w:left="20"/>
              <w:spacing w:after="0"/>
              <w:rPr>
                <w:sz w:val="20"/>
                <w:szCs w:val="20"/>
                <w:color w:val="auto"/>
              </w:rPr>
            </w:pPr>
            <w:r>
              <w:rPr>
                <w:rFonts w:ascii="Arial" w:cs="Arial" w:eastAsia="Arial" w:hAnsi="Arial"/>
                <w:sz w:val="18"/>
                <w:szCs w:val="18"/>
                <w:color w:val="auto"/>
              </w:rPr>
              <w:t>RadiaDyne LLC</w:t>
            </w:r>
          </w:p>
        </w:tc>
        <w:tc>
          <w:tcPr>
            <w:tcW w:w="2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41"/>
        </w:trPr>
        <w:tc>
          <w:tcPr>
            <w:tcW w:w="5740" w:type="dxa"/>
            <w:vAlign w:val="bottom"/>
          </w:tcPr>
          <w:p>
            <w:pPr>
              <w:ind w:left="20"/>
              <w:spacing w:after="0"/>
              <w:rPr>
                <w:sz w:val="20"/>
                <w:szCs w:val="20"/>
                <w:color w:val="auto"/>
              </w:rPr>
            </w:pPr>
            <w:r>
              <w:rPr>
                <w:rFonts w:ascii="Arial" w:cs="Arial" w:eastAsia="Arial" w:hAnsi="Arial"/>
                <w:sz w:val="18"/>
                <w:szCs w:val="18"/>
                <w:color w:val="auto"/>
              </w:rPr>
              <w:t>Eximo Medical, Ltd.</w:t>
            </w:r>
          </w:p>
        </w:tc>
        <w:tc>
          <w:tcPr>
            <w:tcW w:w="2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27"/>
        </w:trPr>
        <w:tc>
          <w:tcPr>
            <w:tcW w:w="5740" w:type="dxa"/>
            <w:vAlign w:val="bottom"/>
          </w:tcPr>
          <w:p>
            <w:pPr>
              <w:ind w:left="20"/>
              <w:spacing w:after="0"/>
              <w:rPr>
                <w:sz w:val="20"/>
                <w:szCs w:val="20"/>
                <w:color w:val="auto"/>
              </w:rPr>
            </w:pPr>
            <w:r>
              <w:rPr>
                <w:rFonts w:ascii="Arial" w:cs="Arial" w:eastAsia="Arial" w:hAnsi="Arial"/>
                <w:sz w:val="18"/>
                <w:szCs w:val="18"/>
                <w:color w:val="auto"/>
              </w:rPr>
              <w:t>AngioDynamics VA LLC</w:t>
            </w:r>
          </w:p>
        </w:tc>
        <w:tc>
          <w:tcPr>
            <w:tcW w:w="2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40" w:right="339" w:bottom="1440" w:gutter="0" w:footer="0" w:header="0"/>
        </w:sectPr>
      </w:pPr>
    </w:p>
    <w:bookmarkStart w:id="87" w:name="page88"/>
    <w:bookmarkEnd w:id="87"/>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consent to the incorporation by reference in Registration Statement Nos. 333-120057, 333-138456, 333-140627, 333-161355, 333-162844, 333-170619, 333-190640, 333-203441, 333-229814, 333-252209 and 333-26915</w:t>
      </w:r>
      <w:r>
        <w:rPr>
          <w:rFonts w:ascii="Arial" w:cs="Arial" w:eastAsia="Arial" w:hAnsi="Arial"/>
          <w:sz w:val="17"/>
          <w:szCs w:val="17"/>
          <w:color w:val="auto"/>
        </w:rPr>
        <w:t>1</w:t>
      </w:r>
      <w:r>
        <w:rPr>
          <w:rFonts w:ascii="Arial" w:cs="Arial" w:eastAsia="Arial" w:hAnsi="Arial"/>
          <w:sz w:val="16"/>
          <w:szCs w:val="16"/>
          <w:color w:val="auto"/>
        </w:rPr>
        <w:t xml:space="preserve"> on Form S-8 of our reports dated August 3, 2023, relating to the financial statements of</w:t>
      </w:r>
    </w:p>
    <w:p>
      <w:pPr>
        <w:spacing w:after="0" w:line="1"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AngioDynamics Inc. and the effectiveness of AngioDynamics Inc.'s internal control over financial reporting appearing in this Annual Report on Form 10-K for the year ended May 31, 2023.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August 3, 2023</w:t>
      </w:r>
    </w:p>
    <w:p>
      <w:pPr>
        <w:sectPr>
          <w:pgSz w:w="11900" w:h="16838" w:orient="portrait"/>
          <w:cols w:equalWidth="0" w:num="1">
            <w:col w:w="11240"/>
          </w:cols>
          <w:pgMar w:left="320" w:top="144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74" w:lineRule="exact"/>
        <w:rPr>
          <w:sz w:val="20"/>
          <w:szCs w:val="20"/>
          <w:color w:val="auto"/>
        </w:rPr>
      </w:pPr>
    </w:p>
    <w:p>
      <w:pPr>
        <w:ind w:left="660" w:hanging="595"/>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381" w:lineRule="exact"/>
        <w:rPr>
          <w:rFonts w:ascii="Arial" w:cs="Arial" w:eastAsia="Arial" w:hAnsi="Arial"/>
          <w:sz w:val="18"/>
          <w:szCs w:val="18"/>
          <w:color w:val="auto"/>
        </w:rPr>
      </w:pPr>
    </w:p>
    <w:p>
      <w:pPr>
        <w:jc w:val="both"/>
        <w:ind w:left="660" w:right="220" w:hanging="595"/>
        <w:spacing w:after="0" w:line="22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1" w:lineRule="exact"/>
        <w:rPr>
          <w:rFonts w:ascii="Arial" w:cs="Arial" w:eastAsia="Arial" w:hAnsi="Arial"/>
          <w:sz w:val="18"/>
          <w:szCs w:val="18"/>
          <w:color w:val="auto"/>
        </w:rPr>
      </w:pPr>
    </w:p>
    <w:p>
      <w:pPr>
        <w:ind w:left="660" w:right="180" w:hanging="595"/>
        <w:spacing w:after="0" w:line="26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9" w:lineRule="exact"/>
        <w:rPr>
          <w:rFonts w:ascii="Arial" w:cs="Arial" w:eastAsia="Arial" w:hAnsi="Arial"/>
          <w:sz w:val="17"/>
          <w:szCs w:val="17"/>
          <w:color w:val="auto"/>
        </w:rPr>
      </w:pPr>
    </w:p>
    <w:p>
      <w:pPr>
        <w:ind w:left="660" w:right="220" w:hanging="595"/>
        <w:spacing w:after="0" w:line="22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sz w:val="20"/>
          <w:szCs w:val="20"/>
          <w:color w:val="auto"/>
        </w:rPr>
      </w:pPr>
    </w:p>
    <w:p>
      <w:pPr>
        <w:ind w:left="800" w:right="320" w:hanging="793"/>
        <w:spacing w:after="0" w:line="299"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800" w:right="20" w:hanging="793"/>
        <w:spacing w:after="0" w:line="294"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00" w:right="800" w:hanging="793"/>
        <w:spacing w:after="0" w:line="388" w:lineRule="auto"/>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800" w:right="40" w:hanging="793"/>
        <w:spacing w:after="0" w:line="306"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5" w:lineRule="exact"/>
        <w:rPr>
          <w:sz w:val="20"/>
          <w:szCs w:val="20"/>
          <w:color w:val="auto"/>
        </w:rPr>
      </w:pPr>
    </w:p>
    <w:p>
      <w:pPr>
        <w:ind w:left="660" w:right="360" w:hanging="595"/>
        <w:spacing w:after="0" w:line="30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800" w:right="220" w:hanging="793"/>
        <w:spacing w:after="0" w:line="311" w:lineRule="auto"/>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800" w:right="180" w:hanging="793"/>
        <w:spacing w:after="0" w:line="317"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253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James C. Clemmer, President,</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1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74" w:lineRule="exact"/>
        <w:rPr>
          <w:sz w:val="20"/>
          <w:szCs w:val="20"/>
          <w:color w:val="auto"/>
        </w:rPr>
      </w:pPr>
    </w:p>
    <w:p>
      <w:pPr>
        <w:ind w:left="660" w:hanging="595"/>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381" w:lineRule="exact"/>
        <w:rPr>
          <w:rFonts w:ascii="Arial" w:cs="Arial" w:eastAsia="Arial" w:hAnsi="Arial"/>
          <w:sz w:val="18"/>
          <w:szCs w:val="18"/>
          <w:color w:val="auto"/>
        </w:rPr>
      </w:pPr>
    </w:p>
    <w:p>
      <w:pPr>
        <w:jc w:val="both"/>
        <w:ind w:left="660" w:right="220" w:hanging="595"/>
        <w:spacing w:after="0" w:line="22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1" w:lineRule="exact"/>
        <w:rPr>
          <w:rFonts w:ascii="Arial" w:cs="Arial" w:eastAsia="Arial" w:hAnsi="Arial"/>
          <w:sz w:val="18"/>
          <w:szCs w:val="18"/>
          <w:color w:val="auto"/>
        </w:rPr>
      </w:pPr>
    </w:p>
    <w:p>
      <w:pPr>
        <w:ind w:left="660" w:right="180" w:hanging="595"/>
        <w:spacing w:after="0" w:line="26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9" w:lineRule="exact"/>
        <w:rPr>
          <w:rFonts w:ascii="Arial" w:cs="Arial" w:eastAsia="Arial" w:hAnsi="Arial"/>
          <w:sz w:val="17"/>
          <w:szCs w:val="17"/>
          <w:color w:val="auto"/>
        </w:rPr>
      </w:pPr>
    </w:p>
    <w:p>
      <w:pPr>
        <w:ind w:left="660" w:right="220" w:hanging="595"/>
        <w:spacing w:after="0" w:line="22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sz w:val="20"/>
          <w:szCs w:val="20"/>
          <w:color w:val="auto"/>
        </w:rPr>
      </w:pPr>
    </w:p>
    <w:p>
      <w:pPr>
        <w:ind w:left="800" w:right="320" w:hanging="793"/>
        <w:spacing w:after="0" w:line="299"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800" w:right="20" w:hanging="793"/>
        <w:spacing w:after="0" w:line="294"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00" w:right="800" w:hanging="793"/>
        <w:spacing w:after="0" w:line="388" w:lineRule="auto"/>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800" w:right="40" w:hanging="793"/>
        <w:spacing w:after="0" w:line="30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5" w:lineRule="exact"/>
        <w:rPr>
          <w:sz w:val="20"/>
          <w:szCs w:val="20"/>
          <w:color w:val="auto"/>
        </w:rPr>
      </w:pPr>
    </w:p>
    <w:p>
      <w:pPr>
        <w:ind w:left="660" w:right="360" w:hanging="595"/>
        <w:spacing w:after="0" w:line="300"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800" w:right="220" w:hanging="793"/>
        <w:spacing w:after="0" w:line="311"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800" w:right="180" w:hanging="793"/>
        <w:spacing w:after="0" w:line="31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082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08279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Stephen A. Trowbridge, Executive Vice President,</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1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 TO TITLE 18,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SECTION 1350, AS ADOPTED PURSUANT TO</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221" w:lineRule="exact"/>
        <w:rPr>
          <w:sz w:val="20"/>
          <w:szCs w:val="20"/>
          <w:color w:val="auto"/>
        </w:rPr>
      </w:pPr>
    </w:p>
    <w:p>
      <w:pPr>
        <w:ind w:left="420" w:right="600" w:hanging="355"/>
        <w:spacing w:after="0" w:line="232"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2023 (the “Report”) fully complies with the requirements of Section 13(a) or 15(d) of the Securities Exchange Act of 1934 (15 U.S.C. 78m or 78o(d)); and</w:t>
      </w:r>
    </w:p>
    <w:p>
      <w:pPr>
        <w:spacing w:after="0" w:line="121" w:lineRule="exact"/>
        <w:rPr>
          <w:rFonts w:ascii="Arial" w:cs="Arial" w:eastAsia="Arial" w:hAnsi="Arial"/>
          <w:sz w:val="18"/>
          <w:szCs w:val="18"/>
          <w:color w:val="auto"/>
        </w:rPr>
      </w:pPr>
    </w:p>
    <w:p>
      <w:pPr>
        <w:ind w:left="420" w:hanging="355"/>
        <w:spacing w:after="0"/>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253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James C. Clemmer, President,</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1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 TO TITLE 18,</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SECTION 1350, AS ADOPTED PURSUANT TO</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8"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auto"/>
        </w:rPr>
        <w:t>I, Stephen A. Trowbridge, Chief Financial Officer of ANGIODYNAMICS, Inc. (the “Company”), certify, pursuant to Section 906 of the Sarbanes-Oxley Act of 2002, 18 U.S.C. Section 1350, that, to the best of my knowledge:</w:t>
      </w:r>
    </w:p>
    <w:p>
      <w:pPr>
        <w:spacing w:after="0" w:line="1" w:lineRule="exact"/>
        <w:rPr>
          <w:sz w:val="20"/>
          <w:szCs w:val="20"/>
          <w:color w:val="auto"/>
        </w:rPr>
      </w:pPr>
    </w:p>
    <w:p>
      <w:pPr>
        <w:ind w:left="420" w:right="600" w:hanging="355"/>
        <w:spacing w:after="0" w:line="232"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2023 (the “Report”) fully complies with the requirements of Section 13(a) or 15(d) of the Securities Exchange Act of 1934 (15 U.S.C. 78m or 78o(d)); and</w:t>
      </w:r>
    </w:p>
    <w:p>
      <w:pPr>
        <w:spacing w:after="0" w:line="362" w:lineRule="exact"/>
        <w:rPr>
          <w:rFonts w:ascii="Arial" w:cs="Arial" w:eastAsia="Arial" w:hAnsi="Arial"/>
          <w:sz w:val="18"/>
          <w:szCs w:val="18"/>
          <w:color w:val="auto"/>
        </w:rPr>
      </w:pPr>
    </w:p>
    <w:p>
      <w:pPr>
        <w:ind w:right="520" w:firstLine="65"/>
        <w:spacing w:after="0" w:line="728" w:lineRule="auto"/>
        <w:tabs>
          <w:tab w:leader="none" w:pos="4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3, 2023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253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Stephen A. Trowbridge, Executive Vice President,</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lvl w:ilvl="1">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lvl w:ilvl="1">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8"/>
    </w:lvl>
  </w:abstractNum>
  <w:abstractNum w:abstractNumId="39">
    <w:nsid w:val="38437FDB"/>
    <w:multiLevelType w:val="hybridMultilevel"/>
    <w:lvl w:ilvl="0">
      <w:lvlJc w:val="left"/>
      <w:lvlText w:val="*"/>
      <w:numFmt w:val="bullet"/>
      <w:start w:val="1"/>
    </w:lvl>
    <w:lvl w:ilvl="1">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9"/>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21"/>
    </w:lvl>
  </w:abstractNum>
  <w:abstractNum w:abstractNumId="44">
    <w:nsid w:val="749ABB43"/>
    <w:multiLevelType w:val="hybridMultilevel"/>
    <w:lvl w:ilvl="0">
      <w:lvlJc w:val="left"/>
      <w:lvlText w:val="%1"/>
      <w:numFmt w:val="decimal"/>
      <w:start w:val="23"/>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7"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07" Type="http://schemas.openxmlformats.org/officeDocument/2006/relationships/hyperlink" Target="http://www.sec.gov/Archives/edgar/data/1275187/000091412112000534/an26859490-ex2_1.htm" TargetMode="External"/><Relationship Id="rId108" Type="http://schemas.openxmlformats.org/officeDocument/2006/relationships/hyperlink" Target="http://www.sec.gov/Archives/edgar/data/1275187/000091412119000934/an53548547-2_1.htm" TargetMode="External"/><Relationship Id="rId109" Type="http://schemas.openxmlformats.org/officeDocument/2006/relationships/hyperlink" Target="https://www.sec.gov/Archives/edgar/data/1275187/000114036123029854/brhc20054314_ex2-1.htm" TargetMode="External"/><Relationship Id="rId110" Type="http://schemas.openxmlformats.org/officeDocument/2006/relationships/hyperlink" Target="http://www.sec.gov/Archives/edgar/data/1275187/000119312505198180/dex31.htm" TargetMode="External"/><Relationship Id="rId111" Type="http://schemas.openxmlformats.org/officeDocument/2006/relationships/hyperlink" Target="http://www.sec.gov/Archives/edgar/data/1275187/000127518715000018/ex31253115.htm" TargetMode="External"/><Relationship Id="rId112" Type="http://schemas.openxmlformats.org/officeDocument/2006/relationships/hyperlink" Target="http://www.sec.gov/Archives/edgar/data/1275187/000091412115000548/an33460072-ex3_1.htm" TargetMode="External"/><Relationship Id="rId113" Type="http://schemas.openxmlformats.org/officeDocument/2006/relationships/hyperlink" Target="http://www.sec.gov/Archives/edgar/data/1275187/000127518718000016/angoproxy-53118.htm" TargetMode="External"/><Relationship Id="rId114" Type="http://schemas.openxmlformats.org/officeDocument/2006/relationships/hyperlink" Target="http://www.sec.gov/Archives/edgar/data/1275187/000127518717000034/a83117-exx101.htm" TargetMode="External"/><Relationship Id="rId115" Type="http://schemas.openxmlformats.org/officeDocument/2006/relationships/hyperlink" Target="http://www.sec.gov/Archives/edgar/data/1275187/000127518718000011/ex1017totalshareholderretu.htm" TargetMode="External"/><Relationship Id="rId116" Type="http://schemas.openxmlformats.org/officeDocument/2006/relationships/hyperlink" Target="https://www.sec.gov/Archives/edgar/data/1275187/000127518720000005/psuawardagreement.htm" TargetMode="External"/><Relationship Id="rId117" Type="http://schemas.openxmlformats.org/officeDocument/2006/relationships/hyperlink" Target="https://www.sec.gov/Archives/edgar/data/1275187/000127518720000028/angoproxy-53120.htm" TargetMode="External"/><Relationship Id="rId118" Type="http://schemas.openxmlformats.org/officeDocument/2006/relationships/hyperlink" Target="http://www.sec.gov/Archives/edgar/data/1275187/000119312504169832/dex101.htm" TargetMode="External"/><Relationship Id="rId119" Type="http://schemas.openxmlformats.org/officeDocument/2006/relationships/hyperlink" Target="http://www.sec.gov/Archives/edgar/data/1275187/000127518718000011/ex1031stockoptionagreement.htm" TargetMode="External"/><Relationship Id="rId120" Type="http://schemas.openxmlformats.org/officeDocument/2006/relationships/hyperlink" Target="http://www.sec.gov/Archives/edgar/data/1275187/000127518716000037/ex102-2016psuagreement.htm" TargetMode="External"/><Relationship Id="rId121" Type="http://schemas.openxmlformats.org/officeDocument/2006/relationships/hyperlink" Target="http://www.sec.gov/Archives/edgar/data/1275187/000127518717000034/a83117-exx102.htm" TargetMode="External"/><Relationship Id="rId122" Type="http://schemas.openxmlformats.org/officeDocument/2006/relationships/hyperlink" Target="http://www.sec.gov/Archives/edgar/data/1275187/000127518718000011/ex1045performanceunitaward.htm" TargetMode="External"/><Relationship Id="rId123" Type="http://schemas.openxmlformats.org/officeDocument/2006/relationships/hyperlink" Target="https://www.sec.gov/ix?doc=/Archives/edgar/data/1275187/000127518721000005/ango-20201130.htm" TargetMode="External"/><Relationship Id="rId124" Type="http://schemas.openxmlformats.org/officeDocument/2006/relationships/hyperlink" Target="https://www.sec.gov/ix?doc=/Archives/edgar/data/0001275187/000127518721000023/ango-20210831.htm#ic69966880990446bb6eee699ec835b1f_118" TargetMode="External"/><Relationship Id="rId125" Type="http://schemas.openxmlformats.org/officeDocument/2006/relationships/hyperlink" Target="http://www.sec.gov/Archives/edgar/data/1275187/000116923205002637/d63831_ex10-3.htm" TargetMode="External"/><Relationship Id="rId126" Type="http://schemas.openxmlformats.org/officeDocument/2006/relationships/hyperlink" Target="http://www.sec.gov/Archives/edgar/data/1056421/0001012870-00-002503-index.html" TargetMode="External"/><Relationship Id="rId128" Type="http://schemas.openxmlformats.org/officeDocument/2006/relationships/hyperlink" Target="http://www.sec.gov/Archives/edgar/data/1052958/0000950144-98-001576-index.html" TargetMode="External"/><Relationship Id="rId129" Type="http://schemas.openxmlformats.org/officeDocument/2006/relationships/hyperlink" Target="http://www.sec.gov/Archives/edgar/data/1056421/000101287000003359/0001012870-00-003359-index.htm" TargetMode="External"/><Relationship Id="rId130" Type="http://schemas.openxmlformats.org/officeDocument/2006/relationships/hyperlink" Target="http://www.sec.gov/Archives/edgar/data/1056421/000114420405021015/v021182_ex99-2.htm" TargetMode="External"/><Relationship Id="rId131" Type="http://schemas.openxmlformats.org/officeDocument/2006/relationships/hyperlink" Target="http://www.sec.gov/Archives/edgar/data/1056421/000114420405021015/v021182_ex99-1.htm" TargetMode="External"/><Relationship Id="rId132" Type="http://schemas.openxmlformats.org/officeDocument/2006/relationships/hyperlink" Target="http://www.sec.gov/Archives/edgar/data/1275187/000116923206002370/d68040_ex10-1.htm" TargetMode="External"/><Relationship Id="rId133" Type="http://schemas.openxmlformats.org/officeDocument/2006/relationships/hyperlink" Target="http://www.sec.gov/Archives/edgar/data/1275187/000091412116001069/an35192888-ex10_1.htm" TargetMode="External"/><Relationship Id="rId134" Type="http://schemas.openxmlformats.org/officeDocument/2006/relationships/hyperlink" Target="http://www.sec.gov/Archives/edgar/data/1275187/000091412116001069/an35192888-ex10_2.htm" TargetMode="External"/><Relationship Id="rId135" Type="http://schemas.openxmlformats.org/officeDocument/2006/relationships/hyperlink" Target="https://www.sec.gov/Archives/edgar/data/1275187/000127518720000024/formofseveranceagreeme.htm" TargetMode="External"/><Relationship Id="rId136" Type="http://schemas.openxmlformats.org/officeDocument/2006/relationships/hyperlink" Target="http://www.sec.gov/Archives/edgar/data/1275187/000127518715000011/ex101353114a.htm" TargetMode="External"/><Relationship Id="rId137" Type="http://schemas.openxmlformats.org/officeDocument/2006/relationships/hyperlink" Target="http://www.sec.gov/Archives/edgar/data/1275187/000091412116001069/an35192888-ex10_3.htm" TargetMode="External"/><Relationship Id="rId138" Type="http://schemas.openxmlformats.org/officeDocument/2006/relationships/hyperlink" Target="http://www.sec.gov/Archives/edgar/data/1275187/000091412116001069/an35192888-ex10_4.htm" TargetMode="External"/><Relationship Id="rId139" Type="http://schemas.openxmlformats.org/officeDocument/2006/relationships/hyperlink" Target="http://www.sec.gov/Archives/edgar/data/1275187/000091412116001069/an35192888-ex10_5.htm" TargetMode="External"/><Relationship Id="rId140" Type="http://schemas.openxmlformats.org/officeDocument/2006/relationships/hyperlink" Target="http://www.sec.gov/Archives/edgar/data/1275187/000091412116001069/an35192888-ex10_6.htm" TargetMode="External"/><Relationship Id="rId141" Type="http://schemas.openxmlformats.org/officeDocument/2006/relationships/hyperlink" Target="http://www.sec.gov/Archives/edgar/data/1275187/000091412116001150/an35296029-ex10_1.htm" TargetMode="External"/><Relationship Id="rId142" Type="http://schemas.openxmlformats.org/officeDocument/2006/relationships/hyperlink" Target="https://www.sec.gov/ix?doc=/Archives/edgar/data/1275187/000091412121000581/an55676910-8ki.htm" TargetMode="External"/><Relationship Id="rId143" Type="http://schemas.openxmlformats.org/officeDocument/2006/relationships/hyperlink" Target="http://www.sec.gov/Archives/edgar/data/1275187/000116923206002370/d68040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2023-08-03T16:26:55Z</dcterms:created>
  <dcterms:modified xsi:type="dcterms:W3CDTF">2023-08-03T16:26:55Z</dcterms:modified>
</cp:coreProperties>
</file>