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165735</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190500</wp:posOffset>
            </wp:positionV>
            <wp:extent cx="314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November 30, 2015</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378"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374650</wp:posOffset>
            </wp:positionV>
            <wp:extent cx="3147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AngioDynamics,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167640</wp:posOffset>
            </wp:positionV>
            <wp:extent cx="3147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tbl>
      <w:tblPr>
        <w:tblLayout w:type="fixed"/>
        <w:tblInd w:w="1500" w:type="dxa"/>
        <w:tblCellMar>
          <w:top w:w="0" w:type="dxa"/>
          <w:left w:w="0" w:type="dxa"/>
          <w:bottom w:w="0" w:type="dxa"/>
          <w:right w:w="0" w:type="dxa"/>
        </w:tblCellMar>
      </w:tblPr>
      <w:tr>
        <w:trPr>
          <w:trHeight w:val="234"/>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41"/>
              <w:spacing w:after="0"/>
              <w:rPr>
                <w:sz w:val="20"/>
                <w:szCs w:val="20"/>
                <w:color w:val="auto"/>
              </w:rPr>
            </w:pPr>
            <w:r>
              <w:rPr>
                <w:rFonts w:ascii="Arial" w:cs="Arial" w:eastAsia="Arial" w:hAnsi="Arial"/>
                <w:sz w:val="18"/>
                <w:szCs w:val="18"/>
                <w:b w:val="1"/>
                <w:bCs w:val="1"/>
                <w:color w:val="auto"/>
              </w:rPr>
              <w:t>11-3146460</w:t>
            </w:r>
          </w:p>
        </w:tc>
      </w:tr>
      <w:tr>
        <w:trPr>
          <w:trHeight w:val="180"/>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2"/>
              </w:rPr>
              <w:t>(State or other jurisdiction of</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3"/>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2"/>
              </w:rPr>
              <w:t>14 Plaza Drive Latham, New York</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12110</w:t>
            </w:r>
          </w:p>
        </w:tc>
      </w:tr>
      <w:tr>
        <w:trPr>
          <w:trHeight w:val="218"/>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41"/>
              <w:spacing w:after="0"/>
              <w:rPr>
                <w:sz w:val="20"/>
                <w:szCs w:val="20"/>
                <w:color w:val="auto"/>
              </w:rPr>
            </w:pPr>
            <w:r>
              <w:rPr>
                <w:rFonts w:ascii="Arial" w:cs="Arial" w:eastAsia="Arial" w:hAnsi="Arial"/>
                <w:sz w:val="14"/>
                <w:szCs w:val="14"/>
                <w:b w:val="1"/>
                <w:bCs w:val="1"/>
                <w:color w:val="auto"/>
                <w:w w:val="95"/>
              </w:rPr>
              <w:t>(Zip Code)</w:t>
            </w:r>
          </w:p>
        </w:tc>
      </w:tr>
    </w:tbl>
    <w:p>
      <w:pPr>
        <w:spacing w:after="0" w:line="27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(518) 795-1400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4140" w:type="dxa"/>
            <w:vAlign w:val="bottom"/>
          </w:tcPr>
          <w:p>
            <w:pPr>
              <w:jc w:val="center"/>
              <w:ind w:right="1536"/>
              <w:spacing w:after="0"/>
              <w:rPr>
                <w:sz w:val="20"/>
                <w:szCs w:val="20"/>
                <w:color w:val="auto"/>
              </w:rPr>
            </w:pPr>
            <w:r>
              <w:rPr>
                <w:rFonts w:ascii="Arial" w:cs="Arial" w:eastAsia="Arial" w:hAnsi="Arial"/>
                <w:sz w:val="14"/>
                <w:szCs w:val="14"/>
                <w:b w:val="1"/>
                <w:bCs w:val="1"/>
                <w:color w:val="auto"/>
                <w:w w:val="89"/>
              </w:rPr>
              <w:t>Title of each class</w:t>
            </w:r>
          </w:p>
        </w:tc>
        <w:tc>
          <w:tcPr>
            <w:tcW w:w="4320" w:type="dxa"/>
            <w:vAlign w:val="bottom"/>
          </w:tcPr>
          <w:p>
            <w:pPr>
              <w:jc w:val="center"/>
              <w:ind w:left="155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5"/>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90"/>
              </w:rPr>
              <w:t>Common stock, par value $.01</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70"/>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88"/>
              </w:rPr>
              <w:t>Preferred Stock Purchase Rights</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(Title of Class)</w:t>
      </w:r>
    </w:p>
    <w:p>
      <w:pPr>
        <w:sectPr>
          <w:pgSz w:w="11900" w:h="16838" w:orient="portrait"/>
          <w:cols w:equalWidth="0" w:num="1">
            <w:col w:w="11240"/>
          </w:cols>
          <w:pgMar w:left="240" w:top="229" w:right="419" w:bottom="1440" w:gutter="0" w:footer="0" w:header="0"/>
        </w:sectPr>
      </w:pPr>
    </w:p>
    <w:bookmarkStart w:id="1" w:name="page2"/>
    <w:bookmarkEnd w:id="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344170</wp:posOffset>
            </wp:positionV>
            <wp:extent cx="3147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193" w:lineRule="exact"/>
        <w:rPr>
          <w:sz w:val="20"/>
          <w:szCs w:val="20"/>
          <w:color w:val="auto"/>
        </w:rPr>
      </w:pPr>
    </w:p>
    <w:p>
      <w:pPr>
        <w:sectPr>
          <w:pgSz w:w="11900" w:h="16838" w:orient="portrait"/>
          <w:cols w:equalWidth="0" w:num="4">
            <w:col w:w="8900" w:space="160"/>
            <w:col w:w="260" w:space="100"/>
            <w:col w:w="160" w:space="180"/>
            <w:col w:w="1660"/>
          </w:cols>
          <w:pgMar w:left="240" w:top="121" w:right="239" w:bottom="1440" w:gutter="0" w:footer="0" w:header="0"/>
          <w:type w:val="continuous"/>
        </w:sectPr>
      </w:pP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4">
            <w:col w:w="8460" w:space="180"/>
            <w:col w:w="260" w:space="100"/>
            <w:col w:w="160" w:space="180"/>
            <w:col w:w="2080"/>
          </w:cols>
          <w:pgMar w:left="240" w:top="121" w:right="239" w:bottom="1440" w:gutter="0" w:footer="0" w:header="0"/>
          <w:type w:val="continuous"/>
        </w:sectPr>
      </w:pP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0"/>
          <w:szCs w:val="20"/>
          <w:color w:val="auto"/>
        </w:rPr>
      </w:pPr>
    </w:p>
    <w:p>
      <w:pPr>
        <w:ind w:right="2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2" w:lineRule="exact"/>
        <w:rPr>
          <w:sz w:val="20"/>
          <w:szCs w:val="20"/>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1" w:right="239" w:bottom="1440" w:gutter="0" w:footer="0" w:header="0"/>
          <w:type w:val="continuous"/>
        </w:sectPr>
      </w:pP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2" w:lineRule="exact"/>
        <w:rPr>
          <w:sz w:val="20"/>
          <w:szCs w:val="20"/>
          <w:color w:val="auto"/>
        </w:rPr>
      </w:pPr>
    </w:p>
    <w:p>
      <w:pPr>
        <w:sectPr>
          <w:pgSz w:w="11900" w:h="16838" w:orient="portrait"/>
          <w:cols w:equalWidth="0" w:num="4">
            <w:col w:w="1660" w:space="560"/>
            <w:col w:w="5440" w:space="720"/>
            <w:col w:w="2000" w:space="720"/>
            <w:col w:w="320"/>
          </w:cols>
          <w:pgMar w:left="240" w:top="121" w:right="239" w:bottom="1440" w:gutter="0" w:footer="0" w:header="0"/>
          <w:type w:val="continuous"/>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0"/>
          <w:szCs w:val="20"/>
          <w:color w:val="auto"/>
        </w:rPr>
      </w:pPr>
    </w:p>
    <w:p>
      <w:pPr>
        <w:sectPr>
          <w:pgSz w:w="11900" w:h="16838" w:orient="portrait"/>
          <w:cols w:equalWidth="0" w:num="4">
            <w:col w:w="1560" w:space="660"/>
            <w:col w:w="5440" w:space="720"/>
            <w:col w:w="2000" w:space="720"/>
            <w:col w:w="320"/>
          </w:cols>
          <w:pgMar w:left="240" w:top="121" w:right="239" w:bottom="1440" w:gutter="0" w:footer="0" w:header="0"/>
          <w:type w:val="continuous"/>
        </w:sectPr>
      </w:pPr>
    </w:p>
    <w:p>
      <w:pPr>
        <w:spacing w:after="0" w:line="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4">
            <w:col w:w="8620" w:space="180"/>
            <w:col w:w="260" w:space="80"/>
            <w:col w:w="160" w:space="180"/>
            <w:col w:w="1940"/>
          </w:cols>
          <w:pgMar w:left="240" w:top="121" w:right="23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2840" w:type="dxa"/>
            <w:vAlign w:val="bottom"/>
          </w:tcPr>
          <w:p>
            <w:pPr>
              <w:spacing w:after="0"/>
              <w:rPr>
                <w:sz w:val="14"/>
                <w:szCs w:val="14"/>
                <w:color w:val="auto"/>
              </w:rPr>
            </w:pPr>
          </w:p>
        </w:tc>
        <w:tc>
          <w:tcPr>
            <w:tcW w:w="560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92"/>
              </w:rPr>
              <w:t>Outstanding as of January 4, 2016</w:t>
            </w:r>
          </w:p>
        </w:tc>
      </w:tr>
      <w:tr>
        <w:trPr>
          <w:trHeight w:val="20"/>
        </w:trPr>
        <w:tc>
          <w:tcPr>
            <w:tcW w:w="2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64"/>
        </w:trPr>
        <w:tc>
          <w:tcPr>
            <w:tcW w:w="58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Common Stock, par value $.01</w:t>
            </w:r>
          </w:p>
        </w:tc>
        <w:tc>
          <w:tcPr>
            <w:tcW w:w="39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36,285,557</w:t>
            </w:r>
          </w:p>
        </w:tc>
        <w:tc>
          <w:tcPr>
            <w:tcW w:w="1680" w:type="dxa"/>
            <w:vAlign w:val="bottom"/>
          </w:tcPr>
          <w:p>
            <w:pPr>
              <w:spacing w:after="0"/>
              <w:rPr>
                <w:sz w:val="22"/>
                <w:szCs w:val="22"/>
                <w:color w:val="auto"/>
              </w:rPr>
            </w:pPr>
          </w:p>
        </w:tc>
      </w:tr>
      <w:tr>
        <w:trPr>
          <w:trHeight w:val="459"/>
        </w:trPr>
        <w:tc>
          <w:tcPr>
            <w:tcW w:w="2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115"/>
        </w:trPr>
        <w:tc>
          <w:tcPr>
            <w:tcW w:w="2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80" w:type="dxa"/>
            <w:vAlign w:val="bottom"/>
            <w:tcBorders>
              <w:bottom w:val="single" w:sz="8" w:color="0000EE"/>
            </w:tcBorders>
            <w:gridSpan w:val="9"/>
          </w:tcPr>
          <w:p>
            <w:pPr>
              <w:jc w:val="center"/>
              <w:spacing w:after="0" w:line="189" w:lineRule="exact"/>
              <w:rPr>
                <w:rFonts w:ascii="Arial" w:cs="Arial" w:eastAsia="Arial" w:hAnsi="Arial"/>
                <w:sz w:val="18"/>
                <w:szCs w:val="18"/>
                <w:b w:val="1"/>
                <w:bCs w:val="1"/>
                <w:color w:val="0000EE"/>
                <w:w w:val="95"/>
              </w:rPr>
            </w:pPr>
            <w:hyperlink w:anchor="page3">
              <w:r>
                <w:rPr>
                  <w:rFonts w:ascii="Arial" w:cs="Arial" w:eastAsia="Arial" w:hAnsi="Arial"/>
                  <w:sz w:val="18"/>
                  <w:szCs w:val="18"/>
                  <w:b w:val="1"/>
                  <w:bCs w:val="1"/>
                  <w:color w:val="0000EE"/>
                  <w:w w:val="95"/>
                </w:rPr>
                <w:t>Part I: Financial Information</w:t>
              </w:r>
            </w:hyperlink>
          </w:p>
        </w:tc>
        <w:tc>
          <w:tcPr>
            <w:tcW w:w="3600" w:type="dxa"/>
            <w:vAlign w:val="bottom"/>
            <w:gridSpan w:val="3"/>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440" w:type="dxa"/>
            <w:vAlign w:val="bottom"/>
            <w:gridSpan w:val="2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Income (Loss)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59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Condensed Statements of Comprehensive Income (Loss) (unaudited)</w:t>
              </w:r>
            </w:hyperlink>
          </w:p>
        </w:tc>
        <w:tc>
          <w:tcPr>
            <w:tcW w:w="348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Balance Sheets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Statements of Cash Flows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52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Condensed Statement of Stockholders’ Equity (unaudited)</w:t>
              </w:r>
            </w:hyperlink>
          </w:p>
        </w:tc>
        <w:tc>
          <w:tcPr>
            <w:tcW w:w="4240" w:type="dxa"/>
            <w:vAlign w:val="bottom"/>
            <w:gridSpan w:val="5"/>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Condensed Financial Statements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20"/>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Quantitative and Qualitative Disclosures About Market Risk</w:t>
              </w:r>
            </w:hyperlink>
          </w:p>
        </w:tc>
        <w:tc>
          <w:tcPr>
            <w:tcW w:w="262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Controls and Procedures</w:t>
              </w:r>
            </w:hyperlink>
          </w:p>
        </w:tc>
        <w:tc>
          <w:tcPr>
            <w:tcW w:w="4780" w:type="dxa"/>
            <w:vAlign w:val="bottom"/>
            <w:gridSpan w:val="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7"/>
              </w:rPr>
            </w:pPr>
            <w:hyperlink w:anchor="page30">
              <w:r>
                <w:rPr>
                  <w:rFonts w:ascii="Arial" w:cs="Arial" w:eastAsia="Arial" w:hAnsi="Arial"/>
                  <w:sz w:val="18"/>
                  <w:szCs w:val="18"/>
                  <w:b w:val="1"/>
                  <w:bCs w:val="1"/>
                  <w:color w:val="0000EE"/>
                  <w:w w:val="97"/>
                </w:rPr>
                <w:t>Part II: Other Information</w:t>
              </w:r>
            </w:hyperlink>
          </w:p>
        </w:tc>
        <w:tc>
          <w:tcPr>
            <w:tcW w:w="370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3"/>
          </w:tcPr>
          <w:p>
            <w:pPr>
              <w:spacing w:after="0"/>
              <w:rPr>
                <w:rFonts w:ascii="Arial" w:cs="Arial" w:eastAsia="Arial" w:hAnsi="Arial"/>
                <w:sz w:val="18"/>
                <w:szCs w:val="18"/>
                <w:b w:val="1"/>
                <w:bCs w:val="1"/>
                <w:color w:val="0000EE"/>
                <w:w w:val="86"/>
              </w:rPr>
            </w:pPr>
            <w:hyperlink w:anchor="page31">
              <w:r>
                <w:rPr>
                  <w:rFonts w:ascii="Arial" w:cs="Arial" w:eastAsia="Arial" w:hAnsi="Arial"/>
                  <w:sz w:val="18"/>
                  <w:szCs w:val="18"/>
                  <w:b w:val="1"/>
                  <w:bCs w:val="1"/>
                  <w:color w:val="0000EE"/>
                  <w:w w:val="86"/>
                </w:rPr>
                <w:t>Legal Proceedings</w:t>
              </w:r>
            </w:hyperlink>
          </w:p>
        </w:tc>
        <w:tc>
          <w:tcPr>
            <w:tcW w:w="804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Risk Factors</w:t>
              </w:r>
            </w:hyperlink>
          </w:p>
        </w:tc>
        <w:tc>
          <w:tcPr>
            <w:tcW w:w="804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Unregistered Sales of Equity Securities and Use of Proceeds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gridSpan w:val="12"/>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Defaults on Senior Securities</w:t>
              </w:r>
            </w:hyperlink>
          </w:p>
        </w:tc>
        <w:tc>
          <w:tcPr>
            <w:tcW w:w="4880" w:type="dxa"/>
            <w:vAlign w:val="bottom"/>
            <w:gridSpan w:val="9"/>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4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6"/>
          </w:tcPr>
          <w:p>
            <w:pPr>
              <w:spacing w:after="0"/>
              <w:rPr>
                <w:rFonts w:ascii="Arial" w:cs="Arial" w:eastAsia="Arial" w:hAnsi="Arial"/>
                <w:sz w:val="18"/>
                <w:szCs w:val="18"/>
                <w:b w:val="1"/>
                <w:bCs w:val="1"/>
                <w:color w:val="0000EE"/>
                <w:w w:val="87"/>
              </w:rPr>
            </w:pPr>
            <w:hyperlink w:anchor="page33">
              <w:r>
                <w:rPr>
                  <w:rFonts w:ascii="Arial" w:cs="Arial" w:eastAsia="Arial" w:hAnsi="Arial"/>
                  <w:sz w:val="18"/>
                  <w:szCs w:val="18"/>
                  <w:b w:val="1"/>
                  <w:bCs w:val="1"/>
                  <w:color w:val="0000EE"/>
                  <w:w w:val="87"/>
                </w:rPr>
                <w:t>Mine Safety Disclosures</w:t>
              </w:r>
            </w:hyperlink>
          </w:p>
        </w:tc>
        <w:tc>
          <w:tcPr>
            <w:tcW w:w="360" w:type="dxa"/>
            <w:vAlign w:val="bottom"/>
            <w:gridSpan w:val="2"/>
          </w:tcPr>
          <w:p>
            <w:pPr>
              <w:spacing w:after="0"/>
              <w:rPr>
                <w:sz w:val="24"/>
                <w:szCs w:val="24"/>
                <w:color w:val="auto"/>
              </w:rPr>
            </w:pPr>
          </w:p>
        </w:tc>
        <w:tc>
          <w:tcPr>
            <w:tcW w:w="7240" w:type="dxa"/>
            <w:vAlign w:val="bottom"/>
            <w:gridSpan w:val="1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EE"/>
                <w:w w:val="93"/>
              </w:rPr>
            </w:pPr>
            <w:hyperlink w:anchor="page33">
              <w:r>
                <w:rPr>
                  <w:rFonts w:ascii="Arial" w:cs="Arial" w:eastAsia="Arial" w:hAnsi="Arial"/>
                  <w:sz w:val="18"/>
                  <w:szCs w:val="18"/>
                  <w:b w:val="1"/>
                  <w:bCs w:val="1"/>
                  <w:color w:val="0000EE"/>
                  <w:w w:val="93"/>
                </w:rPr>
                <w:t>Other Information</w:t>
              </w:r>
            </w:hyperlink>
          </w:p>
        </w:tc>
        <w:tc>
          <w:tcPr>
            <w:tcW w:w="400" w:type="dxa"/>
            <w:vAlign w:val="bottom"/>
            <w:gridSpan w:val="2"/>
          </w:tcPr>
          <w:p>
            <w:pPr>
              <w:spacing w:after="0"/>
              <w:rPr>
                <w:sz w:val="24"/>
                <w:szCs w:val="24"/>
                <w:color w:val="auto"/>
              </w:rPr>
            </w:pPr>
          </w:p>
        </w:tc>
        <w:tc>
          <w:tcPr>
            <w:tcW w:w="7600" w:type="dxa"/>
            <w:vAlign w:val="bottom"/>
            <w:gridSpan w:val="1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0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EE"/>
                <w:w w:val="88"/>
              </w:rPr>
            </w:pPr>
            <w:hyperlink w:anchor="page33">
              <w:r>
                <w:rPr>
                  <w:rFonts w:ascii="Arial" w:cs="Arial" w:eastAsia="Arial" w:hAnsi="Arial"/>
                  <w:sz w:val="18"/>
                  <w:szCs w:val="18"/>
                  <w:b w:val="1"/>
                  <w:bCs w:val="1"/>
                  <w:color w:val="0000EE"/>
                  <w:w w:val="88"/>
                </w:rPr>
                <w:t>Exhibits</w:t>
              </w:r>
            </w:hyperlink>
          </w:p>
        </w:tc>
        <w:tc>
          <w:tcPr>
            <w:tcW w:w="800" w:type="dxa"/>
            <w:vAlign w:val="bottom"/>
            <w:gridSpan w:val="3"/>
          </w:tcPr>
          <w:p>
            <w:pPr>
              <w:spacing w:after="0"/>
              <w:rPr>
                <w:sz w:val="24"/>
                <w:szCs w:val="24"/>
                <w:color w:val="auto"/>
              </w:rPr>
            </w:pPr>
          </w:p>
        </w:tc>
        <w:tc>
          <w:tcPr>
            <w:tcW w:w="8000" w:type="dxa"/>
            <w:vAlign w:val="bottom"/>
            <w:gridSpan w:val="17"/>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507"/>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140" w:type="dxa"/>
            <w:vAlign w:val="bottom"/>
            <w:gridSpan w:val="13"/>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Nov 30, 2015</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2014</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2015</w:t>
            </w:r>
          </w:p>
        </w:tc>
        <w:tc>
          <w:tcPr>
            <w:tcW w:w="160" w:type="dxa"/>
            <w:vAlign w:val="bottom"/>
          </w:tcPr>
          <w:p>
            <w:pPr>
              <w:spacing w:after="0"/>
              <w:rPr>
                <w:sz w:val="22"/>
                <w:szCs w:val="22"/>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w w:val="93"/>
              </w:rPr>
              <w:t>Nov 30, 2014</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179,480</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43,400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44,493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83,929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85,999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89,008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93,481</w:t>
            </w:r>
          </w:p>
        </w:tc>
        <w:tc>
          <w:tcPr>
            <w:tcW w:w="0" w:type="dxa"/>
            <w:vAlign w:val="bottom"/>
          </w:tcPr>
          <w:p>
            <w:pPr>
              <w:spacing w:after="0"/>
              <w:rPr>
                <w:sz w:val="1"/>
                <w:szCs w:val="1"/>
                <w:color w:val="auto"/>
              </w:rPr>
            </w:pPr>
          </w:p>
        </w:tc>
      </w:tr>
      <w:tr>
        <w:trPr>
          <w:trHeight w:val="22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12,787</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20,569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20,983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41,128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41,050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15,296</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4,483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8,898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Acquisition, restructuring and other items, net</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3,913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Medical device excise tax</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44,517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43,081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86,621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85,664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7,817</w:t>
            </w:r>
          </w:p>
        </w:tc>
        <w:tc>
          <w:tcPr>
            <w:tcW w:w="0" w:type="dxa"/>
            <w:vAlign w:val="bottom"/>
          </w:tcPr>
          <w:p>
            <w:pPr>
              <w:spacing w:after="0"/>
              <w:rPr>
                <w:sz w:val="1"/>
                <w:szCs w:val="1"/>
                <w:color w:val="auto"/>
              </w:rPr>
            </w:pPr>
          </w:p>
        </w:tc>
      </w:tr>
      <w:tr>
        <w:trPr>
          <w:trHeight w:val="22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Other (expenses) income</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expense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Total other expenses, net</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(loss) before income tax expense (benefit)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Income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 average shares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35,475</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36,051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36,012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color w:val="auto"/>
              </w:rPr>
              <w:t>Six Months Ended</w:t>
            </w: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color w:val="auto"/>
              </w:rPr>
              <w:t>Nov 30, 2015</w:t>
            </w: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Nov 30, 2014</w:t>
            </w: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Nov 30, 2015</w:t>
            </w:r>
          </w:p>
        </w:tc>
        <w:tc>
          <w:tcPr>
            <w:tcW w:w="240" w:type="dxa"/>
            <w:vAlign w:val="bottom"/>
          </w:tcPr>
          <w:p>
            <w:pPr>
              <w:spacing w:after="0"/>
              <w:rPr>
                <w:sz w:val="22"/>
                <w:szCs w:val="22"/>
                <w:color w:val="auto"/>
              </w:rPr>
            </w:pPr>
          </w:p>
        </w:tc>
        <w:tc>
          <w:tcPr>
            <w:tcW w:w="1240" w:type="dxa"/>
            <w:vAlign w:val="bottom"/>
          </w:tcPr>
          <w:p>
            <w:pPr>
              <w:jc w:val="right"/>
              <w:ind w:right="252"/>
              <w:spacing w:after="0"/>
              <w:rPr>
                <w:sz w:val="20"/>
                <w:szCs w:val="20"/>
                <w:color w:val="auto"/>
              </w:rPr>
            </w:pPr>
            <w:r>
              <w:rPr>
                <w:rFonts w:ascii="Arial" w:cs="Arial" w:eastAsia="Arial" w:hAnsi="Arial"/>
                <w:sz w:val="14"/>
                <w:szCs w:val="14"/>
                <w:color w:val="auto"/>
              </w:rPr>
              <w:t>Nov 30, 2014</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(loss) on interest rate swap</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Unrealized gain (loss) on marketable securities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gain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(expense) benefit related to items of other</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color w:val="auto"/>
              </w:rPr>
              <w:t>Nov 30, 2015</w:t>
            </w:r>
          </w:p>
        </w:tc>
        <w:tc>
          <w:tcPr>
            <w:tcW w:w="18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w w:val="96"/>
              </w:rPr>
              <w:t>May 31, 2015</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700" w:type="dxa"/>
            <w:vAlign w:val="bottom"/>
            <w:gridSpan w:val="4"/>
            <w:shd w:val="clear" w:color="auto" w:fill="CCEEFF"/>
          </w:tcPr>
          <w:p>
            <w:pPr>
              <w:ind w:left="40"/>
              <w:spacing w:after="0" w:line="182"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240" w:type="dxa"/>
            <w:vAlign w:val="bottom"/>
            <w:tcBorders>
              <w:top w:val="single" w:sz="8" w:color="CCEEFF"/>
            </w:tcBorders>
            <w:shd w:val="clear" w:color="auto" w:fill="CCEEFF"/>
          </w:tcPr>
          <w:p>
            <w:pPr>
              <w:spacing w:after="0"/>
              <w:rPr>
                <w:sz w:val="5"/>
                <w:szCs w:val="5"/>
                <w:color w:val="auto"/>
              </w:rPr>
            </w:pPr>
          </w:p>
        </w:tc>
        <w:tc>
          <w:tcPr>
            <w:tcW w:w="47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allowances of $2,820 and $3,043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70,813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67,388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Prepaid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4,783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151,558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151,449</w:t>
            </w: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54,560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5,288</w:t>
            </w: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172,511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181,806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361,252</w:t>
            </w: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Deferred income taxes, long-term</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19,826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19,268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760,371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773,623</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gridSpan w:val="4"/>
            <w:vMerge w:val="restart"/>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0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240" w:type="dxa"/>
            <w:vAlign w:val="bottom"/>
            <w:tcBorders>
              <w:top w:val="single" w:sz="8" w:color="auto"/>
            </w:tcBorders>
          </w:tcPr>
          <w:p>
            <w:pPr>
              <w:spacing w:after="0"/>
              <w:rPr>
                <w:sz w:val="6"/>
                <w:szCs w:val="6"/>
                <w:color w:val="auto"/>
              </w:rPr>
            </w:pPr>
          </w:p>
        </w:tc>
        <w:tc>
          <w:tcPr>
            <w:tcW w:w="4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21,701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23,668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Current portion of contingent consideration</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9,775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9,969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61,157</w:t>
            </w: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122,660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128,910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income taxes, long-term</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Contingent consideration, net of current portion</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28,074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37,415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212,732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228,601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w w:val="98"/>
              </w:rPr>
              <w:t>Preferred stock, par value $.01 per share, 5,000,000 shares authorized; no shares issued and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w w:val="90"/>
              </w:rPr>
              <w:t>Common stock, par value $.01 per share, 75,000,000 shares authorized; 36,285,557 and 36,043,725 shares issued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w w:val="97"/>
              </w:rPr>
              <w:t>and 36,143,252 and 35,901,420 shares outstanding at November 30, 2015 and May 31, 2015, respectively</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520,101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28,233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Treasury stock, 142,305 shares, at cost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545,022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760,371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773,623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60" w:type="dxa"/>
            <w:vAlign w:val="bottom"/>
            <w:gridSpan w:val="4"/>
          </w:tcPr>
          <w:p>
            <w:pPr>
              <w:jc w:val="right"/>
              <w:ind w:right="619"/>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tc>
        <w:tc>
          <w:tcPr>
            <w:tcW w:w="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8700" w:type="dxa"/>
            <w:vAlign w:val="bottom"/>
            <w:gridSpan w:val="4"/>
          </w:tcPr>
          <w:p>
            <w:pPr>
              <w:ind w:left="56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color w:val="auto"/>
              </w:rPr>
              <w:t>Six Months Ended</w:t>
            </w:r>
          </w:p>
        </w:tc>
      </w:tr>
      <w:tr>
        <w:trPr>
          <w:trHeight w:val="264"/>
        </w:trPr>
        <w:tc>
          <w:tcPr>
            <w:tcW w:w="8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Nov 30, 2015</w:t>
            </w:r>
          </w:p>
        </w:tc>
        <w:tc>
          <w:tcPr>
            <w:tcW w:w="200" w:type="dxa"/>
            <w:vAlign w:val="bottom"/>
          </w:tcPr>
          <w:p>
            <w:pPr>
              <w:spacing w:after="0"/>
              <w:rPr>
                <w:sz w:val="22"/>
                <w:szCs w:val="22"/>
                <w:color w:val="auto"/>
              </w:rPr>
            </w:pPr>
          </w:p>
        </w:tc>
        <w:tc>
          <w:tcPr>
            <w:tcW w:w="1160" w:type="dxa"/>
            <w:vAlign w:val="bottom"/>
          </w:tcPr>
          <w:p>
            <w:pPr>
              <w:jc w:val="right"/>
              <w:ind w:right="191"/>
              <w:spacing w:after="0"/>
              <w:rPr>
                <w:sz w:val="20"/>
                <w:szCs w:val="20"/>
                <w:color w:val="auto"/>
              </w:rPr>
            </w:pPr>
            <w:r>
              <w:rPr>
                <w:rFonts w:ascii="Arial" w:cs="Arial" w:eastAsia="Arial" w:hAnsi="Arial"/>
                <w:sz w:val="14"/>
                <w:szCs w:val="14"/>
                <w:color w:val="auto"/>
              </w:rPr>
              <w:t>Nov 30, 2014</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1,808</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14,420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13,999</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2,901</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1,418</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3,685</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Loss on disposal of long-lived assets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loss on fixed and other long-term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accounts receivable allowances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345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 net of acquisitions: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3,069</w:t>
            </w: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(14,081)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Accounts payable, accrued and other liabilities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(6,138)</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3,205</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 of intangibles</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or maturity of marketable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1460"/>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(7,773)</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issuance of and borrowings on long-term debt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15,000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Payment of contingent consideration previously established in purchase accounting</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(11,222)</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2,103</w:t>
            </w:r>
          </w:p>
        </w:tc>
      </w:tr>
      <w:tr>
        <w:trPr>
          <w:trHeight w:val="237"/>
        </w:trPr>
        <w:tc>
          <w:tcPr>
            <w:tcW w:w="8580" w:type="dxa"/>
            <w:vAlign w:val="bottom"/>
          </w:tcPr>
          <w:p>
            <w:pPr>
              <w:ind w:left="14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3,381</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8580" w:type="dxa"/>
            <w:vAlign w:val="bottom"/>
          </w:tcPr>
          <w:p>
            <w:pPr>
              <w:ind w:left="146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16,105</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18,996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14,877</w:t>
            </w:r>
          </w:p>
        </w:tc>
      </w:tr>
      <w:tr>
        <w:trPr>
          <w:trHeight w:val="67"/>
        </w:trPr>
        <w:tc>
          <w:tcPr>
            <w:tcW w:w="85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Contractual obligations for acquisition of fixed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54</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620" w:type="dxa"/>
            <w:vAlign w:val="bottom"/>
            <w:gridSpan w:val="3"/>
            <w:vMerge w:val="restart"/>
          </w:tcPr>
          <w:p>
            <w:pPr>
              <w:jc w:val="right"/>
              <w:ind w:right="16"/>
              <w:spacing w:after="0"/>
              <w:rPr>
                <w:sz w:val="20"/>
                <w:szCs w:val="20"/>
                <w:color w:val="auto"/>
              </w:rPr>
            </w:pPr>
            <w:r>
              <w:rPr>
                <w:rFonts w:ascii="Arial" w:cs="Arial" w:eastAsia="Arial" w:hAnsi="Arial"/>
                <w:sz w:val="14"/>
                <w:szCs w:val="14"/>
                <w:color w:val="auto"/>
              </w:rPr>
              <w:t>Common Stock</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Additional</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Accumulated</w:t>
            </w:r>
          </w:p>
        </w:tc>
        <w:tc>
          <w:tcPr>
            <w:tcW w:w="2040" w:type="dxa"/>
            <w:vAlign w:val="bottom"/>
            <w:gridSpan w:val="5"/>
            <w:vMerge w:val="restart"/>
          </w:tcPr>
          <w:p>
            <w:pPr>
              <w:ind w:left="54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52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60"/>
              <w:spacing w:after="0" w:line="141" w:lineRule="exact"/>
              <w:rPr>
                <w:sz w:val="20"/>
                <w:szCs w:val="20"/>
                <w:color w:val="auto"/>
              </w:rPr>
            </w:pPr>
            <w:r>
              <w:rPr>
                <w:rFonts w:ascii="Arial" w:cs="Arial" w:eastAsia="Arial" w:hAnsi="Arial"/>
                <w:sz w:val="14"/>
                <w:szCs w:val="14"/>
                <w:color w:val="auto"/>
              </w:rPr>
              <w:t>Retained</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1" w:lineRule="exact"/>
              <w:rPr>
                <w:sz w:val="20"/>
                <w:szCs w:val="20"/>
                <w:color w:val="auto"/>
              </w:rPr>
            </w:pPr>
            <w:r>
              <w:rPr>
                <w:rFonts w:ascii="Arial" w:cs="Arial" w:eastAsia="Arial" w:hAnsi="Arial"/>
                <w:sz w:val="14"/>
                <w:szCs w:val="14"/>
                <w:color w:val="auto"/>
                <w:w w:val="93"/>
              </w:rPr>
              <w:t>other</w:t>
            </w:r>
          </w:p>
        </w:tc>
        <w:tc>
          <w:tcPr>
            <w:tcW w:w="20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52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tcPr>
          <w:p>
            <w:pPr>
              <w:jc w:val="center"/>
              <w:ind w:right="260"/>
              <w:spacing w:after="0" w:line="49" w:lineRule="exact"/>
              <w:rPr>
                <w:sz w:val="20"/>
                <w:szCs w:val="20"/>
                <w:color w:val="auto"/>
              </w:rPr>
            </w:pPr>
            <w:r>
              <w:rPr>
                <w:rFonts w:ascii="Arial" w:cs="Arial" w:eastAsia="Arial" w:hAnsi="Arial"/>
                <w:sz w:val="5"/>
                <w:szCs w:val="5"/>
                <w:color w:val="auto"/>
              </w:rPr>
              <w:t>paid in</w:t>
            </w:r>
          </w:p>
        </w:tc>
        <w:tc>
          <w:tcPr>
            <w:tcW w:w="200" w:type="dxa"/>
            <w:vAlign w:val="bottom"/>
          </w:tcPr>
          <w:p>
            <w:pPr>
              <w:spacing w:after="0"/>
              <w:rPr>
                <w:sz w:val="4"/>
                <w:szCs w:val="4"/>
                <w:color w:val="auto"/>
              </w:rPr>
            </w:pPr>
          </w:p>
        </w:tc>
        <w:tc>
          <w:tcPr>
            <w:tcW w:w="940" w:type="dxa"/>
            <w:vAlign w:val="bottom"/>
            <w:gridSpan w:val="2"/>
            <w:vMerge w:val="restart"/>
          </w:tcPr>
          <w:p>
            <w:pPr>
              <w:ind w:left="80"/>
              <w:spacing w:after="0" w:line="130" w:lineRule="exact"/>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30" w:lineRule="exact"/>
              <w:rPr>
                <w:sz w:val="20"/>
                <w:szCs w:val="20"/>
                <w:color w:val="auto"/>
              </w:rPr>
            </w:pPr>
            <w:r>
              <w:rPr>
                <w:rFonts w:ascii="Arial" w:cs="Arial" w:eastAsia="Arial" w:hAnsi="Arial"/>
                <w:sz w:val="14"/>
                <w:szCs w:val="14"/>
                <w:color w:val="auto"/>
                <w:w w:val="90"/>
              </w:rPr>
              <w:t>comprehensive</w:t>
            </w:r>
          </w:p>
        </w:tc>
        <w:tc>
          <w:tcPr>
            <w:tcW w:w="10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3"/>
              </w:rPr>
              <w:t>capital</w:t>
            </w: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520" w:type="dxa"/>
            <w:vAlign w:val="bottom"/>
          </w:tcPr>
          <w:p>
            <w:pPr>
              <w:spacing w:after="0"/>
              <w:rPr>
                <w:sz w:val="8"/>
                <w:szCs w:val="8"/>
                <w:color w:val="auto"/>
              </w:rPr>
            </w:pPr>
          </w:p>
        </w:tc>
        <w:tc>
          <w:tcPr>
            <w:tcW w:w="1400" w:type="dxa"/>
            <w:vAlign w:val="bottom"/>
            <w:gridSpan w:val="2"/>
            <w:vMerge w:val="restart"/>
          </w:tcPr>
          <w:p>
            <w:pPr>
              <w:ind w:left="440"/>
              <w:spacing w:after="0"/>
              <w:rPr>
                <w:sz w:val="20"/>
                <w:szCs w:val="20"/>
                <w:color w:val="auto"/>
              </w:rPr>
            </w:pPr>
            <w:r>
              <w:rPr>
                <w:rFonts w:ascii="Arial" w:cs="Arial" w:eastAsia="Arial" w:hAnsi="Arial"/>
                <w:sz w:val="14"/>
                <w:szCs w:val="14"/>
                <w:color w:val="auto"/>
              </w:rPr>
              <w:t>Shares</w:t>
            </w:r>
          </w:p>
        </w:tc>
        <w:tc>
          <w:tcPr>
            <w:tcW w:w="820" w:type="dxa"/>
            <w:vAlign w:val="bottom"/>
            <w:gridSpan w:val="3"/>
            <w:vMerge w:val="restart"/>
          </w:tcPr>
          <w:p>
            <w:pPr>
              <w:ind w:left="12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88"/>
              </w:rPr>
              <w:t>loss</w:t>
            </w: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8"/>
                <w:szCs w:val="8"/>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7"/>
        </w:trPr>
        <w:tc>
          <w:tcPr>
            <w:tcW w:w="25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2015</w:t>
            </w:r>
          </w:p>
        </w:tc>
        <w:tc>
          <w:tcPr>
            <w:tcW w:w="12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36,043,725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520,101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545,022</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52,578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w w:val="91"/>
              </w:rPr>
              <w:t>Purchase of common stock under</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ESPP</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59,589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Issuance of restricted stock units,</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129,665</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Other comprehensive loss, net of</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1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8"/>
                <w:szCs w:val="18"/>
                <w:color w:val="auto"/>
                <w:w w:val="99"/>
              </w:rPr>
              <w:t>Balance at November 30, 2015</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36,285,557</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524,189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27,114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(142,305)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547,639</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CONSOLIDATED CONDENSED FINANCIAL STATEMENTS</w:t>
      </w:r>
    </w:p>
    <w:p>
      <w:pPr>
        <w:spacing w:after="0" w:line="121"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consolidated condensed balance sheet as of November 30, 2015, the consolidated condensed statement of stockholders’ equity and the consolidated condensed statement of cash flows for the six months ended November 30, 2015 and the consolidated condensed statements of income (loss) and the consolidated condensed statements of comprehensive income (loss) for the three and six months ended November 30, 2015 and 2014 have been prepared by us without audit. The consolidated condensed balance sheet as of May 31, 2015 was derived from audited consolidated condensed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November 30, 2015 (and for all periods presented) have been made.</w:t>
      </w:r>
    </w:p>
    <w:p>
      <w:pPr>
        <w:spacing w:after="0" w:line="167"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The unaudited interim consolidated condensed financial statements for the three and six months ended November 30, 2015 and November 30, 2014 include the accounts of AngioDynamics, Inc. and its wholly owned subsidiaries, collectively, the “Company”. All intercompany balances and transactions have been eliminated.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During the second quarter of fiscal 2016, Mark Frost resigned as Executive Vice President and Chief Financial Officer (CFO). Michael Trimarchi, Vice President and Global Controller, will assume the responsibilities as principal accounting officer of the company and will serve as interim CFO. The Company is in the process of identifying a permanent successor.</w:t>
      </w:r>
    </w:p>
    <w:p>
      <w:pPr>
        <w:spacing w:after="0" w:line="1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December 18, 2015, President Obama signed into law H.R. 2029, the “Consolidated Appropriations Act, 2016”, which includes a two-year moratorium on the medical device excise tax, effective January 1, 2016. The 2.3 percent tax on sales of medical devices (except certain devices sold at retail) was enacted as part of the Affordable Care Act in 2010 and applied to device sales beginning on January 1, 2013. Absent further legislative action, the tax will be automatically be reinstated for medical device sales starting on January 1, 2018. As presented on our Statements of Income (Loss) we have incurred $11.6 million cumulatively since the enactment of the tax on January 1, 2013 through the November 30, 2015, our second quarter of fiscal 2016. Our third quarter will include one month of the tax prior to the two year moratorium. In the absence of this tax, the company will seek opportunities to further invest in growth drivers to create long-term shareholder value.</w:t>
      </w:r>
    </w:p>
    <w:p>
      <w:pPr>
        <w:spacing w:after="0" w:line="189" w:lineRule="exact"/>
        <w:rPr>
          <w:sz w:val="20"/>
          <w:szCs w:val="20"/>
          <w:color w:val="auto"/>
        </w:rPr>
      </w:pPr>
    </w:p>
    <w:p>
      <w:pPr>
        <w:ind w:right="20" w:firstLine="392"/>
        <w:spacing w:after="0" w:line="279" w:lineRule="auto"/>
        <w:rPr>
          <w:sz w:val="20"/>
          <w:szCs w:val="20"/>
          <w:color w:val="auto"/>
        </w:rPr>
      </w:pPr>
      <w:r>
        <w:rPr>
          <w:rFonts w:ascii="Arial" w:cs="Arial" w:eastAsia="Arial" w:hAnsi="Arial"/>
          <w:sz w:val="17"/>
          <w:szCs w:val="17"/>
          <w:color w:val="auto"/>
        </w:rPr>
        <w:t>On November 17, 2015, the Company received a letter from the FDA closing out the warning letter the Company received from FDA in January 2011 regarding certain promotional activities related to the NanoKnife System. On November 25, 2015, the Company received letters from the FDA closing out the warning letters the Company received from FDA in May 2011 related to the Company’s Queensbury facility and in November 2014 related to the Company’s Glens Falls facility. These close out letters resolved all outstanding warning letters against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INVENTORIES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Inventories are stated at lower of cost (using the first-in, first-out method) or market. As of November 30, 2015 and May 31, 2015, inventories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Nov 30, 2015</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5"/>
              </w:rPr>
              <w:t>May 31, 2015</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44"/>
        </w:trPr>
        <w:tc>
          <w:tcPr>
            <w:tcW w:w="83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4"/>
                <w:szCs w:val="14"/>
                <w:color w:val="auto"/>
              </w:rPr>
              <w:t>(in thousands)</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11,910</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27,438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70,813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67,388</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GOODWILL AND INTANGIBLE ASSETS</w:t>
      </w:r>
    </w:p>
    <w:p>
      <w:pPr>
        <w:spacing w:after="0" w:line="12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Intangible assets other than goodwill and indefinite lived intangible assets are amortized over their estimated useful lives, which range between two and fifteen years, on either a straight-line basis or proportionately to the benefit being realized. We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periodically review the estimated useful lives of our intangible assets and review such assets for impairment, based on estimated future cash flows, whenever events or changes in circumstances indicate that the carrying value of the assets may not be recoverable. If an intangible asset is considered to be impaired, the amount of the impairment will equal the excess of the carrying value over the fair value of the asset.</w:t>
      </w:r>
    </w:p>
    <w:p>
      <w:pPr>
        <w:spacing w:after="0" w:line="18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Goodwill and intangible assets that have indefinite useful lives are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costs based on respective fair market values at the date of acquisition.</w:t>
      </w:r>
    </w:p>
    <w:p>
      <w:pPr>
        <w:spacing w:after="0" w:line="18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For goodwill, the impairment test requires a comparison of the estimated fair value, based on future cash flows, of the reporting unit to which the goodwill is assigned to the sum of the carrying value of the assets and liabilities of that unit. If the sum of the carrying value of the assets and liabilities of a reporting unit exceeds the fair value of the reporting unit, the carrying value of the reporting unit’s goodwill is reduced to its implied fair value through an adjustment to the goodwill balance, resulting in an impairment charge.</w:t>
      </w:r>
    </w:p>
    <w:p>
      <w:pPr>
        <w:spacing w:after="0" w:line="18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consider our business to be a single operating segment entity, and a single reporting unit - the development, manufacture and sale on a global basis of medical devices for vascular access, peripheral vascular disease, oncology and surgery.</w:t>
      </w:r>
    </w:p>
    <w:p>
      <w:pPr>
        <w:spacing w:after="0" w:line="17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test our goodwill balances during the third quarter of each year for impairment, or more frequently if indicators are present or changes in circumstances suggest that an impairment may exist. Our stock market capitalization has at times been and as of November 30, 2015 continues to be lower than our shareholders’ equity or book value. However, our reporting unit has continued to generate significant cash flows from operations, and we expect to continue to do so in fiscal 2016 and beyond. Furthermore, we believe that a reasonable potential buyer would offer a control premium for our business that would adequately cover the difference between our stock market capitalization and our book value. Events could arise which may result in a future impairment charge which could be material to the consolidated financial statements. Events that could, in the future, result in impairment include, but are not limited to, declining sales for a significant product or in a significant geographic region.</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adjustments to goodwill for the six months ended November 30, 2015.</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November 30, 2015 and May 31, 2015, intangible assets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4"/>
                <w:szCs w:val="14"/>
                <w:color w:val="auto"/>
              </w:rPr>
              <w:t>November 30, 2015</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28"/>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carrying</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w w:val="96"/>
              </w:rPr>
              <w:t>Net carrying</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avg useful</w:t>
            </w:r>
          </w:p>
        </w:tc>
      </w:tr>
      <w:tr>
        <w:trPr>
          <w:trHeight w:val="230"/>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value</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amortization</w:t>
            </w:r>
          </w:p>
        </w:tc>
        <w:tc>
          <w:tcPr>
            <w:tcW w:w="18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life</w:t>
            </w: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(in thousands)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(years)</w:t>
            </w: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102,035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86,322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(44,895)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41,427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 process R&amp;D acquired</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Distributor relationships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275,670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172,511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872"/>
        </w:trPr>
        <w:tc>
          <w:tcPr>
            <w:tcW w:w="5620" w:type="dxa"/>
            <w:vAlign w:val="bottom"/>
          </w:tcPr>
          <w:p>
            <w:pPr>
              <w:spacing w:after="0"/>
              <w:rPr>
                <w:sz w:val="24"/>
                <w:szCs w:val="24"/>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4"/>
                <w:szCs w:val="14"/>
                <w:color w:val="auto"/>
              </w:rPr>
              <w:t>May 31, 2015</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28"/>
        </w:trPr>
        <w:tc>
          <w:tcPr>
            <w:tcW w:w="10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10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carrying</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w w:val="96"/>
              </w:rPr>
              <w:t>Net carrying</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avg useful</w:t>
            </w:r>
          </w:p>
        </w:tc>
      </w:tr>
      <w:tr>
        <w:trPr>
          <w:trHeight w:val="230"/>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value</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amortization</w:t>
            </w:r>
          </w:p>
        </w:tc>
        <w:tc>
          <w:tcPr>
            <w:tcW w:w="18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life</w:t>
            </w: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10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(in thousands)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(years)</w:t>
            </w: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107,329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86,371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43,558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25,316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 process R&amp;D acquired</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Licenses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Distributor relationships</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46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276,105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181,806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656"/>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10</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ACCRUED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November 30, 2015 and May 31, 2015, accrued liabilities consisted of the following:</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Nov 30, 2015</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8"/>
              </w:rPr>
              <w:t>May 31, 2015</w:t>
            </w:r>
          </w:p>
        </w:tc>
      </w:tr>
      <w:tr>
        <w:trPr>
          <w:trHeight w:val="250"/>
        </w:trPr>
        <w:tc>
          <w:tcPr>
            <w:tcW w:w="89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color w:val="auto"/>
              </w:rPr>
              <w:t>(in thousands)</w:t>
            </w: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10,330</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Royalties</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2,237</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Sales and franchise taxes</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489</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Outside services</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1,522</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Consignment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808</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2,083</w:t>
            </w:r>
          </w:p>
        </w:tc>
      </w:tr>
      <w:tr>
        <w:trPr>
          <w:trHeight w:val="237"/>
        </w:trPr>
        <w:tc>
          <w:tcPr>
            <w:tcW w:w="89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16,975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18,331</w:t>
            </w:r>
          </w:p>
        </w:tc>
      </w:tr>
      <w:tr>
        <w:trPr>
          <w:trHeight w:val="27"/>
        </w:trPr>
        <w:tc>
          <w:tcPr>
            <w:tcW w:w="8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LONG TERM DEBT</w:t>
      </w:r>
    </w:p>
    <w:p>
      <w:pPr>
        <w:spacing w:after="0" w:line="121"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On September 19, 2013, we entered into a Credit Agreement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with the lenders party thereto, JPMorgan Chase Bank, N.A., as administrative agent, Bank of America, N.A. and Keybank National Association as co-syndication agents, and J.P. Morgan Securities LLC, Merrill Lynch, Pierce, Fenner &amp; Smith Incorporated and Keybank National Association as joint bookrunners and joint lead arrangers.</w:t>
      </w:r>
    </w:p>
    <w:p>
      <w:pPr>
        <w:spacing w:after="0" w:line="166"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Credit Agreement provides for a $100 million senior secured term loan facility (“</w:t>
      </w:r>
      <w:r>
        <w:rPr>
          <w:rFonts w:ascii="Arial" w:cs="Arial" w:eastAsia="Arial" w:hAnsi="Arial"/>
          <w:sz w:val="18"/>
          <w:szCs w:val="18"/>
          <w:u w:val="single" w:color="auto"/>
          <w:color w:val="auto"/>
        </w:rPr>
        <w:t>Term Loan</w:t>
      </w:r>
      <w:r>
        <w:rPr>
          <w:rFonts w:ascii="Arial" w:cs="Arial" w:eastAsia="Arial" w:hAnsi="Arial"/>
          <w:sz w:val="18"/>
          <w:szCs w:val="18"/>
          <w:color w:val="auto"/>
        </w:rPr>
        <w:t>”) and a $100 million senior secured revolving credit facility, which includes up to a $20 million sublimit for letters of credit and a $5 million sublimit for swingline loans (the “</w:t>
      </w:r>
      <w:r>
        <w:rPr>
          <w:rFonts w:ascii="Arial" w:cs="Arial" w:eastAsia="Arial" w:hAnsi="Arial"/>
          <w:sz w:val="18"/>
          <w:szCs w:val="18"/>
          <w:u w:val="single" w:color="auto"/>
          <w:color w:val="auto"/>
        </w:rPr>
        <w:t>Revolving Facility</w:t>
      </w:r>
      <w:r>
        <w:rPr>
          <w:rFonts w:ascii="Arial" w:cs="Arial" w:eastAsia="Arial" w:hAnsi="Arial"/>
          <w:sz w:val="18"/>
          <w:szCs w:val="18"/>
          <w:color w:val="auto"/>
        </w:rPr>
        <w:t>”, and together with the Term Loan, the “</w:t>
      </w:r>
      <w:r>
        <w:rPr>
          <w:rFonts w:ascii="Arial" w:cs="Arial" w:eastAsia="Arial" w:hAnsi="Arial"/>
          <w:sz w:val="18"/>
          <w:szCs w:val="18"/>
          <w:u w:val="single" w:color="auto"/>
          <w:color w:val="auto"/>
        </w:rPr>
        <w:t>Facilities</w:t>
      </w:r>
      <w:r>
        <w:rPr>
          <w:rFonts w:ascii="Arial" w:cs="Arial" w:eastAsia="Arial" w:hAnsi="Arial"/>
          <w:sz w:val="18"/>
          <w:szCs w:val="18"/>
          <w:color w:val="auto"/>
        </w:rPr>
        <w:t>”).</w:t>
      </w:r>
    </w:p>
    <w:p>
      <w:pPr>
        <w:spacing w:after="0" w:line="181" w:lineRule="exact"/>
        <w:rPr>
          <w:sz w:val="20"/>
          <w:szCs w:val="20"/>
          <w:color w:val="auto"/>
        </w:rPr>
      </w:pPr>
    </w:p>
    <w:p>
      <w:pPr>
        <w:ind w:right="240" w:firstLine="432"/>
        <w:spacing w:after="0" w:line="297" w:lineRule="auto"/>
        <w:rPr>
          <w:sz w:val="20"/>
          <w:szCs w:val="20"/>
          <w:color w:val="auto"/>
        </w:rPr>
      </w:pPr>
      <w:r>
        <w:rPr>
          <w:rFonts w:ascii="Arial" w:cs="Arial" w:eastAsia="Arial" w:hAnsi="Arial"/>
          <w:sz w:val="16"/>
          <w:szCs w:val="16"/>
          <w:color w:val="auto"/>
        </w:rPr>
        <w:t>The proceeds of the Revolving Facility may be used for general corporate purposes of AngioDynamics and its subsidiaries. The Facilities have a five year maturity. The Term Loan has a quarterly repayment schedule equal to 5%, 5%, 10%, 15% and 65% of its principal amount in years one through five. Interest on both the Term Loan and Revolving Facility are based on a base rate or Eurodollar rate plus an applicable margin which increases as our total leverage ratio increases, with the base rate and Eurodollar rate having ranges of 0.50% to 1.25% and 1.5% to 2.25% respectively. After default, the interest rate may be increased by 2.0%. The Revolving Facility will also carry a commitment fee of 0.2% to 0.35% per annum on the unused portion.</w:t>
      </w:r>
    </w:p>
    <w:p>
      <w:pPr>
        <w:spacing w:after="0" w:line="158"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Our obligations under the Facilities are unconditionally guaranteed, jointly and severally, by our material direct and indirect domestic subsidiaries (the “</w:t>
      </w:r>
      <w:r>
        <w:rPr>
          <w:rFonts w:ascii="Arial" w:cs="Arial" w:eastAsia="Arial" w:hAnsi="Arial"/>
          <w:sz w:val="18"/>
          <w:szCs w:val="18"/>
          <w:u w:val="single" w:color="auto"/>
          <w:color w:val="auto"/>
        </w:rPr>
        <w:t>Guarantors</w:t>
      </w:r>
      <w:r>
        <w:rPr>
          <w:rFonts w:ascii="Arial" w:cs="Arial" w:eastAsia="Arial" w:hAnsi="Arial"/>
          <w:sz w:val="18"/>
          <w:szCs w:val="18"/>
          <w:color w:val="auto"/>
        </w:rPr>
        <w:t>”). All obligations of AngioDynamics and the Guarantors under the Facilities are secured by first priority security interests in substantially all of the assets of AngioDynamics and the Guarantors.</w:t>
      </w:r>
    </w:p>
    <w:p>
      <w:pPr>
        <w:spacing w:after="0" w:line="18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entered into an interest rate swap agreement, (the “Swap Agreement”), with an initial notional amount of $100 million, to limit the effect of rising of interest rates. The Swap Agreement, which qualified for hedge accounting under authoritative guidance, was a contract to exchange floating interest rate payments for fixed interest rate payments on the outstanding balance of the loan over the life of the agreement without the exchange of the underlying notional amounts. The Swap Agreement provides for a fixed rate of 0.74% above the applicable rate provided for in the Credit Agreement. The Swap matures during 2016.</w:t>
      </w:r>
    </w:p>
    <w:p>
      <w:pPr>
        <w:spacing w:after="0" w:line="188"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On September 19, 2013, we borrowed $100 million under the Term Facility and approximately $41.4 million under the Revolving Facility to repay the Former Credit Agreement. As of November 30, 2015, $87.5 million and $46.4 million were outstanding under the Term Facility and Revolving Facility, respectively. The Credit Agreement includes customary representations, warranties and covenants, and acceleration, indemnity and events of default provisions, including, among other things, two financial covenants. The first financial covenant requires us to maintain, as of the end of each of our fiscal quarters, a ratio of consolidated adjusted EBITDA minus consolidated capital expenditures to consolidated interest expense paid or payable in cash plus scheduled principal payments in respect of indebtedness under the Credit Agreement of not less than 1.35 to 1.00. The second financial covenant requires us to maintain, as of the end of each of our fiscal quarters, a ratio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consolidated total indebtedness to consolidated adjusted EBITDA of not greater than 3.75 to 1.00. We were in compliance with both covenants as of November 30,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364"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following table presents the components of income tax expense (benefit) for the three and six months ended November 30, 2015 and 2014 (in thousands of dollars):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28"/>
              <w:spacing w:after="0"/>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color w:val="auto"/>
              </w:rPr>
              <w:t>Six Months Ended</w:t>
            </w:r>
          </w:p>
        </w:tc>
      </w:tr>
      <w:tr>
        <w:trPr>
          <w:trHeight w:val="264"/>
        </w:trPr>
        <w:tc>
          <w:tcPr>
            <w:tcW w:w="6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Nov 30, 2015</w:t>
            </w:r>
          </w:p>
        </w:tc>
        <w:tc>
          <w:tcPr>
            <w:tcW w:w="20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Nov 30, 2014</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2015</w:t>
            </w:r>
          </w:p>
        </w:tc>
        <w:tc>
          <w:tcPr>
            <w:tcW w:w="160" w:type="dxa"/>
            <w:vAlign w:val="bottom"/>
          </w:tcPr>
          <w:p>
            <w:pPr>
              <w:spacing w:after="0"/>
              <w:rPr>
                <w:sz w:val="22"/>
                <w:szCs w:val="22"/>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Nov 30, 2014</w:t>
            </w:r>
          </w:p>
        </w:tc>
      </w:tr>
      <w:tr>
        <w:trPr>
          <w:trHeight w:val="270"/>
        </w:trPr>
        <w:tc>
          <w:tcPr>
            <w:tcW w:w="6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(728)</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2,829</w:t>
            </w: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4,247</w:t>
            </w:r>
          </w:p>
        </w:tc>
      </w:tr>
      <w:tr>
        <w:trPr>
          <w:trHeight w:val="237"/>
        </w:trPr>
        <w:tc>
          <w:tcPr>
            <w:tcW w:w="6180" w:type="dxa"/>
            <w:vAlign w:val="bottom"/>
          </w:tcPr>
          <w:p>
            <w:pPr>
              <w:ind w:left="120"/>
              <w:spacing w:after="0"/>
              <w:rPr>
                <w:sz w:val="20"/>
                <w:szCs w:val="20"/>
                <w:color w:val="auto"/>
              </w:rPr>
            </w:pPr>
            <w:r>
              <w:rPr>
                <w:rFonts w:ascii="Arial" w:cs="Arial" w:eastAsia="Arial" w:hAnsi="Arial"/>
                <w:sz w:val="16"/>
                <w:szCs w:val="16"/>
                <w:color w:val="auto"/>
              </w:rPr>
              <w:t>Less discrete book income (expense):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Non-taxable portion of change in fair value of contingent consideration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6180" w:type="dxa"/>
            <w:vAlign w:val="bottom"/>
          </w:tcPr>
          <w:p>
            <w:pPr>
              <w:ind w:left="40"/>
              <w:spacing w:after="0"/>
              <w:rPr>
                <w:sz w:val="20"/>
                <w:szCs w:val="20"/>
                <w:color w:val="auto"/>
              </w:rPr>
            </w:pPr>
            <w:r>
              <w:rPr>
                <w:rFonts w:ascii="Arial" w:cs="Arial" w:eastAsia="Arial" w:hAnsi="Arial"/>
                <w:sz w:val="16"/>
                <w:szCs w:val="16"/>
                <w:color w:val="auto"/>
              </w:rPr>
              <w:t>Ordinary income (loss) before income taxes</w:t>
            </w: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(728)</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2,829</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4,247</w:t>
            </w:r>
          </w:p>
        </w:tc>
      </w:tr>
      <w:tr>
        <w:trPr>
          <w:trHeight w:val="330"/>
        </w:trPr>
        <w:tc>
          <w:tcPr>
            <w:tcW w:w="6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20"/>
        </w:trPr>
        <w:tc>
          <w:tcPr>
            <w:tcW w:w="6180" w:type="dxa"/>
            <w:vAlign w:val="bottom"/>
          </w:tcPr>
          <w:p>
            <w:pPr>
              <w:ind w:left="40"/>
              <w:spacing w:after="0"/>
              <w:rPr>
                <w:sz w:val="20"/>
                <w:szCs w:val="20"/>
                <w:color w:val="auto"/>
              </w:rPr>
            </w:pPr>
            <w:r>
              <w:rPr>
                <w:rFonts w:ascii="Arial" w:cs="Arial" w:eastAsia="Arial" w:hAnsi="Arial"/>
                <w:sz w:val="16"/>
                <w:szCs w:val="16"/>
                <w:color w:val="auto"/>
                <w:w w:val="94"/>
              </w:rPr>
              <w:t>Income tax expense (benefit) based on ordinary income (loss) at estimated tax rates for the</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3"/>
        </w:trPr>
        <w:tc>
          <w:tcPr>
            <w:tcW w:w="6180" w:type="dxa"/>
            <w:vAlign w:val="bottom"/>
          </w:tcPr>
          <w:p>
            <w:pPr>
              <w:ind w:left="40"/>
              <w:spacing w:after="0"/>
              <w:rPr>
                <w:sz w:val="20"/>
                <w:szCs w:val="20"/>
                <w:color w:val="auto"/>
              </w:rPr>
            </w:pPr>
            <w:r>
              <w:rPr>
                <w:rFonts w:ascii="Arial" w:cs="Arial" w:eastAsia="Arial" w:hAnsi="Arial"/>
                <w:sz w:val="16"/>
                <w:szCs w:val="16"/>
                <w:color w:val="auto"/>
              </w:rPr>
              <w:t>three and six months ended November 30, 2015 and November 30, 2014, respectively</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(792)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1,738</w:t>
            </w:r>
          </w:p>
        </w:tc>
      </w:tr>
      <w:tr>
        <w:trPr>
          <w:trHeight w:val="256"/>
        </w:trPr>
        <w:tc>
          <w:tcPr>
            <w:tcW w:w="6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Discrete tax expense (benefit):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64"/>
        </w:trPr>
        <w:tc>
          <w:tcPr>
            <w:tcW w:w="6180" w:type="dxa"/>
            <w:vAlign w:val="bottom"/>
          </w:tcPr>
          <w:p>
            <w:pPr>
              <w:ind w:left="180"/>
              <w:spacing w:after="0"/>
              <w:rPr>
                <w:sz w:val="20"/>
                <w:szCs w:val="20"/>
                <w:color w:val="auto"/>
              </w:rPr>
            </w:pPr>
            <w:r>
              <w:rPr>
                <w:rFonts w:ascii="Arial" w:cs="Arial" w:eastAsia="Arial" w:hAnsi="Arial"/>
                <w:sz w:val="16"/>
                <w:szCs w:val="16"/>
                <w:color w:val="auto"/>
              </w:rPr>
              <w:t>Adjustment for elimination of the ASC 718 APIC pool</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685</w:t>
            </w:r>
          </w:p>
        </w:tc>
      </w:tr>
      <w:tr>
        <w:trPr>
          <w:trHeight w:val="276"/>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prior period tax liabilities</w:t>
            </w:r>
          </w:p>
        </w:tc>
        <w:tc>
          <w:tcPr>
            <w:tcW w:w="1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31"/>
        </w:trPr>
        <w:tc>
          <w:tcPr>
            <w:tcW w:w="6180" w:type="dxa"/>
            <w:vAlign w:val="bottom"/>
          </w:tcPr>
          <w:p>
            <w:pPr>
              <w:ind w:left="40"/>
              <w:spacing w:after="0"/>
              <w:rPr>
                <w:sz w:val="20"/>
                <w:szCs w:val="20"/>
                <w:color w:val="auto"/>
              </w:rPr>
            </w:pPr>
            <w:r>
              <w:rPr>
                <w:rFonts w:ascii="Arial" w:cs="Arial" w:eastAsia="Arial" w:hAnsi="Arial"/>
                <w:sz w:val="16"/>
                <w:szCs w:val="16"/>
                <w:color w:val="auto"/>
              </w:rPr>
              <w:t>Total income tax expense (benefit)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2,439</w:t>
            </w:r>
          </w:p>
        </w:tc>
      </w:tr>
      <w:tr>
        <w:trPr>
          <w:trHeight w:val="20"/>
        </w:trPr>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estimated full year effective tax rate prior to discrete items was 50.4% in the second quarter of fiscal 2016, as compared to 40.9% for the same period in fiscal 2015. The tax rates are greater than the 35% US statutory tax rate in both periods primarily due to the impact of non-deductible expenses (such as the non-deductible portion of meals and entertainment, non-deductible interest on contingent payments and non-deductible stock based compensation related to employee stock purchase plan). These non-deductible expenses have a larger impact on the estimated tax rate in fiscal year 2016 as a result of lower ordinary income in fiscal 2016 as compared to fiscal 2015.</w:t>
      </w:r>
    </w:p>
    <w:p>
      <w:pPr>
        <w:spacing w:after="0" w:line="8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ASC 718 APIC pool was depleted during fiscal year 2014. Prior to its depletion, the APIC pool was reduced when share-based compensation cost previously recognized by us was greater than the deduction allowed for income tax purposes based on the price of our common stock on the date of exercise or vesting. Due to its depletion we recorded a discrete tax expense in the three and six months ended November 30, 2015 and 2014, as noted in the above table.</w:t>
      </w:r>
    </w:p>
    <w:p>
      <w:pPr>
        <w:spacing w:after="0" w:line="7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have recorded a net deferred tax asset in the US of $19.8 million which includes the benefit of $148.3 million of loss carryforwards, which expire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tbl>
      <w:tblPr>
        <w:tblLayout w:type="fixed"/>
        <w:tblInd w:w="3930" w:type="dxa"/>
        <w:tblCellMar>
          <w:top w:w="0" w:type="dxa"/>
          <w:left w:w="0" w:type="dxa"/>
          <w:bottom w:w="0" w:type="dxa"/>
          <w:right w:w="0" w:type="dxa"/>
        </w:tblCellMar>
      </w:tblPr>
      <w:tr>
        <w:trPr>
          <w:trHeight w:val="242"/>
        </w:trPr>
        <w:tc>
          <w:tcPr>
            <w:tcW w:w="1800" w:type="dxa"/>
            <w:vAlign w:val="bottom"/>
            <w:tcBorders>
              <w:top w:val="single" w:sz="8" w:color="auto"/>
              <w:left w:val="single" w:sz="8" w:color="auto"/>
              <w:right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4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w w:val="98"/>
              </w:rPr>
              <w:t>NOL Available (in</w:t>
            </w:r>
          </w:p>
        </w:tc>
      </w:tr>
      <w:tr>
        <w:trPr>
          <w:trHeight w:val="230"/>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60" w:type="dxa"/>
            <w:vAlign w:val="bottom"/>
          </w:tcPr>
          <w:p>
            <w:pPr>
              <w:spacing w:after="0"/>
              <w:rPr>
                <w:sz w:val="20"/>
                <w:szCs w:val="20"/>
                <w:color w:val="auto"/>
              </w:rPr>
            </w:pPr>
          </w:p>
        </w:tc>
        <w:tc>
          <w:tcPr>
            <w:tcW w:w="164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thousands)</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2019</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11,898</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2020</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2022</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7,526</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2023</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2027</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20,167</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2028</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22,527</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2029</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27,684</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2030</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28,043</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2031</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5,647</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2032</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2033</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1,345</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2034</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2035</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11,581</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Company’s analysis of the need for a valuation allowance considered that the Company has incurred a cumulative loss before taxes in the U.S. over the three year period ended November 30, 2015. A majority of the cumulative loss has been caused by the charges associated with the product recall and discontinuance and the impairment of fixed and intangible assets recorded in the quarter ended February 28, 2015, as well as restructuring and integration expenses in the period since the acquisition of Navilyst Medical in May 2012. We anticipate a return to profitability in fiscal 2016. Consideration has also been given to our history of not having Federal tax loss carryforwards expire unused, as well as the period over which the net deferred tax assets can be realized, including the expiration of our loss carryforwards and IRC Section 382 limitations.</w:t>
      </w:r>
    </w:p>
    <w:p>
      <w:pPr>
        <w:spacing w:after="0" w:line="17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Based on our assessment, it is more likely than not that our U.S. net deferred tax asset will be realized through future taxable earnings, the reversal of existing taxable temporary differences, and tax planning strategies. Accordingly no valuation allowance has been recorded on this net asset. We will continue to assess the need for a valuation allowance in the future.</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future results are less than projected in the U.S. and if tax planning alternatives do not offset those effects, a valuation allowance may be required to reduce the deferred tax asset, which could have a material impact on our results of operations in the period in which it is recorded. While the net deferred tax asset at November 30, 2015 is $19.8 million, if the Company were required to record a valuation allowance it could be $15.3 million greater than this amount due to deferred tax liabilities related to intangibles that have an indefinite reversal period.</w:t>
      </w:r>
    </w:p>
    <w:p>
      <w:pPr>
        <w:spacing w:after="0" w:line="18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During December 2015, the Consolidated Appropriations Act of 2016 (H.R. 2029) was enacted and permanently extended the research credit effective January 1, 2015. Accordingly, the retroactive benefit related to this renewal will be reflected in our third quarter results.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SHARE-BASED COMPENSATION</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two stock-based compensation plans that provide for the issuance of up to approximately 6.8 million shares of common stock. The 2004 Stock and Incentive Award Plan (the "2004 Plan") provides for the grant of incentive options to our employees and for the grant of non-statutory stock options, restricted stock, stock appreciation rights, performance units, performance shares and other incentive awards to our employees, directors and other service providers. We also have an employee stock purchase plan.</w:t>
      </w:r>
    </w:p>
    <w:p>
      <w:pPr>
        <w:spacing w:after="0" w:line="187"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For the three months ended November 30, 2015 and 2014, share-based payment expense was $1.2 million and $1.5 million, respectively. For the six months ended November 30, 2015 and 2014, share-based payment expense was $2.9 million and $2.9 million, respectively.</w:t>
      </w:r>
    </w:p>
    <w:p>
      <w:pPr>
        <w:spacing w:after="0" w:line="14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the three and six months ended November 30, 2015 and November 30, 2014, the company granted stock options and restricted stock units under the 2004 Plan to certain employees and members of the Board of Directors. Stock option awards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122" w:right="29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are valued using the Black-Scholes option-pricing model and then amortized on a straight-line basis over the requisite service period of the award. Restricted stock unit awards are valued based on the closing trading value of our shares on the date of grant and then amortized on a straight-line basis over the requisite service period of the award.</w:t>
      </w:r>
    </w:p>
    <w:p>
      <w:pPr>
        <w:spacing w:after="0" w:line="18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the first quarter of fiscal year 2016 and 2015, the company granted performance share awards under the 2004 Plan to certain employees. The awards may be earned by achieving relative performance levels over the three year requisite service period. The performance criteria are based on the total shareholder return ("TSR") of the company's common stock relative to the TSR of the common stock of a pre-defined industry peer-group. The fair value of these awards are based on the closing trading value of our shares on the date of grant and use a Monte Carlo simulation model.</w:t>
      </w:r>
    </w:p>
    <w:p>
      <w:pPr>
        <w:spacing w:after="0" w:line="17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As of November 30, 2015, there were $13.2 million of unrecognized compensation expenses related to share-based payment arrangements. These costs are expected to be recognized over a weighted-average period of approximately four years. The company has sufficient shares to satisfy expected share-based payment arrangements.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EARNINGS PER SHARE</w:t>
      </w:r>
    </w:p>
    <w:p>
      <w:pPr>
        <w:spacing w:after="0" w:line="12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Basic earnings per share are based on the weighted average number of common shares outstanding without consideration of potential common stock. In addition, diluted earnings per share include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8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reconciles basic to diluted weighted-average shares outstanding for the three and six months ended November 30, 2015 and 2014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color w:val="auto"/>
              </w:rPr>
              <w:t>Six Months Ended</w:t>
            </w:r>
          </w:p>
        </w:tc>
      </w:tr>
      <w:tr>
        <w:trPr>
          <w:trHeight w:val="264"/>
        </w:trPr>
        <w:tc>
          <w:tcPr>
            <w:tcW w:w="652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color w:val="auto"/>
              </w:rPr>
              <w:t>Nov 30, 2015</w:t>
            </w:r>
          </w:p>
        </w:tc>
        <w:tc>
          <w:tcPr>
            <w:tcW w:w="1240" w:type="dxa"/>
            <w:vAlign w:val="bottom"/>
            <w:gridSpan w:val="2"/>
          </w:tcPr>
          <w:p>
            <w:pPr>
              <w:ind w:left="180"/>
              <w:spacing w:after="0"/>
              <w:rPr>
                <w:sz w:val="20"/>
                <w:szCs w:val="20"/>
                <w:color w:val="auto"/>
              </w:rPr>
            </w:pPr>
            <w:r>
              <w:rPr>
                <w:rFonts w:ascii="Arial" w:cs="Arial" w:eastAsia="Arial" w:hAnsi="Arial"/>
                <w:sz w:val="14"/>
                <w:szCs w:val="14"/>
                <w:color w:val="auto"/>
              </w:rPr>
              <w:t>Nov 30, 2014</w:t>
            </w:r>
          </w:p>
        </w:tc>
        <w:tc>
          <w:tcPr>
            <w:tcW w:w="1240" w:type="dxa"/>
            <w:vAlign w:val="bottom"/>
            <w:gridSpan w:val="2"/>
          </w:tcPr>
          <w:p>
            <w:pPr>
              <w:ind w:left="180"/>
              <w:spacing w:after="0"/>
              <w:rPr>
                <w:sz w:val="20"/>
                <w:szCs w:val="20"/>
                <w:color w:val="auto"/>
              </w:rPr>
            </w:pPr>
            <w:r>
              <w:rPr>
                <w:rFonts w:ascii="Arial" w:cs="Arial" w:eastAsia="Arial" w:hAnsi="Arial"/>
                <w:sz w:val="14"/>
                <w:szCs w:val="14"/>
                <w:color w:val="auto"/>
              </w:rPr>
              <w:t>Nov 30, 2015</w:t>
            </w:r>
          </w:p>
        </w:tc>
        <w:tc>
          <w:tcPr>
            <w:tcW w:w="1140" w:type="dxa"/>
            <w:vAlign w:val="bottom"/>
          </w:tcPr>
          <w:p>
            <w:pPr>
              <w:jc w:val="right"/>
              <w:ind w:right="94"/>
              <w:spacing w:after="0"/>
              <w:rPr>
                <w:sz w:val="20"/>
                <w:szCs w:val="20"/>
                <w:color w:val="auto"/>
              </w:rPr>
            </w:pPr>
            <w:r>
              <w:rPr>
                <w:rFonts w:ascii="Arial" w:cs="Arial" w:eastAsia="Arial" w:hAnsi="Arial"/>
                <w:sz w:val="14"/>
                <w:szCs w:val="14"/>
                <w:color w:val="auto"/>
              </w:rPr>
              <w:t>Nov 30, 2014</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36,140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36,051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35,475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537</w:t>
            </w: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36,140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36,127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36,051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36,012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excluded as their inclusion would be anti-dilutive</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3,161</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2,306</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SEGMENT AND GEOGRAPHIC INFORMATION</w:t>
      </w:r>
    </w:p>
    <w:p>
      <w:pPr>
        <w:spacing w:after="0" w:line="12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consider our business to be a single operating segment entity engaged in the development, manufacture and sale on a global basis of medical devices for vascular access, peripheral vascular disease, oncology and surgery. Our chief operating decision maker (CEO) evaluates the various global product portfolios on a net sales basis. Executives reporting to the CEO include those responsible for commercial operations, manufacturing operations, regulatory and quality and certain corporate functions. The CEO evaluates profitability, investment and cash flow metrics on a consolidated worldwide basis due to shared infrastructure and resources.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net sales by product category (in thousands of dollars):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color w:val="auto"/>
              </w:rPr>
              <w:t>Six Months Ended</w:t>
            </w:r>
          </w:p>
        </w:tc>
      </w:tr>
      <w:tr>
        <w:trPr>
          <w:trHeight w:val="264"/>
        </w:trPr>
        <w:tc>
          <w:tcPr>
            <w:tcW w:w="6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Nov 30, 2015</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2014</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2015</w:t>
            </w:r>
          </w:p>
        </w:tc>
        <w:tc>
          <w:tcPr>
            <w:tcW w:w="16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3"/>
              </w:rPr>
              <w:t>Nov 30, 2014</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Peripheral Vascular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51,051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49,440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98,158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96,801</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25,023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49,667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54,393</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Oncology/Surgery</w:t>
            </w:r>
          </w:p>
        </w:tc>
        <w:tc>
          <w:tcPr>
            <w:tcW w:w="16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12,422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13,634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23,706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25,996</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Supply Agreement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2,290</w:t>
            </w: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89,234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92,149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172,937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179,480</w:t>
            </w:r>
          </w:p>
        </w:tc>
      </w:tr>
      <w:tr>
        <w:trPr>
          <w:trHeight w:val="27"/>
        </w:trPr>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net sales by geographic area based on external customer location (in thousands of dollars):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65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906"/>
        </w:trPr>
        <w:tc>
          <w:tcPr>
            <w:tcW w:w="1020" w:type="dxa"/>
            <w:vAlign w:val="bottom"/>
            <w:tcBorders>
              <w:top w:val="single" w:sz="8" w:color="0000EE"/>
            </w:tcBorders>
          </w:tcPr>
          <w:p>
            <w:pPr>
              <w:spacing w:after="0"/>
              <w:rPr>
                <w:sz w:val="24"/>
                <w:szCs w:val="24"/>
                <w:color w:val="auto"/>
              </w:rPr>
            </w:pPr>
          </w:p>
        </w:tc>
        <w:tc>
          <w:tcPr>
            <w:tcW w:w="5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color w:val="auto"/>
              </w:rPr>
              <w:t>Six Months Ended</w:t>
            </w:r>
          </w:p>
        </w:tc>
      </w:tr>
      <w:tr>
        <w:trPr>
          <w:trHeight w:val="264"/>
        </w:trPr>
        <w:tc>
          <w:tcPr>
            <w:tcW w:w="102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Nov 30, 2015</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2014</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2015</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3"/>
              </w:rPr>
              <w:t>Nov 30, 2014</w:t>
            </w:r>
          </w:p>
        </w:tc>
      </w:tr>
      <w:tr>
        <w:trPr>
          <w:trHeight w:val="250"/>
        </w:trPr>
        <w:tc>
          <w:tcPr>
            <w:tcW w:w="65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gridSpan w:val="2"/>
          </w:tcPr>
          <w:p>
            <w:pPr>
              <w:ind w:left="3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70,651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72,058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139,021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140,438</w:t>
            </w: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17,845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36,752</w:t>
            </w:r>
          </w:p>
        </w:tc>
      </w:tr>
      <w:tr>
        <w:trPr>
          <w:trHeight w:val="243"/>
        </w:trPr>
        <w:tc>
          <w:tcPr>
            <w:tcW w:w="6520" w:type="dxa"/>
            <w:vAlign w:val="bottom"/>
            <w:gridSpan w:val="2"/>
          </w:tcPr>
          <w:p>
            <w:pPr>
              <w:ind w:left="380"/>
              <w:spacing w:after="0"/>
              <w:rPr>
                <w:sz w:val="20"/>
                <w:szCs w:val="20"/>
                <w:color w:val="auto"/>
              </w:rPr>
            </w:pPr>
            <w:r>
              <w:rPr>
                <w:rFonts w:ascii="Arial" w:cs="Arial" w:eastAsia="Arial" w:hAnsi="Arial"/>
                <w:sz w:val="18"/>
                <w:szCs w:val="18"/>
                <w:color w:val="auto"/>
              </w:rPr>
              <w:t>Supply Agreement</w:t>
            </w:r>
          </w:p>
        </w:tc>
        <w:tc>
          <w:tcPr>
            <w:tcW w:w="1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2,290</w:t>
            </w:r>
          </w:p>
        </w:tc>
      </w:tr>
      <w:tr>
        <w:trPr>
          <w:trHeight w:val="27"/>
        </w:trPr>
        <w:tc>
          <w:tcPr>
            <w:tcW w:w="10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89,234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92,149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172,937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179,480</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FAIR VALUE</w:t>
      </w:r>
    </w:p>
    <w:p>
      <w:pPr>
        <w:spacing w:after="0" w:line="121"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Our financial instruments include cash and cash equivalents, accounts receivable, marketable securities, accounts payable, an interest rate swap agreement and contingent consideration. The carrying amount of cash and cash equivalents, accounts receivable, and accounts payable approximates fair value due to the immediate or short-term maturities. The marketable securities and interest rate swap agreement have been recorded at their fair value based on a valuation received from an independent third party. The contingent consideration has been recorded at fair value using the income approach.</w:t>
      </w:r>
    </w:p>
    <w:p>
      <w:pPr>
        <w:spacing w:after="0" w:line="100"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This policy establishes a fair value hierarchy which requires an entity to maximize the use of observable inputs and minimize the use of unobservable inputs when measuring fair value. The policy describes three levels of inputs that may be used to measure fair value which are provided in the table below.</w:t>
      </w:r>
    </w:p>
    <w:p>
      <w:pPr>
        <w:sectPr>
          <w:pgSz w:w="11900" w:h="16838" w:orient="portrait"/>
          <w:cols w:equalWidth="0" w:num="1">
            <w:col w:w="11420"/>
          </w:cols>
          <w:pgMar w:left="240" w:top="114" w:right="239" w:bottom="1440" w:gutter="0" w:footer="0" w:header="0"/>
        </w:sect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Quoted prices in active markets for identical assets or liabilities. Level 1 assets include money market funds that are traded in an active exchange market.</w:t>
      </w:r>
    </w:p>
    <w:p>
      <w:pPr>
        <w:spacing w:after="0" w:line="143" w:lineRule="exact"/>
        <w:rPr>
          <w:sz w:val="20"/>
          <w:szCs w:val="20"/>
          <w:color w:val="auto"/>
        </w:rPr>
      </w:pPr>
    </w:p>
    <w:p>
      <w:pPr>
        <w:sectPr>
          <w:pgSz w:w="11900" w:h="16838" w:orient="portrait"/>
          <w:cols w:equalWidth="0" w:num="2">
            <w:col w:w="700" w:space="720"/>
            <w:col w:w="10000"/>
          </w:cols>
          <w:pgMar w:left="240" w:top="11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Level 2</w:t>
      </w:r>
    </w:p>
    <w:p>
      <w:pPr>
        <w:spacing w:after="0" w:line="20" w:lineRule="exact"/>
        <w:rPr>
          <w:sz w:val="20"/>
          <w:szCs w:val="20"/>
          <w:color w:val="auto"/>
        </w:rPr>
      </w:pPr>
      <w:r>
        <w:rPr>
          <w:sz w:val="20"/>
          <w:szCs w:val="20"/>
          <w:color w:val="auto"/>
        </w:rPr>
        <w:br w:type="column"/>
      </w:r>
    </w:p>
    <w:p>
      <w:pPr>
        <w:ind w:right="120"/>
        <w:spacing w:after="0" w:line="270" w:lineRule="auto"/>
        <w:rPr>
          <w:sz w:val="20"/>
          <w:szCs w:val="20"/>
          <w:color w:val="auto"/>
        </w:rPr>
      </w:pPr>
      <w:r>
        <w:rPr>
          <w:rFonts w:ascii="Arial" w:cs="Arial" w:eastAsia="Arial" w:hAnsi="Arial"/>
          <w:sz w:val="17"/>
          <w:szCs w:val="17"/>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When quoted market prices are unobservable, we obtain pricing information from an independent pricing vendor. The pricing vendor uses various pricing models for each asset class that are consistent with what other market participants would use. The inputs and assumptions to the model of the pricing vendor are derived from market observable sources including: benchmark yields, reported trades, broker/dealer quotes, issuer spreads, benchmark securities, bids, offers, and other market-related data. The pricing vendor considers all available market observable inputs in determining the evaluation for a security. Thus, certain securities may not be priced using quoted prices, but rather determined from market observable information. Included in Level 2 assets is our interest rate swap agreement which is valued using a mid-market valuation model.</w:t>
      </w:r>
    </w:p>
    <w:p>
      <w:pPr>
        <w:spacing w:after="0" w:line="155" w:lineRule="exact"/>
        <w:rPr>
          <w:sz w:val="20"/>
          <w:szCs w:val="20"/>
          <w:color w:val="auto"/>
        </w:rPr>
      </w:pPr>
    </w:p>
    <w:p>
      <w:pPr>
        <w:sectPr>
          <w:pgSz w:w="11900" w:h="16838" w:orient="portrait"/>
          <w:cols w:equalWidth="0" w:num="2">
            <w:col w:w="700" w:space="720"/>
            <w:col w:w="10000"/>
          </w:cols>
          <w:pgMar w:left="240" w:top="11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ind w:right="60"/>
        <w:spacing w:after="0" w:line="269" w:lineRule="auto"/>
        <w:rPr>
          <w:sz w:val="20"/>
          <w:szCs w:val="20"/>
          <w:color w:val="auto"/>
        </w:rPr>
      </w:pPr>
      <w:r>
        <w:rPr>
          <w:rFonts w:ascii="Arial" w:cs="Arial" w:eastAsia="Arial" w:hAnsi="Arial"/>
          <w:sz w:val="17"/>
          <w:szCs w:val="17"/>
          <w:color w:val="auto"/>
        </w:rPr>
        <w:t>Unobservable inputs that are supported by little or no market activity and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includes the auction rate securities where independent pricing information was not able to be obtained and the contingent consideration related to the acquisition of Vortex, Microsulis and Clinical Devices. Our investments in auction-rate securities were classified as Level 3 as quoted prices were unavailable since these auction rate securities issued by New York state and local government authorities failed auction. Due to limited market information, we utilized a discounted cash flow (“DCF”) model to derive an estimate of fair value for contingent considerations for all periods presented. The assumptions used in preparing the DCF model included estimates with respect to the discount rate, amount and timing of future interest and principal payments and forward projections. Assumptions associated with the auction rate securities include the interest rate benchmarks, the probability of full repayment of the principal considering the credit quality and guarantees in place, and the rate of return required by investors to own such securities given the current liquidity risk.</w:t>
      </w:r>
    </w:p>
    <w:p>
      <w:pPr>
        <w:spacing w:after="0" w:line="200" w:lineRule="exact"/>
        <w:rPr>
          <w:sz w:val="20"/>
          <w:szCs w:val="20"/>
          <w:color w:val="auto"/>
        </w:rPr>
      </w:pPr>
    </w:p>
    <w:p>
      <w:pPr>
        <w:sectPr>
          <w:pgSz w:w="11900" w:h="16838" w:orient="portrait"/>
          <w:cols w:equalWidth="0" w:num="2">
            <w:col w:w="700" w:space="720"/>
            <w:col w:w="10000"/>
          </w:cols>
          <w:pgMar w:left="240" w:top="114" w:right="2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14"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 as of November 30, 2015 and May 31, 2015 (in thousands of dollars):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20" w:type="dxa"/>
            <w:vAlign w:val="bottom"/>
            <w:gridSpan w:val="6"/>
          </w:tcPr>
          <w:p>
            <w:pPr>
              <w:ind w:left="120"/>
              <w:spacing w:after="0"/>
              <w:rPr>
                <w:sz w:val="20"/>
                <w:szCs w:val="20"/>
                <w:color w:val="auto"/>
              </w:rPr>
            </w:pPr>
            <w:r>
              <w:rPr>
                <w:rFonts w:ascii="Arial" w:cs="Arial" w:eastAsia="Arial" w:hAnsi="Arial"/>
                <w:sz w:val="18"/>
                <w:szCs w:val="18"/>
                <w:color w:val="auto"/>
                <w:w w:val="93"/>
              </w:rPr>
              <w:t>Fair Value Measurements using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restart"/>
          </w:tcPr>
          <w:p>
            <w:pPr>
              <w:jc w:val="right"/>
              <w:ind w:right="130"/>
              <w:spacing w:after="0"/>
              <w:rPr>
                <w:sz w:val="20"/>
                <w:szCs w:val="20"/>
                <w:color w:val="auto"/>
              </w:rPr>
            </w:pPr>
            <w:r>
              <w:rPr>
                <w:rFonts w:ascii="Arial" w:cs="Arial" w:eastAsia="Arial" w:hAnsi="Arial"/>
                <w:sz w:val="18"/>
                <w:szCs w:val="18"/>
                <w:color w:val="auto"/>
                <w:w w:val="95"/>
              </w:rPr>
              <w:t>Fair Value at</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700" w:type="dxa"/>
            <w:vAlign w:val="bottom"/>
            <w:gridSpan w:val="4"/>
            <w:vMerge w:val="restart"/>
          </w:tcPr>
          <w:p>
            <w:pPr>
              <w:jc w:val="center"/>
              <w:ind w:right="20"/>
              <w:spacing w:after="0"/>
              <w:rPr>
                <w:sz w:val="20"/>
                <w:szCs w:val="20"/>
                <w:color w:val="auto"/>
              </w:rPr>
            </w:pPr>
            <w:r>
              <w:rPr>
                <w:rFonts w:ascii="Arial" w:cs="Arial" w:eastAsia="Arial" w:hAnsi="Arial"/>
                <w:sz w:val="18"/>
                <w:szCs w:val="18"/>
                <w:color w:val="auto"/>
                <w:w w:val="89"/>
              </w:rPr>
              <w:t>inputs considered as:</w:t>
            </w: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70"/>
              <w:spacing w:after="0" w:line="190" w:lineRule="exact"/>
              <w:rPr>
                <w:sz w:val="20"/>
                <w:szCs w:val="20"/>
                <w:color w:val="auto"/>
              </w:rPr>
            </w:pPr>
            <w:r>
              <w:rPr>
                <w:rFonts w:ascii="Arial" w:cs="Arial" w:eastAsia="Arial" w:hAnsi="Arial"/>
                <w:sz w:val="18"/>
                <w:szCs w:val="18"/>
                <w:color w:val="auto"/>
                <w:w w:val="91"/>
              </w:rPr>
              <w:t>November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100" w:type="dxa"/>
            <w:vAlign w:val="bottom"/>
          </w:tcPr>
          <w:p>
            <w:pPr>
              <w:jc w:val="right"/>
              <w:ind w:right="34"/>
              <w:spacing w:after="0"/>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Level 2</w:t>
            </w:r>
          </w:p>
        </w:tc>
        <w:tc>
          <w:tcPr>
            <w:tcW w:w="40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Level 3</w:t>
            </w:r>
          </w:p>
        </w:tc>
        <w:tc>
          <w:tcPr>
            <w:tcW w:w="140" w:type="dxa"/>
            <w:vAlign w:val="bottom"/>
          </w:tcPr>
          <w:p>
            <w:pPr>
              <w:spacing w:after="0"/>
              <w:rPr>
                <w:sz w:val="22"/>
                <w:szCs w:val="22"/>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189"/>
        </w:trPr>
        <w:tc>
          <w:tcPr>
            <w:tcW w:w="52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Assets</w:t>
            </w:r>
          </w:p>
        </w:tc>
        <w:tc>
          <w:tcPr>
            <w:tcW w:w="1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7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Marketable securities</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U.S. government agency obligations</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20" w:type="dxa"/>
            <w:vAlign w:val="bottom"/>
            <w:gridSpan w:val="3"/>
          </w:tcPr>
          <w:p>
            <w:pPr>
              <w:ind w:left="68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Assets</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4"/>
            <w:vMerge w:val="restart"/>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60" w:type="dxa"/>
            <w:vAlign w:val="bottom"/>
            <w:gridSpan w:val="4"/>
            <w:vMerge w:val="continue"/>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Contingent liability for acquisition earn out</w:t>
            </w:r>
          </w:p>
        </w:tc>
        <w:tc>
          <w:tcPr>
            <w:tcW w:w="1100" w:type="dxa"/>
            <w:vAlign w:val="bottom"/>
          </w:tcPr>
          <w:p>
            <w:pPr>
              <w:spacing w:after="0"/>
              <w:rPr>
                <w:sz w:val="21"/>
                <w:szCs w:val="21"/>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37,849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37,849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Liabilities</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37,946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gridSpan w:val="6"/>
          </w:tcPr>
          <w:p>
            <w:pPr>
              <w:ind w:left="120"/>
              <w:spacing w:after="0"/>
              <w:rPr>
                <w:sz w:val="20"/>
                <w:szCs w:val="20"/>
                <w:color w:val="auto"/>
              </w:rPr>
            </w:pPr>
            <w:r>
              <w:rPr>
                <w:rFonts w:ascii="Arial" w:cs="Arial" w:eastAsia="Arial" w:hAnsi="Arial"/>
                <w:sz w:val="18"/>
                <w:szCs w:val="18"/>
                <w:color w:val="auto"/>
                <w:w w:val="93"/>
              </w:rPr>
              <w:t>Fair Value Measurements using</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Fair Value at May</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700" w:type="dxa"/>
            <w:vAlign w:val="bottom"/>
            <w:gridSpan w:val="4"/>
            <w:vMerge w:val="restart"/>
          </w:tcPr>
          <w:p>
            <w:pPr>
              <w:jc w:val="center"/>
              <w:ind w:right="20"/>
              <w:spacing w:after="0"/>
              <w:rPr>
                <w:sz w:val="20"/>
                <w:szCs w:val="20"/>
                <w:color w:val="auto"/>
              </w:rPr>
            </w:pPr>
            <w:r>
              <w:rPr>
                <w:rFonts w:ascii="Arial" w:cs="Arial" w:eastAsia="Arial" w:hAnsi="Arial"/>
                <w:sz w:val="18"/>
                <w:szCs w:val="18"/>
                <w:color w:val="auto"/>
                <w:w w:val="89"/>
              </w:rPr>
              <w:t>inputs considered as:</w:t>
            </w: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center"/>
              <w:ind w:right="50"/>
              <w:spacing w:after="0" w:line="190" w:lineRule="exact"/>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100" w:type="dxa"/>
            <w:vAlign w:val="bottom"/>
          </w:tcPr>
          <w:p>
            <w:pPr>
              <w:jc w:val="right"/>
              <w:ind w:right="34"/>
              <w:spacing w:after="0"/>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Level 2</w:t>
            </w:r>
          </w:p>
        </w:tc>
        <w:tc>
          <w:tcPr>
            <w:tcW w:w="40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Level 3</w:t>
            </w:r>
          </w:p>
        </w:tc>
        <w:tc>
          <w:tcPr>
            <w:tcW w:w="140" w:type="dxa"/>
            <w:vAlign w:val="bottom"/>
          </w:tcPr>
          <w:p>
            <w:pPr>
              <w:spacing w:after="0"/>
              <w:rPr>
                <w:sz w:val="22"/>
                <w:szCs w:val="22"/>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189"/>
        </w:trPr>
        <w:tc>
          <w:tcPr>
            <w:tcW w:w="5260" w:type="dxa"/>
            <w:vAlign w:val="bottom"/>
            <w:gridSpan w:val="4"/>
          </w:tcPr>
          <w:p>
            <w:pPr>
              <w:ind w:left="40"/>
              <w:spacing w:after="0" w:line="189" w:lineRule="exact"/>
              <w:rPr>
                <w:sz w:val="20"/>
                <w:szCs w:val="20"/>
                <w:color w:val="auto"/>
              </w:rPr>
            </w:pPr>
            <w:r>
              <w:rPr>
                <w:rFonts w:ascii="Arial" w:cs="Arial" w:eastAsia="Arial" w:hAnsi="Arial"/>
                <w:sz w:val="18"/>
                <w:szCs w:val="18"/>
                <w:color w:val="auto"/>
              </w:rPr>
              <w:t>Financial Assets</w:t>
            </w:r>
          </w:p>
        </w:tc>
        <w:tc>
          <w:tcPr>
            <w:tcW w:w="1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20" w:type="dxa"/>
            <w:vAlign w:val="bottom"/>
            <w:gridSpan w:val="3"/>
          </w:tcPr>
          <w:p>
            <w:pPr>
              <w:ind w:left="340"/>
              <w:spacing w:after="0"/>
              <w:rPr>
                <w:sz w:val="20"/>
                <w:szCs w:val="20"/>
                <w:color w:val="auto"/>
              </w:rPr>
            </w:pPr>
            <w:r>
              <w:rPr>
                <w:rFonts w:ascii="Arial" w:cs="Arial" w:eastAsia="Arial" w:hAnsi="Arial"/>
                <w:sz w:val="18"/>
                <w:szCs w:val="18"/>
                <w:color w:val="auto"/>
              </w:rPr>
              <w:t>U.S. government agency obligations</w:t>
            </w: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20" w:type="dxa"/>
            <w:vAlign w:val="bottom"/>
            <w:gridSpan w:val="3"/>
          </w:tcPr>
          <w:p>
            <w:pPr>
              <w:ind w:left="1100"/>
              <w:spacing w:after="0"/>
              <w:rPr>
                <w:sz w:val="20"/>
                <w:szCs w:val="20"/>
                <w:color w:val="auto"/>
              </w:rPr>
            </w:pPr>
            <w:r>
              <w:rPr>
                <w:rFonts w:ascii="Arial" w:cs="Arial" w:eastAsia="Arial" w:hAnsi="Arial"/>
                <w:sz w:val="18"/>
                <w:szCs w:val="18"/>
                <w:color w:val="auto"/>
              </w:rPr>
              <w:t>Total Financial Assets</w:t>
            </w:r>
          </w:p>
        </w:tc>
        <w:tc>
          <w:tcPr>
            <w:tcW w:w="110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378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526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color w:val="auto"/>
              </w:rPr>
              <w:t>Financial Liabilities</w:t>
            </w:r>
          </w:p>
        </w:tc>
        <w:tc>
          <w:tcPr>
            <w:tcW w:w="1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378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Interest rate swap agreements</w:t>
            </w: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Contingent liability for acquisition earn out</w:t>
            </w:r>
          </w:p>
        </w:tc>
        <w:tc>
          <w:tcPr>
            <w:tcW w:w="1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20" w:type="dxa"/>
            <w:vAlign w:val="bottom"/>
            <w:gridSpan w:val="3"/>
          </w:tcPr>
          <w:p>
            <w:pPr>
              <w:ind w:left="1100"/>
              <w:spacing w:after="0"/>
              <w:rPr>
                <w:sz w:val="20"/>
                <w:szCs w:val="20"/>
                <w:color w:val="auto"/>
              </w:rPr>
            </w:pPr>
            <w:r>
              <w:rPr>
                <w:rFonts w:ascii="Arial" w:cs="Arial" w:eastAsia="Arial" w:hAnsi="Arial"/>
                <w:sz w:val="18"/>
                <w:szCs w:val="18"/>
                <w:color w:val="auto"/>
              </w:rPr>
              <w:t>Total Financial Liabilities</w:t>
            </w:r>
          </w:p>
        </w:tc>
        <w:tc>
          <w:tcPr>
            <w:tcW w:w="110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47,384</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47,641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There were no transfers in and out of Level 1, 2 and 3 measurements for the three and six months ended November 30, 2015 and 2014.</w:t>
      </w:r>
    </w:p>
    <w:p>
      <w:pPr>
        <w:spacing w:after="0" w:line="22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table below presents the changes in fair value components of Level 3 instruments in the six months ended November 30, 2015 (in thousands of dollars):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color w:val="auto"/>
                <w:w w:val="92"/>
              </w:rPr>
              <w:t>Financial Assets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color w:val="auto"/>
                <w:w w:val="98"/>
              </w:rPr>
              <w:t>Financial Liabilities</w:t>
            </w:r>
          </w:p>
        </w:tc>
      </w:tr>
      <w:tr>
        <w:trPr>
          <w:trHeight w:val="228"/>
        </w:trPr>
        <w:tc>
          <w:tcPr>
            <w:tcW w:w="6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Fair Value Measurements</w:t>
            </w:r>
          </w:p>
        </w:tc>
        <w:tc>
          <w:tcPr>
            <w:tcW w:w="240" w:type="dxa"/>
            <w:vAlign w:val="bottom"/>
          </w:tcPr>
          <w:p>
            <w:pPr>
              <w:spacing w:after="0"/>
              <w:rPr>
                <w:sz w:val="19"/>
                <w:szCs w:val="19"/>
                <w:color w:val="auto"/>
              </w:rPr>
            </w:pPr>
          </w:p>
        </w:tc>
        <w:tc>
          <w:tcPr>
            <w:tcW w:w="2280" w:type="dxa"/>
            <w:vAlign w:val="bottom"/>
          </w:tcPr>
          <w:p>
            <w:pPr>
              <w:jc w:val="center"/>
              <w:ind w:right="151"/>
              <w:spacing w:after="0"/>
              <w:rPr>
                <w:sz w:val="20"/>
                <w:szCs w:val="20"/>
                <w:color w:val="auto"/>
              </w:rPr>
            </w:pPr>
            <w:r>
              <w:rPr>
                <w:rFonts w:ascii="Arial" w:cs="Arial" w:eastAsia="Arial" w:hAnsi="Arial"/>
                <w:sz w:val="18"/>
                <w:szCs w:val="18"/>
                <w:color w:val="auto"/>
                <w:w w:val="89"/>
              </w:rPr>
              <w:t>Fair Value Measurements</w:t>
            </w:r>
          </w:p>
        </w:tc>
      </w:tr>
      <w:tr>
        <w:trPr>
          <w:trHeight w:val="216"/>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Using Significant</w:t>
            </w:r>
          </w:p>
        </w:tc>
        <w:tc>
          <w:tcPr>
            <w:tcW w:w="240" w:type="dxa"/>
            <w:vAlign w:val="bottom"/>
          </w:tcPr>
          <w:p>
            <w:pPr>
              <w:spacing w:after="0"/>
              <w:rPr>
                <w:sz w:val="18"/>
                <w:szCs w:val="18"/>
                <w:color w:val="auto"/>
              </w:rPr>
            </w:pPr>
          </w:p>
        </w:tc>
        <w:tc>
          <w:tcPr>
            <w:tcW w:w="2280" w:type="dxa"/>
            <w:vAlign w:val="bottom"/>
          </w:tcPr>
          <w:p>
            <w:pPr>
              <w:jc w:val="center"/>
              <w:ind w:right="131"/>
              <w:spacing w:after="0"/>
              <w:rPr>
                <w:sz w:val="20"/>
                <w:szCs w:val="20"/>
                <w:color w:val="auto"/>
              </w:rPr>
            </w:pPr>
            <w:r>
              <w:rPr>
                <w:rFonts w:ascii="Arial" w:cs="Arial" w:eastAsia="Arial" w:hAnsi="Arial"/>
                <w:sz w:val="18"/>
                <w:szCs w:val="18"/>
                <w:color w:val="auto"/>
                <w:w w:val="93"/>
              </w:rPr>
              <w:t>Using Significant</w:t>
            </w:r>
          </w:p>
        </w:tc>
      </w:tr>
      <w:tr>
        <w:trPr>
          <w:trHeight w:val="216"/>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Unobservable Inputs</w:t>
            </w:r>
          </w:p>
        </w:tc>
        <w:tc>
          <w:tcPr>
            <w:tcW w:w="240" w:type="dxa"/>
            <w:vAlign w:val="bottom"/>
          </w:tcPr>
          <w:p>
            <w:pPr>
              <w:spacing w:after="0"/>
              <w:rPr>
                <w:sz w:val="18"/>
                <w:szCs w:val="18"/>
                <w:color w:val="auto"/>
              </w:rPr>
            </w:pPr>
          </w:p>
        </w:tc>
        <w:tc>
          <w:tcPr>
            <w:tcW w:w="2280" w:type="dxa"/>
            <w:vAlign w:val="bottom"/>
          </w:tcPr>
          <w:p>
            <w:pPr>
              <w:jc w:val="center"/>
              <w:ind w:right="131"/>
              <w:spacing w:after="0"/>
              <w:rPr>
                <w:sz w:val="20"/>
                <w:szCs w:val="20"/>
                <w:color w:val="auto"/>
              </w:rPr>
            </w:pPr>
            <w:r>
              <w:rPr>
                <w:rFonts w:ascii="Arial" w:cs="Arial" w:eastAsia="Arial" w:hAnsi="Arial"/>
                <w:sz w:val="18"/>
                <w:szCs w:val="18"/>
                <w:color w:val="auto"/>
                <w:w w:val="90"/>
              </w:rPr>
              <w:t>Unobservable Inputs</w:t>
            </w:r>
          </w:p>
        </w:tc>
      </w:tr>
      <w:tr>
        <w:trPr>
          <w:trHeight w:val="230"/>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3)</w:t>
            </w:r>
          </w:p>
        </w:tc>
        <w:tc>
          <w:tcPr>
            <w:tcW w:w="240" w:type="dxa"/>
            <w:vAlign w:val="bottom"/>
          </w:tcPr>
          <w:p>
            <w:pPr>
              <w:spacing w:after="0"/>
              <w:rPr>
                <w:sz w:val="20"/>
                <w:szCs w:val="20"/>
                <w:color w:val="auto"/>
              </w:rPr>
            </w:pPr>
          </w:p>
        </w:tc>
        <w:tc>
          <w:tcPr>
            <w:tcW w:w="2280" w:type="dxa"/>
            <w:vAlign w:val="bottom"/>
          </w:tcPr>
          <w:p>
            <w:pPr>
              <w:jc w:val="center"/>
              <w:ind w:right="131"/>
              <w:spacing w:after="0"/>
              <w:rPr>
                <w:sz w:val="20"/>
                <w:szCs w:val="20"/>
                <w:color w:val="auto"/>
              </w:rPr>
            </w:pPr>
            <w:r>
              <w:rPr>
                <w:rFonts w:ascii="Arial" w:cs="Arial" w:eastAsia="Arial" w:hAnsi="Arial"/>
                <w:sz w:val="18"/>
                <w:szCs w:val="18"/>
                <w:color w:val="auto"/>
                <w:w w:val="94"/>
              </w:rPr>
              <w:t>(Level 3)</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Balance, May 31, 2015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11"/>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11"/>
              <w:spacing w:after="0"/>
              <w:rPr>
                <w:sz w:val="20"/>
                <w:szCs w:val="20"/>
                <w:color w:val="auto"/>
              </w:rPr>
            </w:pPr>
            <w:r>
              <w:rPr>
                <w:rFonts w:ascii="Arial" w:cs="Arial" w:eastAsia="Arial" w:hAnsi="Arial"/>
                <w:sz w:val="18"/>
                <w:szCs w:val="18"/>
                <w:color w:val="auto"/>
              </w:rPr>
              <w:t>47,384</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present value of contingent consideration (1)</w:t>
            </w:r>
          </w:p>
        </w:tc>
        <w:tc>
          <w:tcPr>
            <w:tcW w:w="2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Currency (gain) loss from remeasurement</w:t>
            </w:r>
          </w:p>
        </w:tc>
        <w:tc>
          <w:tcPr>
            <w:tcW w:w="240" w:type="dxa"/>
            <w:vAlign w:val="bottom"/>
          </w:tcPr>
          <w:p>
            <w:pPr>
              <w:spacing w:after="0"/>
              <w:rPr>
                <w:sz w:val="21"/>
                <w:szCs w:val="21"/>
                <w:color w:val="auto"/>
              </w:rPr>
            </w:pPr>
          </w:p>
        </w:tc>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Included in 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Proceeds from sale or maturity of marketable securities</w:t>
            </w:r>
          </w:p>
        </w:tc>
        <w:tc>
          <w:tcPr>
            <w:tcW w:w="2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 payments</w:t>
            </w:r>
          </w:p>
        </w:tc>
        <w:tc>
          <w:tcPr>
            <w:tcW w:w="24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(10,100)</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Balance, November 30, 2015</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37,849</w:t>
            </w:r>
          </w:p>
        </w:tc>
      </w:tr>
      <w:tr>
        <w:trPr>
          <w:trHeight w:val="27"/>
        </w:trPr>
        <w:tc>
          <w:tcPr>
            <w:tcW w:w="6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right="2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 in present value of contingent consideration is included in earnings and comprised of changes in estimated earn out payments based on projections of company performance and the amortization of the present value discount.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 for Acquisition Earn Outs</w:t>
      </w:r>
    </w:p>
    <w:p>
      <w:pPr>
        <w:spacing w:after="0" w:line="12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Certain of our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income. We measure the initial liability and remeasure the liability on a recurring basis using Level 3 inputs as defined under authoritative guidance for fair value measurements.</w:t>
      </w:r>
    </w:p>
    <w:p>
      <w:pPr>
        <w:spacing w:after="0" w:line="17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fair value of our liability for contingent consideration is determined using a discounted cash flow model applied to projected net sales, using probabilities of achieving projected net sales and projected payment dates. Projected net sales are based on our internal projections and extensive analysis of the target market and the sales potential. Increases or decreases in any valuation inputs in isolation may result in a significantly lower or higher fair value measurement in the future.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recurring Level 3 fair value measurements of the contingent consideration liabilities include the following significant unobservable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2015 (in thousands of dollars):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Fair value at</w:t>
            </w:r>
          </w:p>
        </w:tc>
        <w:tc>
          <w:tcPr>
            <w:tcW w:w="120" w:type="dxa"/>
            <w:vAlign w:val="bottom"/>
          </w:tcPr>
          <w:p>
            <w:pPr>
              <w:spacing w:after="0"/>
              <w:rPr>
                <w:sz w:val="20"/>
                <w:szCs w:val="20"/>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Valuation</w:t>
            </w: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5"/>
              </w:rPr>
              <w:t>Nov 30, 2015</w:t>
            </w:r>
          </w:p>
        </w:tc>
        <w:tc>
          <w:tcPr>
            <w:tcW w:w="120" w:type="dxa"/>
            <w:vAlign w:val="bottom"/>
          </w:tcPr>
          <w:p>
            <w:pPr>
              <w:spacing w:after="0"/>
              <w:rPr>
                <w:sz w:val="2"/>
                <w:szCs w:val="2"/>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20" w:type="dxa"/>
            <w:vAlign w:val="bottom"/>
            <w:vMerge w:val="restart"/>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Unobservable Input</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based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35,249</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Probability of achieving sales</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75-100%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Projected fiscal year of payment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2017 - 2023</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Milestone based payments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Discounted cash flow</w:t>
            </w: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Probability of achieving milestone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75-100%</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Projected fiscal year of payment</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37,849</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432"/>
        <w:spacing w:after="0" w:line="286" w:lineRule="auto"/>
        <w:rPr>
          <w:sz w:val="20"/>
          <w:szCs w:val="20"/>
          <w:color w:val="auto"/>
        </w:rPr>
      </w:pPr>
      <w:r>
        <w:rPr>
          <w:rFonts w:ascii="Arial" w:cs="Arial" w:eastAsia="Arial" w:hAnsi="Arial"/>
          <w:sz w:val="17"/>
          <w:szCs w:val="17"/>
          <w:color w:val="auto"/>
        </w:rPr>
        <w:t>At November 30, 2015, the estimated potential amount of undiscounted future contingent consideration that we expect to pay as a result of all completed acquisitions is approximately $43.5 million. The milestones, including sales projections, associated with the contingent consideration must be reached in future periods ranging from fiscal years 2016 to 2023 in order for the associated consideration to be paid.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MARKETABLE SECURITIES</w:t>
      </w:r>
    </w:p>
    <w:p>
      <w:pPr>
        <w:spacing w:after="0" w:line="121"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Marketable securities, which are principally government agency bonds, auction rate investments and corporate commercial paper, are classified as “available-for-sale securities” and are reported at fair value, with unrealized gains and losses excluded from operations and reported as accumulated other comprehensive income (loss), net of the related tax effects, in stockholders’ equity. Cost is determined using the specific identification method. We hold investments in auction rate securities in order to generate higher than typical money market rate investment returns. Auction rate securities typically are high credit quality, generally achieved with municipal bond insurance. Credit risks are eased by the historical track record of bond insurers, which back a majority of this market. Sell orders for any security traded through an auction process could exceed bids and, in such cases, the auction fails and we may be unable to liquidate our position in the securities in the near term. As of November 30, 2015 and May 31, 2015, we had $1.6 million and $1.7 million, respectively, in investments in two auction rate securities issued by New York state and local government authorities that failed auctions. The authorities are current in their interest payments on the securities. The auction rate securities mature in 2022 and 2029.</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November 30, 2015 and May 31, 2015, marketable securities consisted of the following (in thousands of dollars):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8"/>
                <w:szCs w:val="18"/>
                <w:color w:val="auto"/>
              </w:rPr>
              <w:t>As of November 30, 2015</w:t>
            </w:r>
          </w:p>
        </w:tc>
        <w:tc>
          <w:tcPr>
            <w:tcW w:w="16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cost</w:t>
            </w:r>
          </w:p>
        </w:tc>
        <w:tc>
          <w:tcPr>
            <w:tcW w:w="18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U.S. 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1,639</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01"/>
        </w:trPr>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8"/>
                <w:szCs w:val="18"/>
                <w:color w:val="auto"/>
              </w:rPr>
              <w:t>As of May 31, 2015</w:t>
            </w:r>
          </w:p>
        </w:tc>
        <w:tc>
          <w:tcPr>
            <w:tcW w:w="16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cost</w:t>
            </w:r>
          </w:p>
        </w:tc>
        <w:tc>
          <w:tcPr>
            <w:tcW w:w="18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U.S. 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1,689</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COMMITMENTS AND CONTINGENCIES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0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Company is involved in various legal proceedings, including commercial, intellectual property, product liability, regulatory and environmental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v. biolitec</w:t>
      </w:r>
    </w:p>
    <w:p>
      <w:pPr>
        <w:spacing w:after="0" w:line="117" w:lineRule="exact"/>
        <w:rPr>
          <w:sz w:val="20"/>
          <w:szCs w:val="20"/>
          <w:color w:val="auto"/>
        </w:rPr>
      </w:pPr>
    </w:p>
    <w:p>
      <w:pPr>
        <w:ind w:right="40" w:firstLine="878"/>
        <w:spacing w:after="0" w:line="272" w:lineRule="auto"/>
        <w:rPr>
          <w:sz w:val="20"/>
          <w:szCs w:val="20"/>
          <w:color w:val="auto"/>
        </w:rPr>
      </w:pPr>
      <w:r>
        <w:rPr>
          <w:rFonts w:ascii="Arial" w:cs="Arial" w:eastAsia="Arial" w:hAnsi="Arial"/>
          <w:sz w:val="17"/>
          <w:szCs w:val="17"/>
          <w:color w:val="auto"/>
        </w:rPr>
        <w:t>On January 2, 2008, we commenced an action in the United States District Court for the Northern District of New York entitled AngioDynamics, Inc. v. biolitec, Inc. In this action, we sought judgment against biolitec for defense and indemnification in two lawsuits which we previously settled. Our claims arise out of a Supply and Distribution Agreement (“SDA”) entered into with biolitec on April 1, 2002. On September 27, 2011, the U.S. District Court granted key portions of our motion for summary judgment in our legal case against biolitec. The Court also dismissed biolitec’s counterclaims against us. The court denied one portion of our summary judgment motion, which sought to recover additional costs from biolitec, leaving this for adjudication at trial. On November 8, 2012, the Court granted partial judgment to us in the amount of $23.2 million. Biolitec appealed this judgment. On August 23, 2013, the U.S. Court of Appeals for the Second Circuit dismissed biolitec’s appeal.</w:t>
      </w:r>
    </w:p>
    <w:p>
      <w:pPr>
        <w:spacing w:after="0" w:line="70" w:lineRule="exact"/>
        <w:rPr>
          <w:sz w:val="20"/>
          <w:szCs w:val="20"/>
          <w:color w:val="auto"/>
        </w:rPr>
      </w:pPr>
    </w:p>
    <w:p>
      <w:pPr>
        <w:ind w:right="40" w:firstLine="878"/>
        <w:spacing w:after="0" w:line="287" w:lineRule="auto"/>
        <w:rPr>
          <w:sz w:val="20"/>
          <w:szCs w:val="20"/>
          <w:color w:val="auto"/>
        </w:rPr>
      </w:pPr>
      <w:r>
        <w:rPr>
          <w:rFonts w:ascii="Arial" w:cs="Arial" w:eastAsia="Arial" w:hAnsi="Arial"/>
          <w:sz w:val="16"/>
          <w:szCs w:val="16"/>
          <w:color w:val="auto"/>
        </w:rPr>
        <w:t>In October 2009, we commenced an action in the United States District Court for the District of Massachusetts entitled AngioDynamics, Inc. v. biolitec AG and Wolfgang Neuberger. The Complaint in this action was amended in March 2010. This action seeks to recover against biolitec, Inc.’s parent entities and CEO for tortiously interfering with biolitec, Inc.’s contractual obligation to defend and indemnify us, and also seeks to pierce the corporate veil of biolitec, Inc. and to invalidate certain alleged fraudulent transfers in order to hold biolitec, Inc.’s parent entities jointly and severally liable for the alleged breach of the SDA. On September 13, 2012, the Massachusetts Court granted our request for a preliminary injunction prohibiting the downstream merger of biolitec AG with its Austrian subsidiary. On April 1, 2013, the U.S. Court of Appeals for the First Circuit affirmed the preliminary injunction. On January 14, 2014, the District Court entered judgment in our favor as to liability. On March 18, 2014, the District Court entered judgment in our favor against Biolitec AG, Biomed Technology Holdings, Ltd., and Wolfgang Neuberger, jointly and severally, in the amount of $74.9 million. On March 11, 2015, the U.S. Court of Appeals for the First Circuit affirmed the judgment. The defendants petitioned to the U.S. Supreme Court for a writ of certiorari. The Supreme Court denied the petition on November 30, 2015. The defendants have also filed an appeal with the U.S. Court of Appeals for the First Circuit regarding civil contempt sanctions imposed by the Massachusetts District Court as a result of defendants’ completion of the downstream merger in violation of the Court’s injunction. This latest appeal is scheduled for oral argument in the First Circuit on January 4, 2016.</w:t>
      </w:r>
    </w:p>
    <w:p>
      <w:pPr>
        <w:spacing w:after="0" w:line="61" w:lineRule="exact"/>
        <w:rPr>
          <w:sz w:val="20"/>
          <w:szCs w:val="20"/>
          <w:color w:val="auto"/>
        </w:rPr>
      </w:pPr>
    </w:p>
    <w:p>
      <w:pPr>
        <w:ind w:right="40" w:firstLine="878"/>
        <w:spacing w:after="0" w:line="297" w:lineRule="auto"/>
        <w:rPr>
          <w:sz w:val="20"/>
          <w:szCs w:val="20"/>
          <w:color w:val="auto"/>
        </w:rPr>
      </w:pPr>
      <w:r>
        <w:rPr>
          <w:rFonts w:ascii="Arial" w:cs="Arial" w:eastAsia="Arial" w:hAnsi="Arial"/>
          <w:sz w:val="16"/>
          <w:szCs w:val="16"/>
          <w:color w:val="auto"/>
        </w:rPr>
        <w:t>On November 13, 2014, the U.S. District Court for the District of Massachusetts issued summonses to four Biolitec entities - Biolitec U.S., Inc., Biolitec Holding U.S., Inc., Biolitec Medical Devices, Inc., and CeramOptec Industries, Inc. - pursuant to Massachusetts trustee process. We sought to use this process to attach the assets of these entities in order to satisfy our judgment. The trustee process was automatically stayed when the four Biolitec entities filed Chapter 7 petitions in the U.S. Bankruptcy Court for the District of Delaware. However, on November 3, 2015, the Delaware Bankruptcy Court granted our request to modify the automatic stay to allow us to seek a default against the four Biolitec entities pursuant to trustee process.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80" w:firstLine="878"/>
        <w:spacing w:after="0" w:line="276" w:lineRule="auto"/>
        <w:rPr>
          <w:sz w:val="20"/>
          <w:szCs w:val="20"/>
          <w:color w:val="auto"/>
        </w:rPr>
      </w:pPr>
      <w:r>
        <w:rPr>
          <w:rFonts w:ascii="Arial" w:cs="Arial" w:eastAsia="Arial" w:hAnsi="Arial"/>
          <w:sz w:val="17"/>
          <w:szCs w:val="17"/>
          <w:color w:val="auto"/>
        </w:rPr>
        <w:t>On August 29, 2013, we became co-plaintiffs in an adversary proceeding in the United States Bankruptcy Court for the District of New Jersey entitled Cyganowski, Trustee, et al. v. Biolitec U.S., Inc., et al. In this action, we assert claims of conversion, unjust enrichment, tortious interference, and unfair competition against various biolitec entities for alleged violation of Bankruptcy Court settlement and sale orders under which we acquired certain assets of Biolitec, Inc. On September 3, 2013, we, along with our co-plaintiff, obtained a temporary restraining order against the defendants in this action. On January 22, 2015, the Bankruptcy Court entered a permanent injunction on our behalf for an additional two years.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117" w:lineRule="exact"/>
        <w:rPr>
          <w:sz w:val="20"/>
          <w:szCs w:val="20"/>
          <w:color w:val="auto"/>
        </w:rPr>
      </w:pPr>
    </w:p>
    <w:p>
      <w:pPr>
        <w:ind w:right="20" w:firstLine="878"/>
        <w:spacing w:after="0" w:line="270" w:lineRule="auto"/>
        <w:rPr>
          <w:sz w:val="20"/>
          <w:szCs w:val="20"/>
          <w:color w:val="auto"/>
        </w:rPr>
      </w:pPr>
      <w:r>
        <w:rPr>
          <w:rFonts w:ascii="Arial" w:cs="Arial" w:eastAsia="Arial" w:hAnsi="Arial"/>
          <w:sz w:val="17"/>
          <w:szCs w:val="17"/>
          <w:color w:val="auto"/>
        </w:rPr>
        <w:t>On January 11, 2012, C.R. Bard, Inc.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which seek to invalidate all three patents asserted in the litigation. Our petitions have been granted and 40 of 41 patent claims have been and remain rejected. The Patent Office has issued a Final Rejection of all the claims subject to reexamination and Bard has filed appeals. The parties have completed briefing on the appeals and oral argument was held on June 18, 2015. The parties are awaiting decision by the Board of Appeals and Interferences. The case has been stayed pending final resolution of the PTO process.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24" w:lineRule="exact"/>
        <w:rPr>
          <w:sz w:val="20"/>
          <w:szCs w:val="20"/>
          <w:color w:val="auto"/>
        </w:rPr>
      </w:pPr>
    </w:p>
    <w:p>
      <w:pPr>
        <w:ind w:right="40" w:firstLine="864"/>
        <w:spacing w:after="0" w:line="290" w:lineRule="auto"/>
        <w:rPr>
          <w:sz w:val="20"/>
          <w:szCs w:val="20"/>
          <w:color w:val="auto"/>
        </w:rPr>
      </w:pPr>
      <w:r>
        <w:rPr>
          <w:rFonts w:ascii="Arial" w:cs="Arial" w:eastAsia="Arial" w:hAnsi="Arial"/>
          <w:sz w:val="16"/>
          <w:szCs w:val="16"/>
          <w:color w:val="auto"/>
        </w:rPr>
        <w:t>On March 10, 2015, C.R. Bard, Inc. and Bard Peripheral Vascular, Inc. filed suit in the United States District Court for the District of Delaware claiming certain of the Company’s implantable port products infringe three Bard patents (the “Delaware Action). Bard is seeking unspecified damages and other relief; and the patents asserted in the Delaware Action are different than those asserted in the Utah Action. On June 1,2015, the Company filed two motions in response to Bard’s Complaint - - one seeks transfer to the District of Utah where the Utah Action is currently pending, and the other seeks dismissal of the entire complaint on grounds that none of the claims in the asserted patents is directed to patent eligible subject matter under Section 101 of the Patent Statute and in light of recent authority from the U. S. Supreme Court. Briefing is complete on both motions and the parties are awaiting decision by the Delaware Court.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Governmental Investigations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Beads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 and at this time are unable to predict its scope, duration or outcome.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EVLT</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 and at this time are unable to predict its scope, duration or outcome.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RECENTLY ISSUED ACCOUNTING PRONOUNCEMENTS</w:t>
      </w:r>
    </w:p>
    <w:p>
      <w:pPr>
        <w:spacing w:after="0" w:line="1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May 2014, the Financial Accounting Standards Board ("FASB") issued ASU No. 2014-09, "Revenue from Contracts with Customers" ("ASU 2014-09"). ASU 2014-09 provides a single, comprehensive accounting model for revenues arising from contracts with customers that supersedes most of the existing revenue recognition guidance, including industry-specific guidance. Under this model, revenue is recognized at an amount that an entity expects to be entitled to upon transferring control of goods or services to a customer, as opposed to when risks and rewards transfer to a customer under existing revenue recognition guidance. ASU 2014-09 is effective for the Company beginning in its fiscal year 2018, and may be applied retrospectively to all prior periods presented or through a cumulative adjustment to the opening retained earnings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balance in the year of adoption. The Company is currently in the process of evaluation the impact of ASU 2014-09 on its consolidated financial statements.</w:t>
      </w:r>
    </w:p>
    <w:p>
      <w:pPr>
        <w:spacing w:after="0" w:line="2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June 2014, the FASB issued an ASU that clarified that entities should treat performance targets that can be met after the requisite service period of a share-based payment award as performance conditions that affect vesting. Therefore, an entity would not record compensation expense related to an award for which transfer to the employee is contingent on the entity’s satisfaction of a performance target until it becomes probable that the performance target is met. This ASU is effective for the Company in its first quarter beginning after January 1, 2016 and is not expected to have a material impact on the Company’s consolidated financial statements.</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April 2015, the FASB issued ASC Update No. 2015-03, Interest-Imputation of Interest (Subtopic 835-30): Simplifying the Presentation of Debt Issuance Costs. Update No. 2015-03 requires debt issuance costs related to a recognized debt liability to be presented in the balance sheet as a direct deduction from the carrying amount of that debt liability, consistent with debt discounts. Update No. 2015-03 is effective for annual reporting periods beginning after December 15, 2015 and interim periods within those reporting periods. Early adoption is permitted for financial statements that have not been previously issued. This update is not expected to impact the results of our operations.</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July 2015, the FASB issued ASC Update No. 2015-11, Inventory (Topic 330): Simplifying the Measurement of Inventory. Update No. 2015-11 more closely aligns the measurement of inventory in U.S. GAAP with the measurement of inventory in International Financial Reporting Standards by requiring companies using the first-in, first-out and average costs methods to measure inventory using the lower of cost and net realizable value, where net realizable value is the estimated selling prices in the ordinary course of business, less reasonably predictable costs of completion, disposal, and transportation. Update No. 2015-11 is effective for annual reporting periods beginning after December 15, 2016 and interim periods within those fiscal years. Update No. 2015-11 should be applied prospectively with earlier application permitted as of the beginning of an interim or annual reporting period. The adoption of Update No. 2015-11 is not expected to have a material impact on our financial position or results of operations.</w:t>
      </w:r>
    </w:p>
    <w:p>
      <w:pPr>
        <w:spacing w:after="0" w:line="17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November 2015, the FASB issued ASC Update No. 2015-17, Income Taxes (Topic 740). Update No. 2015-17 requires deferred tax liabilities and assets to be classified as non-current on the consolidated condensed balance sheet. Update No. 2015-17 is effective for annual reporting periods beginning after December 15, 2016 and interim periods within those fiscal years and early application is permitted. Update No. 2015-17 may be applied either prospectively to all deferred tax liabilities and assets or retrospectively to all periods presented. This update was applied retrospectively for the quarter ended November 30, 2015.</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RESTRUCTURING</w:t>
      </w:r>
    </w:p>
    <w:p>
      <w:pPr>
        <w:spacing w:after="0" w:line="12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For the three and six months ended November 30, 2014 we had a restructuring of finance, research and development, and sales and marketing organizations to improve our profitability. As part of the restructuring, we recorded $1.1 million of severance and restructuring expense, which is included in “Acquisition, restructuring and other items, net” in the statements of income. The amount of restructuring expense incurred during the three and six months ended November 30, 2015 was immaterial.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SUBSEQUENT EVENTS</w:t>
      </w:r>
    </w:p>
    <w:p>
      <w:pPr>
        <w:spacing w:after="0" w:line="229" w:lineRule="exact"/>
        <w:rPr>
          <w:sz w:val="20"/>
          <w:szCs w:val="20"/>
          <w:color w:val="auto"/>
        </w:rPr>
      </w:pPr>
    </w:p>
    <w:p>
      <w:pPr>
        <w:jc w:val="both"/>
        <w:ind w:right="100" w:firstLine="486"/>
        <w:spacing w:after="0" w:line="312" w:lineRule="auto"/>
        <w:rPr>
          <w:sz w:val="20"/>
          <w:szCs w:val="20"/>
          <w:color w:val="auto"/>
        </w:rPr>
      </w:pPr>
      <w:r>
        <w:rPr>
          <w:rFonts w:ascii="Arial" w:cs="Arial" w:eastAsia="Arial" w:hAnsi="Arial"/>
          <w:sz w:val="16"/>
          <w:szCs w:val="16"/>
          <w:color w:val="auto"/>
        </w:rPr>
        <w:t>On March 2, 2015, the Company filed an 8-K stating that it executed a non-binding letter of intent to enter into a strategic relationship with privately-held EmboMedics Inc., which develops injectable and resorbable embolic microspheres. On April 9, 2015 the Company entered into a License, Distribution, Manufacturing and Purchase Option Agreement with EmboMedics Inc, subject to certain approvals by EmboMedics shareholders.</w:t>
      </w:r>
    </w:p>
    <w:p>
      <w:pPr>
        <w:spacing w:after="0" w:line="147"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Under the terms of the agreement, AngioDynamics receives an exclusive worldwide license to market and sell, upon regulatory clearances, EmboMedics’ microsphere technology. AngioDynamics will also control manufacturing of the products. On December 7, 2015, AngioDynamics made an initial $2.0 million purchase of non-transferable warrants in a subsidiary of EmboMedics which become exercisable upon a change of control of EmboMedics. The Company may make an additional $9.0 million in equity, as well as milestone driven investments, and can execute an exclusive option to acquire EmboMedics, based on the achievement of certain milestones.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information should be read together with the consolidated condensed financial statements and the notes thereto and other information included elsewhere in this quarterly report on Form 10-Q.</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as well as our ability to integrate purchased businesses. Other risks and uncertainties include, but are not limited to, the factors described from time to time in our reports filed with the SEC.</w:t>
      </w:r>
    </w:p>
    <w:p>
      <w:pPr>
        <w:spacing w:after="0" w:line="18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AngioDynamics disclaims any obligation to update the forward-looking statements. Investors are cautioned not to place undue reliance on these forward-looking statements which speak only as of the date stated, or if no date is stated, as of the date of this document.</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Most of our products are intended to be used once and then discarded, or they may be temporarily implanted for short- or long-term use.</w:t>
      </w:r>
    </w:p>
    <w:p>
      <w:pPr>
        <w:spacing w:after="0" w:line="147"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Our sales and profitability growth depends, in part, on the introduction of new and innovative products, together with ongoing enhancements to our existing products. Expansions to our product offerings are created through internal product development, technology licensing and strategic alliances. In recent years we have acquired or developed, and launched several new products, including the AngioVac cannula and circuit, the BioFlo family of products, and the Acculis microwave system. These recently launched products as well as other innovative products, such as our NanoKnife technology, are all expected to be growth drivers of our business. We recognize the importance of, and intend to continue to make investments in, research and development activities and business development opportunities.</w:t>
      </w:r>
    </w:p>
    <w:p>
      <w:pPr>
        <w:spacing w:after="0" w:line="193"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We sell our products in the United States through a direct sales force and outside the U.S. through a combination of direct sales and distributor relationships. We expect our international business to grow in both sales and profit through geographic expansion, market penetration, and increasing our direct presence.</w:t>
      </w:r>
    </w:p>
    <w:p>
      <w:pPr>
        <w:spacing w:after="0" w:line="18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Our ability to further increase our profitability will depend in part on improving gross profit and operating margins. A portion of improved gross margin we expect to deliver through the acquisition, development and sale of innovative products, such as those mentioned above. Additionally, we have an active a company-wide Operational Excellence Program designed to create manufacturing efficiencies and drive improved business performance. Further, we anticipate being able to manage increases in our operating expenses at a rate slower than our sales growth to provide further operating margin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266"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During the second quarter of fiscal 2016, Mark Frost resigned as Executive Vice President and Chief Financial Officer (CFO). Michael Trimarchi, Vice President and Global Controller, will assume the responsibilities as principal accounting officer of the company and will serve as interim CFO. The Company is in the process of identifying a permanent successor.</w:t>
      </w:r>
    </w:p>
    <w:p>
      <w:pPr>
        <w:spacing w:after="0" w:line="1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December 18, 2015, President Obama signed into law H.R. 2029, the “Consolidated Appropriations Act, 2016”, which includes a two-year moratorium on the medical device excise tax, effective January 1, 2016. The 2.3 percent tax on sales of medical devices (except certain devices sold at retail) was enacted as part of the Affordable Care Act in 2010 and applied to device sales beginning on January 1, 2013. Absent further legislative action, the tax will be automatically be reinstated for medical device sales starting on January 1, 2018. As presented on our Statements of Income (Loss) we have incurred $11.6 million cumulatively since the enactment of the tax on January 1, 2013 through the November 30, 2015, our second quarter of fiscal 2016. Our third quarter will include one month of the tax prior to the two year moratorium. In the absence of this tax, the company will seek opportunities to further invest in growth drivers to create long-term shareholder value.</w:t>
      </w:r>
    </w:p>
    <w:p>
      <w:pPr>
        <w:spacing w:after="0" w:line="189" w:lineRule="exact"/>
        <w:rPr>
          <w:sz w:val="20"/>
          <w:szCs w:val="20"/>
          <w:color w:val="auto"/>
        </w:rPr>
      </w:pPr>
    </w:p>
    <w:p>
      <w:pPr>
        <w:ind w:right="20" w:firstLine="392"/>
        <w:spacing w:after="0" w:line="279" w:lineRule="auto"/>
        <w:rPr>
          <w:sz w:val="20"/>
          <w:szCs w:val="20"/>
          <w:color w:val="auto"/>
        </w:rPr>
      </w:pPr>
      <w:r>
        <w:rPr>
          <w:rFonts w:ascii="Arial" w:cs="Arial" w:eastAsia="Arial" w:hAnsi="Arial"/>
          <w:sz w:val="17"/>
          <w:szCs w:val="17"/>
          <w:color w:val="auto"/>
        </w:rPr>
        <w:t>On November 17, 2015, the Company received a letter from the FDA closing out the warning letter the Company received from FDA in January 2011 regarding certain promotional activities related to the NanoKnife System. On November 25, 2015, the Company received letters from the FDA closing out the warning letters the Company received from FDA in May 2011 related to the Company’s Queensbury facility and in November 2014 related to the Company’s Glens Falls facility. These close out letters resolved all outstanding warning letters against the Company.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Use of Non-GAAP Measures</w:t>
      </w:r>
    </w:p>
    <w:p>
      <w:pPr>
        <w:spacing w:after="0" w:line="11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Net sales “on a constant currency basis” is a non-GAAP measure. The company analyzes net sales on a constant currency basis to better measure the comparability of results between periods. Because changes in foreign currency exchange rates have a non-operating impact on net sales, the company believes that evaluating growth in net sales on a constant currency basis provides an additional and meaningful assessment of net sales to both management and the company’s investors. Constant currency growth rates are calculated by translating the prior year’s local currency sales by the current period’s exchange rate.</w:t>
      </w:r>
    </w:p>
    <w:p>
      <w:pPr>
        <w:spacing w:after="0" w:line="4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Constant currency growth rates are not indicative of changes in corresponding cash flows. The limitation of these non-GAAP measures is that they do not reflect results on a standardized reporting basis. Non-GAAP measures are intended to supplement the applicable GAAP disclosures and should not be viewed as replacements of GAAP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Information regarding new accounting pronouncements is included in Note M to our consolidated condensed financial statements in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November 30, 2015 and November 30, 2014</w:t>
      </w:r>
    </w:p>
    <w:p>
      <w:pPr>
        <w:spacing w:after="0" w:line="121"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For the three months ended November 30, 2015, we reported a net loss of $(0.4) million, or $(0.01) per diluted share, on net sales of $89.2 million, compared with a net income of $1.3 million, or $0.04 per share, on net sales of $92.1 million during the same quarter of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three months ended November 30, 2015 and 2014: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87"/>
              </w:rPr>
              <w:t>Three months ended</w:t>
            </w: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Currency</w:t>
            </w:r>
          </w:p>
        </w:tc>
        <w:tc>
          <w:tcPr>
            <w:tcW w:w="1240" w:type="dxa"/>
            <w:vAlign w:val="bottom"/>
          </w:tcPr>
          <w:p>
            <w:pPr>
              <w:spacing w:after="0"/>
              <w:rPr>
                <w:sz w:val="19"/>
                <w:szCs w:val="19"/>
                <w:color w:val="auto"/>
              </w:rPr>
            </w:pPr>
          </w:p>
        </w:tc>
      </w:tr>
      <w:tr>
        <w:trPr>
          <w:trHeight w:val="216"/>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2"/>
              </w:rPr>
              <w:t>Impact (Pos)</w:t>
            </w:r>
          </w:p>
        </w:tc>
        <w:tc>
          <w:tcPr>
            <w:tcW w:w="1240" w:type="dxa"/>
            <w:vAlign w:val="bottom"/>
          </w:tcPr>
          <w:p>
            <w:pPr>
              <w:ind w:left="300"/>
              <w:spacing w:after="0"/>
              <w:rPr>
                <w:sz w:val="20"/>
                <w:szCs w:val="20"/>
                <w:color w:val="auto"/>
              </w:rPr>
            </w:pPr>
            <w:r>
              <w:rPr>
                <w:rFonts w:ascii="Arial" w:cs="Arial" w:eastAsia="Arial" w:hAnsi="Arial"/>
                <w:sz w:val="18"/>
                <w:szCs w:val="18"/>
                <w:color w:val="auto"/>
              </w:rPr>
              <w:t>Constant</w:t>
            </w:r>
          </w:p>
        </w:tc>
      </w:tr>
      <w:tr>
        <w:trPr>
          <w:trHeight w:val="251"/>
        </w:trPr>
        <w:tc>
          <w:tcPr>
            <w:tcW w:w="4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Nov 30, 2015</w:t>
            </w:r>
          </w:p>
        </w:tc>
        <w:tc>
          <w:tcPr>
            <w:tcW w:w="18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w w:val="98"/>
              </w:rPr>
              <w:t>Nov 30, 2014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3"/>
              </w:rPr>
              <w:t>% Growth</w:t>
            </w: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Neg</w:t>
            </w:r>
          </w:p>
        </w:tc>
        <w:tc>
          <w:tcPr>
            <w:tcW w:w="1240" w:type="dxa"/>
            <w:vAlign w:val="bottom"/>
          </w:tcPr>
          <w:p>
            <w:pPr>
              <w:ind w:left="280"/>
              <w:spacing w:after="0"/>
              <w:rPr>
                <w:sz w:val="20"/>
                <w:szCs w:val="20"/>
                <w:color w:val="auto"/>
              </w:rPr>
            </w:pPr>
            <w:r>
              <w:rPr>
                <w:rFonts w:ascii="Arial" w:cs="Arial" w:eastAsia="Arial" w:hAnsi="Arial"/>
                <w:sz w:val="18"/>
                <w:szCs w:val="18"/>
                <w:color w:val="auto"/>
              </w:rPr>
              <w:t>Currency</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Peripheral Vascular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51,051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49,440</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2"/>
              </w:rPr>
              <w:t>3%</w:t>
            </w: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27,968</w:t>
            </w: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-11%</w:t>
            </w: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Oncology/Surgery</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12,422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13,634</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3"/>
              </w:rPr>
              <w:t>-9%</w:t>
            </w: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Excluding Supply Agreement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91,042</w:t>
            </w: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3"/>
              </w:rPr>
              <w:t>-3%</w:t>
            </w:r>
          </w:p>
        </w:tc>
        <w:tc>
          <w:tcPr>
            <w:tcW w:w="126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1,107</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0"/>
              </w:rPr>
              <w:t>-33%</w:t>
            </w: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-33%</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89,234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92,149</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-3%</w:t>
            </w:r>
          </w:p>
        </w:tc>
        <w:tc>
          <w:tcPr>
            <w:tcW w:w="12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2"/>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311"/>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70,651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72,058</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3"/>
              </w:rPr>
              <w:t>-2%</w:t>
            </w: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-2%</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18,984</w:t>
            </w: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3"/>
              </w:rPr>
              <w:t>-6%</w:t>
            </w:r>
          </w:p>
        </w:tc>
        <w:tc>
          <w:tcPr>
            <w:tcW w:w="126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5%</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1,107</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0"/>
              </w:rPr>
              <w:t>-33%</w:t>
            </w: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-33%</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89,234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92,149</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-3%</w:t>
            </w:r>
          </w:p>
        </w:tc>
        <w:tc>
          <w:tcPr>
            <w:tcW w:w="12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2"/>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For the three months ended November 30, 2015, net sales decreased $2.9 million to $89.2 million compared to the same period in the prior year. As shown in the table above, while consolidated net sales declined by 3%, excluding the planned reduction in sales under our supply agreement and a negative impact from fluctuations in currency exchange rates, our sales were down 2% year over year.</w:t>
      </w:r>
    </w:p>
    <w:p>
      <w:pPr>
        <w:spacing w:after="0" w:line="208" w:lineRule="exact"/>
        <w:rPr>
          <w:sz w:val="20"/>
          <w:szCs w:val="20"/>
          <w:color w:val="auto"/>
        </w:rPr>
      </w:pPr>
    </w:p>
    <w:p>
      <w:pPr>
        <w:ind w:right="140" w:firstLine="432"/>
        <w:spacing w:after="0" w:line="315" w:lineRule="auto"/>
        <w:rPr>
          <w:sz w:val="20"/>
          <w:szCs w:val="20"/>
          <w:color w:val="auto"/>
        </w:rPr>
      </w:pPr>
      <w:r>
        <w:rPr>
          <w:rFonts w:ascii="Arial" w:cs="Arial" w:eastAsia="Arial" w:hAnsi="Arial"/>
          <w:sz w:val="17"/>
          <w:szCs w:val="17"/>
          <w:color w:val="auto"/>
        </w:rPr>
        <w:t xml:space="preserve">From a product line perspective, Peripheral Vascular sales increased $1.6 million primarily attributable to modest increases across all products in the category. Vascular Access sales decreased $2.9 million due in large part to reductions in our PICC sales, which were unfavorably impacted by the Morpheus voluntary recall and product discontinuance in the third quarter of fiscal 2015. In addition to the impact on PICC performance, </w:t>
      </w:r>
      <w:r>
        <w:rPr>
          <w:rFonts w:ascii="Arial" w:cs="Arial" w:eastAsia="Arial" w:hAnsi="Arial"/>
          <w:sz w:val="20"/>
          <w:szCs w:val="20"/>
          <w:color w:val="auto"/>
        </w:rPr>
        <w:t>t</w:t>
      </w:r>
      <w:r>
        <w:rPr>
          <w:rFonts w:ascii="Arial" w:cs="Arial" w:eastAsia="Arial" w:hAnsi="Arial"/>
          <w:sz w:val="17"/>
          <w:szCs w:val="17"/>
          <w:color w:val="auto"/>
        </w:rPr>
        <w:t>he sales force focus required to manage through the recall impacted performance in the other Vascular Access products as well. Oncology/Surgery sales decreased $1.2 million primarily due to declines in RF products which are partially offset by increased microwave sales.</w:t>
      </w:r>
    </w:p>
    <w:p>
      <w:pPr>
        <w:spacing w:after="0" w:line="157"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From a geographic perspective, U.S. sales decreased $1.4 million due primarily to declines in our Venous Access business stemming from the Morpheus product discontinuance and sales force disruption, as well as fewer NanoKnife capital sales. These decreases were partially offset by modest increases across the remainder of our products, including key long-term growth drivers AngioVac and NanoKnife disposables. International sales decreased 1% on a constant-currency basis, primarily attributable to declines in Venous Access. Our supply agreement arrangement, which we do not include in either the U.S. or International geographic sales, declined $0.4 million as we continue to wind down that relationship.</w:t>
      </w:r>
    </w:p>
    <w:p>
      <w:pPr>
        <w:spacing w:after="0" w:line="173"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Changes in sales were impacted by unfavorable movement in currency exchange rates, particularly the euro, pound, and Canadian dollar, with the remainder of the change as compared to the prior year period driven by volume.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0" w:type="dxa"/>
            <w:vAlign w:val="bottom"/>
            <w:gridSpan w:val="5"/>
          </w:tcPr>
          <w:p>
            <w:pPr>
              <w:spacing w:after="0"/>
              <w:rPr>
                <w:sz w:val="20"/>
                <w:szCs w:val="20"/>
                <w:color w:val="auto"/>
              </w:rPr>
            </w:pPr>
            <w:r>
              <w:rPr>
                <w:rFonts w:ascii="Arial" w:cs="Arial" w:eastAsia="Arial" w:hAnsi="Arial"/>
                <w:sz w:val="18"/>
                <w:szCs w:val="18"/>
                <w:color w:val="auto"/>
                <w:w w:val="95"/>
              </w:rPr>
              <w:t>Three months ended</w:t>
            </w:r>
          </w:p>
        </w:tc>
        <w:tc>
          <w:tcPr>
            <w:tcW w:w="1060" w:type="dxa"/>
            <w:vAlign w:val="bottom"/>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8"/>
        </w:trPr>
        <w:tc>
          <w:tcPr>
            <w:tcW w:w="75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8"/>
              </w:rPr>
              <w:t>Nov 30, 2015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8"/>
              </w:rPr>
              <w:t>Nov 30, 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 Change</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45.8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20.6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Medical device excise tax</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7"/>
        </w:trPr>
        <w:tc>
          <w:tcPr>
            <w:tcW w:w="7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The decrease for the three months is attributable to reduction in sales and the result of currency exchange fluctuations which negatively impacted our sales with minimal reduction to our cost of sales. These headwinds were partially offset by product cost reductions generated by our active Operational Excellence Program.</w:t>
      </w:r>
    </w:p>
    <w:p>
      <w:pPr>
        <w:spacing w:after="0" w:line="18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manage clinical, regulatory and medical affairs and our intellectual property. R&amp;D expenses were consistent for the three months ending November 30, 2015 and 2014, with increased clinical and medical investments being offset by reductions in product spend.</w:t>
      </w:r>
    </w:p>
    <w:p>
      <w:pPr>
        <w:spacing w:after="0" w:line="187"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u w:val="single" w:color="auto"/>
          <w:color w:val="auto"/>
        </w:rPr>
        <w:t>Sales and marketing expenses</w:t>
      </w:r>
      <w:r>
        <w:rPr>
          <w:rFonts w:ascii="Arial" w:cs="Arial" w:eastAsia="Arial" w:hAnsi="Arial"/>
          <w:sz w:val="16"/>
          <w:szCs w:val="16"/>
          <w:color w:val="auto"/>
        </w:rPr>
        <w:t xml:space="preserve"> - Sales and marketing (“S&amp;M”) expenses consist primarily of salaries, commissions, travel and related business expenses, attendance at medical society meetings, product promotions and marketing activities. S&amp;M expenses were consistent for the three months ending November 30, 2015 and 2014, with investments made in the U.S. sales force being offset with reduced international costs, in part due to currency movements.</w:t>
      </w:r>
    </w:p>
    <w:p>
      <w:pPr>
        <w:spacing w:after="0" w:line="14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 G&amp;A expenses were consistent for the three months ended November 30, 2015 and 2014.</w:t>
      </w:r>
    </w:p>
    <w:p>
      <w:pPr>
        <w:spacing w:after="0" w:line="18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u w:val="single" w:color="auto"/>
          <w:color w:val="auto"/>
        </w:rPr>
        <w:t>Medical device excise tax</w:t>
      </w:r>
      <w:r>
        <w:rPr>
          <w:rFonts w:ascii="Arial" w:cs="Arial" w:eastAsia="Arial" w:hAnsi="Arial"/>
          <w:sz w:val="18"/>
          <w:szCs w:val="18"/>
          <w:color w:val="auto"/>
        </w:rPr>
        <w:t xml:space="preserve"> - Medical devices excise tax is assess on our US product sales subject to exclusions and adjustments. The expense was consistent year over year; in line with sales of taxable products within the US market.</w:t>
      </w:r>
    </w:p>
    <w:p>
      <w:pPr>
        <w:spacing w:after="0" w:line="33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31750</wp:posOffset>
            </wp:positionV>
            <wp:extent cx="2306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Nov 30, 2015</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2014</w:t>
            </w:r>
          </w:p>
        </w:tc>
        <w:tc>
          <w:tcPr>
            <w:tcW w:w="220" w:type="dxa"/>
            <w:vAlign w:val="bottom"/>
          </w:tcPr>
          <w:p>
            <w:pPr>
              <w:spacing w:after="0"/>
              <w:rPr>
                <w:sz w:val="16"/>
                <w:szCs w:val="16"/>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r>
    </w:tbl>
    <w:p>
      <w:pPr>
        <w:spacing w:after="0" w:line="229"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Amortization of intangibles increased primarily as a result of amortization of the NAMIC trademark intangible which was considered indefinite lived in the prior year.</w:t>
      </w:r>
    </w:p>
    <w:p>
      <w:pPr>
        <w:spacing w:after="0" w:line="170"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u w:val="single" w:color="auto"/>
          <w:color w:val="auto"/>
        </w:rPr>
        <w:t>Change in fair value of contingent consideration</w:t>
      </w:r>
      <w:r>
        <w:rPr>
          <w:rFonts w:ascii="Arial" w:cs="Arial" w:eastAsia="Arial" w:hAnsi="Arial"/>
          <w:sz w:val="18"/>
          <w:szCs w:val="18"/>
          <w:color w:val="auto"/>
        </w:rPr>
        <w:t xml:space="preserve"> - Changes in the contingent consideration were driven by changes to estimated future payments on earn-out liabilities created through acquisitions and amortization of present value discounts on long-term contingent consideration. The decrease was primarily driven by a decrease in the amount of contingent future payments along with $10.1 million in minimum payments since the quarter ended November 30, 2014.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Expense for the three months ended November 30, 2015 consists primarily of $0.4 million in accelerated depreciation, $1.4 million in litigation expense, $1.5 million in mergers and acquisition diligence costs and other miscellaneous items. The three months ended November 30, 2014 included $0.4 million in accelerated depreciation, $0.8 million in litigation expense and $0.3 million in severance and integration expenses.</w:t>
      </w:r>
    </w:p>
    <w:p>
      <w:pPr>
        <w:spacing w:after="0" w:line="18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credit card processing fees, foreign currency impacts, bank fees, amortization of deferred financing costs. Expenses were consistent year over year in composition.</w:t>
      </w:r>
    </w:p>
    <w:p>
      <w:pPr>
        <w:spacing w:after="0" w:line="333"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31750</wp:posOffset>
            </wp:positionV>
            <wp:extent cx="16122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Nov 30, 2015</w:t>
            </w:r>
          </w:p>
        </w:tc>
        <w:tc>
          <w:tcPr>
            <w:tcW w:w="18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color w:val="auto"/>
                <w:w w:val="96"/>
              </w:rPr>
              <w:t>Nov 30, 2014</w:t>
            </w:r>
          </w:p>
        </w:tc>
      </w:tr>
      <w:tr>
        <w:trPr>
          <w:trHeight w:val="250"/>
        </w:trPr>
        <w:tc>
          <w:tcPr>
            <w:tcW w:w="8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52.7%</w:t>
            </w:r>
          </w:p>
        </w:tc>
      </w:tr>
    </w:tbl>
    <w:p>
      <w:pPr>
        <w:spacing w:after="0" w:line="22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xml:space="preserve"> - Our effective tax rate including discrete items for the three month periods ended November 30, 2015 and November 30, 2014 was 50.3% and 52.7%, respectively. Primary drivers of changes in our effective tax rate, detailed in Note F, are the level of ordinary income and the level of discrete items. The effective tax rates are relatively consistent year over year, but the fiscal 2015 period included a higher discrete impact from the depletion of the APIC pool which was partially offset by lower ordinary income in fiscal 2016 and correlated higher impact of permanent items on a rate basis.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November 30, 2015 and November 30, 2014</w:t>
      </w:r>
    </w:p>
    <w:p>
      <w:pPr>
        <w:spacing w:after="0" w:line="121"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For the six months ended November 30, 2015, we reported a net loss of $(1.1) million, or $(0.03) per diluted share, on net sales of $172.9 million, compared with a net income of $1.8 million, or $0.05 per share, on net sales of $179.5 million during the same period of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six months ended November 30, 2015 and 2014:</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Six months ended</w:t>
            </w: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Currency</w:t>
            </w:r>
          </w:p>
        </w:tc>
        <w:tc>
          <w:tcPr>
            <w:tcW w:w="1240" w:type="dxa"/>
            <w:vAlign w:val="bottom"/>
          </w:tcPr>
          <w:p>
            <w:pPr>
              <w:spacing w:after="0"/>
              <w:rPr>
                <w:sz w:val="19"/>
                <w:szCs w:val="19"/>
                <w:color w:val="auto"/>
              </w:rPr>
            </w:pPr>
          </w:p>
        </w:tc>
      </w:tr>
      <w:tr>
        <w:trPr>
          <w:trHeight w:val="216"/>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2"/>
              </w:rPr>
              <w:t>Impact (Pos)</w:t>
            </w:r>
          </w:p>
        </w:tc>
        <w:tc>
          <w:tcPr>
            <w:tcW w:w="1240" w:type="dxa"/>
            <w:vAlign w:val="bottom"/>
          </w:tcPr>
          <w:p>
            <w:pPr>
              <w:ind w:left="300"/>
              <w:spacing w:after="0"/>
              <w:rPr>
                <w:sz w:val="20"/>
                <w:szCs w:val="20"/>
                <w:color w:val="auto"/>
              </w:rPr>
            </w:pPr>
            <w:r>
              <w:rPr>
                <w:rFonts w:ascii="Arial" w:cs="Arial" w:eastAsia="Arial" w:hAnsi="Arial"/>
                <w:sz w:val="18"/>
                <w:szCs w:val="18"/>
                <w:color w:val="auto"/>
              </w:rPr>
              <w:t>Constant</w:t>
            </w:r>
          </w:p>
        </w:tc>
      </w:tr>
      <w:tr>
        <w:trPr>
          <w:trHeight w:val="251"/>
        </w:trPr>
        <w:tc>
          <w:tcPr>
            <w:tcW w:w="4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Nov 30, 2015</w:t>
            </w:r>
          </w:p>
        </w:tc>
        <w:tc>
          <w:tcPr>
            <w:tcW w:w="18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color w:val="auto"/>
                <w:w w:val="98"/>
              </w:rPr>
              <w:t>Nov 30, 2014</w:t>
            </w:r>
          </w:p>
        </w:tc>
        <w:tc>
          <w:tcPr>
            <w:tcW w:w="100" w:type="dxa"/>
            <w:vAlign w:val="bottom"/>
          </w:tcPr>
          <w:p>
            <w:pPr>
              <w:spacing w:after="0"/>
              <w:rPr>
                <w:sz w:val="21"/>
                <w:szCs w:val="21"/>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3"/>
              </w:rPr>
              <w:t>% Growth</w:t>
            </w: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Neg</w:t>
            </w:r>
          </w:p>
        </w:tc>
        <w:tc>
          <w:tcPr>
            <w:tcW w:w="1240" w:type="dxa"/>
            <w:vAlign w:val="bottom"/>
          </w:tcPr>
          <w:p>
            <w:pPr>
              <w:ind w:left="280"/>
              <w:spacing w:after="0"/>
              <w:rPr>
                <w:sz w:val="20"/>
                <w:szCs w:val="20"/>
                <w:color w:val="auto"/>
              </w:rPr>
            </w:pPr>
            <w:r>
              <w:rPr>
                <w:rFonts w:ascii="Arial" w:cs="Arial" w:eastAsia="Arial" w:hAnsi="Arial"/>
                <w:sz w:val="18"/>
                <w:szCs w:val="18"/>
                <w:color w:val="auto"/>
              </w:rPr>
              <w:t>Currency</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Peripheral Vascular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98,158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96,801</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2"/>
              </w:rPr>
              <w:t>1%</w:t>
            </w:r>
          </w:p>
        </w:tc>
        <w:tc>
          <w:tcPr>
            <w:tcW w:w="1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54,393</w:t>
            </w:r>
          </w:p>
        </w:tc>
        <w:tc>
          <w:tcPr>
            <w:tcW w:w="1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-9%</w:t>
            </w: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Oncology/Surgery</w:t>
            </w:r>
          </w:p>
        </w:tc>
        <w:tc>
          <w:tcPr>
            <w:tcW w:w="1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23,706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25,996</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3"/>
              </w:rPr>
              <w:t>-9%</w:t>
            </w:r>
          </w:p>
        </w:tc>
        <w:tc>
          <w:tcPr>
            <w:tcW w:w="1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Excluding Supply Agreement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171,531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177,190</w:t>
            </w:r>
          </w:p>
        </w:tc>
        <w:tc>
          <w:tcPr>
            <w:tcW w:w="1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-3%</w:t>
            </w:r>
          </w:p>
        </w:tc>
        <w:tc>
          <w:tcPr>
            <w:tcW w:w="1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1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2,290</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0"/>
              </w:rPr>
              <w:t>-39%</w:t>
            </w: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-39%</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172,937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179,480</w:t>
            </w:r>
          </w:p>
        </w:tc>
        <w:tc>
          <w:tcPr>
            <w:tcW w:w="1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-4%</w:t>
            </w:r>
          </w:p>
        </w:tc>
        <w:tc>
          <w:tcPr>
            <w:tcW w:w="1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w:t>
            </w: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1"/>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139,021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140,438</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3"/>
              </w:rPr>
              <w:t>-1%</w:t>
            </w: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36,752</w:t>
            </w:r>
          </w:p>
        </w:tc>
        <w:tc>
          <w:tcPr>
            <w:tcW w:w="1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-12%</w:t>
            </w:r>
          </w:p>
        </w:tc>
        <w:tc>
          <w:tcPr>
            <w:tcW w:w="1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6%</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1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2,290</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0"/>
              </w:rPr>
              <w:t>-39%</w:t>
            </w: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-39%</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172,937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179,480</w:t>
            </w:r>
          </w:p>
        </w:tc>
        <w:tc>
          <w:tcPr>
            <w:tcW w:w="1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-4%</w:t>
            </w:r>
          </w:p>
        </w:tc>
        <w:tc>
          <w:tcPr>
            <w:tcW w:w="1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w:t>
            </w: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70"/>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For the six months ended November 30, 2015, net sales decreased $6.5 million to $172.9 million compared to the same period in the prior year. As shown in the table above, consolidated net sales declined by 2%, excluding the planned reduction in sales under our supply agreement and a negative impact from fluctuations in currency exchange rates year over year.</w:t>
      </w:r>
    </w:p>
    <w:p>
      <w:pPr>
        <w:spacing w:after="0" w:line="208" w:lineRule="exact"/>
        <w:rPr>
          <w:sz w:val="20"/>
          <w:szCs w:val="20"/>
          <w:color w:val="auto"/>
        </w:rPr>
      </w:pPr>
    </w:p>
    <w:p>
      <w:pPr>
        <w:ind w:right="120" w:firstLine="432"/>
        <w:spacing w:after="0" w:line="343" w:lineRule="auto"/>
        <w:rPr>
          <w:sz w:val="20"/>
          <w:szCs w:val="20"/>
          <w:color w:val="auto"/>
        </w:rPr>
      </w:pPr>
      <w:r>
        <w:rPr>
          <w:rFonts w:ascii="Arial" w:cs="Arial" w:eastAsia="Arial" w:hAnsi="Arial"/>
          <w:sz w:val="16"/>
          <w:szCs w:val="16"/>
          <w:color w:val="auto"/>
        </w:rPr>
        <w:t xml:space="preserve">From a product line perspective, Peripheral Vascular sales increased $1.4 million primarily attributable to modest increases in core products, thrombolytic and venous, which was partially offset by fluid management. Vascular Access sales decreased $4.7 million due to reductions in our PICC sales, which were unfavorably impacted by the Morpheus voluntary recall and product discontinuance in the third quarter of fiscal 2015. In addition to the impact on PICC performance, </w:t>
      </w:r>
      <w:r>
        <w:rPr>
          <w:rFonts w:ascii="Arial" w:cs="Arial" w:eastAsia="Arial" w:hAnsi="Arial"/>
          <w:sz w:val="19"/>
          <w:szCs w:val="19"/>
          <w:color w:val="auto"/>
        </w:rPr>
        <w:t>t</w:t>
      </w:r>
      <w:r>
        <w:rPr>
          <w:rFonts w:ascii="Arial" w:cs="Arial" w:eastAsia="Arial" w:hAnsi="Arial"/>
          <w:sz w:val="16"/>
          <w:szCs w:val="16"/>
          <w:color w:val="auto"/>
        </w:rPr>
        <w:t>he sales force focus required to manage through the recall impacted performance in the other Vascular Access products as well. Oncology/Surgery sales decreased $2.3 million primarily due to a reduction in ablation and NanoKnife capital sales as compared to the prior year period.</w:t>
      </w:r>
    </w:p>
    <w:p>
      <w:pPr>
        <w:spacing w:after="0" w:line="122"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From a geographic perspective, U.S. sales decreased $1.4 million due primarily to declines in our Venous Access business stemming from the Morpheus product discontinuance and sales force disruption, as well as less NanoKnife capital sales. These decreases were partially offset by modest increases across the remainder of our products, including key long-term growth drivers AngioVac and NanoKnife disposables. International sales decreased 6% on a constant-currency basis, primarily attributable to declines in fluid management, venous, PICCs and ports, ablation and NanoKnife products. Our supply agreement arrangement, which we do not include in either the U.S. or International geographic sales, declined $0.9 million as we continue to wind down that relationship.</w:t>
      </w:r>
    </w:p>
    <w:p>
      <w:pPr>
        <w:spacing w:after="0" w:line="193"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Changes in sales were impacted by unfavorable movement in currency exchange rates, particularly the euro, pound, and Canadian dollar, with the remainder of the change as compared to the prior year period driven by volume.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20" w:type="dxa"/>
            <w:vAlign w:val="bottom"/>
            <w:gridSpan w:val="4"/>
          </w:tcPr>
          <w:p>
            <w:pPr>
              <w:ind w:left="100"/>
              <w:spacing w:after="0"/>
              <w:rPr>
                <w:sz w:val="20"/>
                <w:szCs w:val="20"/>
                <w:color w:val="auto"/>
              </w:rPr>
            </w:pPr>
            <w:r>
              <w:rPr>
                <w:rFonts w:ascii="Arial" w:cs="Arial" w:eastAsia="Arial" w:hAnsi="Arial"/>
                <w:sz w:val="18"/>
                <w:szCs w:val="18"/>
                <w:color w:val="auto"/>
                <w:w w:val="90"/>
              </w:rPr>
              <w:t>Six months ended</w:t>
            </w:r>
          </w:p>
        </w:tc>
        <w:tc>
          <w:tcPr>
            <w:tcW w:w="1240" w:type="dxa"/>
            <w:vAlign w:val="bottom"/>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75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8"/>
              </w:rPr>
              <w:t>Nov 30, 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8"/>
              </w:rPr>
              <w:t>Nov 30, 2014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 Change</w:t>
            </w: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89.0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Gross profit %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Medical device excise tax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The decrease for the six months is attributable to reduction in sales and the result of currency exchange fluctuations which negatively impacted our sales with minimal reduction to our cost of sales. These headwinds were partially offset by product cost reductions generated by our active Operational Excellence Program.</w:t>
      </w:r>
    </w:p>
    <w:p>
      <w:pPr>
        <w:spacing w:after="0" w:line="188"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u w:val="single" w:color="auto"/>
          <w:color w:val="auto"/>
        </w:rPr>
        <w:t>Research and development expenses</w:t>
      </w:r>
      <w:r>
        <w:rPr>
          <w:rFonts w:ascii="Arial" w:cs="Arial" w:eastAsia="Arial" w:hAnsi="Arial"/>
          <w:sz w:val="16"/>
          <w:szCs w:val="16"/>
          <w:color w:val="auto"/>
        </w:rPr>
        <w:t xml:space="preserve"> - Research and development (“R&amp;D”) expenses include internal and external costs to develop new products, enhance existing products, validate new and enhanced products, manage clinical, regulatory and medical affairs and our intellectual property. R&amp;D expenses decreased for the six months ended November 30, 2015 and 2014 due to reduced product spread as a result of the mix of projects and stages of development.</w:t>
      </w:r>
    </w:p>
    <w:p>
      <w:pPr>
        <w:spacing w:after="0" w:line="147"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u w:val="single" w:color="auto"/>
          <w:color w:val="auto"/>
        </w:rPr>
        <w:t>Sales and marketing expenses</w:t>
      </w:r>
      <w:r>
        <w:rPr>
          <w:rFonts w:ascii="Arial" w:cs="Arial" w:eastAsia="Arial" w:hAnsi="Arial"/>
          <w:sz w:val="16"/>
          <w:szCs w:val="16"/>
          <w:color w:val="auto"/>
        </w:rPr>
        <w:t xml:space="preserve"> - Sales and marketing (“S&amp;M”) expenses consist primarily of salaries, commissions, travel and related business expenses, attendance at medical society meetings, product promotions and marketing activities. S&amp;M expenses were consistent for the six months ended November 30, 2015 and 2014, with investments made in the U.S. sales force being offset with reduced international costs, in part due to currency movements.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 G&amp;A expenses were consistent for the six months ended November 30, 2015 and 2014.</w:t>
      </w:r>
    </w:p>
    <w:p>
      <w:pPr>
        <w:spacing w:after="0" w:line="18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u w:val="single" w:color="auto"/>
          <w:color w:val="auto"/>
        </w:rPr>
        <w:t>Medical device excise tax</w:t>
      </w:r>
      <w:r>
        <w:rPr>
          <w:rFonts w:ascii="Arial" w:cs="Arial" w:eastAsia="Arial" w:hAnsi="Arial"/>
          <w:sz w:val="18"/>
          <w:szCs w:val="18"/>
          <w:color w:val="auto"/>
        </w:rPr>
        <w:t xml:space="preserve"> - Medical devices excise tax is assess on our US product sales subject to exclusions and adjustments. The expense was consistent year over year; in line with sales of taxable products within the US market.</w:t>
      </w:r>
    </w:p>
    <w:p>
      <w:pPr>
        <w:spacing w:after="0" w:line="333"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31750</wp:posOffset>
            </wp:positionV>
            <wp:extent cx="2306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Nov 30, 2015</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2014</w:t>
            </w:r>
          </w:p>
        </w:tc>
        <w:tc>
          <w:tcPr>
            <w:tcW w:w="220" w:type="dxa"/>
            <w:vAlign w:val="bottom"/>
          </w:tcPr>
          <w:p>
            <w:pPr>
              <w:spacing w:after="0"/>
              <w:rPr>
                <w:sz w:val="16"/>
                <w:szCs w:val="16"/>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Amortization of intangibles increased primarily as a result of amortization of the NAMIC trademark intangible which was considered indefinite lived in the prior year.</w:t>
      </w:r>
    </w:p>
    <w:p>
      <w:pPr>
        <w:spacing w:after="0" w:line="170"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u w:val="single" w:color="auto"/>
          <w:color w:val="auto"/>
        </w:rPr>
        <w:t>Change in fair value of contingent consideration</w:t>
      </w:r>
      <w:r>
        <w:rPr>
          <w:rFonts w:ascii="Arial" w:cs="Arial" w:eastAsia="Arial" w:hAnsi="Arial"/>
          <w:sz w:val="18"/>
          <w:szCs w:val="18"/>
          <w:color w:val="auto"/>
        </w:rPr>
        <w:t xml:space="preserve"> - Changes in the contingent consideration were driven by changes to estimated future payments on earn-out liabilities created through acquisitions and amortization of present value discounts on long-term contingent consideration. The decrease was primarily driven by a decrease in the amount of contingent future payments along with $10.1 million in minimum payments since the quarter ended November 30, 2014.</w:t>
      </w:r>
    </w:p>
    <w:p>
      <w:pPr>
        <w:spacing w:after="0" w:line="18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Expense for the six months ended November 30, 2015 consists primarily of $0.8 million in accelerated depreciation, $2.7 million in litigation expense, $1.7 million in mergers and acquisition diligence costs and other miscellaneous items. The six months ended November 30, 2014 included $0.8 million in accelerated depreciation, $1.3 million in litigation expense, and $1.8 million in severance and integration expenses.</w:t>
      </w:r>
    </w:p>
    <w:p>
      <w:pPr>
        <w:spacing w:after="0" w:line="18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credit card processing fees, foreign currency impacts, bank fees, amortization of deferred financing costs. Expenses were consistent year over year in composition.</w:t>
      </w:r>
    </w:p>
    <w:p>
      <w:pPr>
        <w:spacing w:after="0" w:line="333" w:lineRule="exact"/>
        <w:rPr>
          <w:sz w:val="20"/>
          <w:szCs w:val="20"/>
          <w:color w:val="auto"/>
        </w:rPr>
      </w:pPr>
    </w:p>
    <w:p>
      <w:pPr>
        <w:ind w:left="9520"/>
        <w:spacing w:after="0"/>
        <w:rPr>
          <w:sz w:val="20"/>
          <w:szCs w:val="20"/>
          <w:color w:val="auto"/>
        </w:rPr>
      </w:pPr>
      <w:r>
        <w:rPr>
          <w:rFonts w:ascii="Arial" w:cs="Arial" w:eastAsia="Arial" w:hAnsi="Arial"/>
          <w:sz w:val="18"/>
          <w:szCs w:val="18"/>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31750</wp:posOffset>
            </wp:positionV>
            <wp:extent cx="16122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Nov 30, 2015</w:t>
            </w:r>
          </w:p>
        </w:tc>
        <w:tc>
          <w:tcPr>
            <w:tcW w:w="18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color w:val="auto"/>
                <w:w w:val="96"/>
              </w:rPr>
              <w:t>Nov 30, 2014</w:t>
            </w:r>
          </w:p>
        </w:tc>
      </w:tr>
      <w:tr>
        <w:trPr>
          <w:trHeight w:val="250"/>
        </w:trPr>
        <w:tc>
          <w:tcPr>
            <w:tcW w:w="8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2.4</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57.4%</w:t>
            </w:r>
          </w:p>
        </w:tc>
      </w:tr>
    </w:tbl>
    <w:p>
      <w:pPr>
        <w:spacing w:after="0" w:line="229" w:lineRule="exact"/>
        <w:rPr>
          <w:sz w:val="20"/>
          <w:szCs w:val="20"/>
          <w:color w:val="auto"/>
        </w:rPr>
      </w:pPr>
    </w:p>
    <w:p>
      <w:pPr>
        <w:jc w:val="both"/>
        <w:ind w:right="80" w:firstLine="432"/>
        <w:spacing w:after="0" w:line="293"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xml:space="preserve"> - Our effective tax rate including discrete items for the six month periods ended November 30, 2015 and November 30, 2014 was 20.2% and 57.4%, respectively. The change in the effective tax rate, detailed in Note F, is primarily driven by the impact of permanent and discrete items relative to the earnings in each period. In a period of pre-tax loss, as reported for the six months ended November 30, 2015, discrete tax expenses reduce the tax rate, in contrast the same expenses in periods of pre-tax earnings, as reported for the six months ended November 30, 2014, result in a higher tax rate. Further, year over year decreases in absolute dollars of ordinary income, as reported in fiscal 2016 as compared to the fiscal 2015, results in higher impact from permanent and discrete items on a rate basis. The level of permanent and discrete items were consistent in each of the six month periods.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Our cash and cash equivalents totaled $19.0 million as of November 30, 2015, compared with $18.4 million as of May 31, 2015. Marketable securities totaled $1.6 million and $1.7 million as of November 30, 2015 and May 31, 2015, respectively, and consist of auction rate securities. As of November 30, 2015, total debt was $133.9 million comprised of short and long-term bank debt. The fair value of contingent consideration payments as of November 30, 2015 was $37.8 million.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our cash flows for the six months ended November 30, 2015 and 2014 (in thousands of dollars):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90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8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color w:val="auto"/>
              </w:rPr>
              <w:t>Six Months Ended</w:t>
            </w:r>
          </w:p>
        </w:tc>
      </w:tr>
      <w:tr>
        <w:trPr>
          <w:trHeight w:val="264"/>
        </w:trPr>
        <w:tc>
          <w:tcPr>
            <w:tcW w:w="1020" w:type="dxa"/>
            <w:vAlign w:val="bottom"/>
          </w:tcPr>
          <w:p>
            <w:pPr>
              <w:spacing w:after="0"/>
              <w:rPr>
                <w:sz w:val="22"/>
                <w:szCs w:val="22"/>
                <w:color w:val="auto"/>
              </w:rPr>
            </w:pPr>
          </w:p>
        </w:tc>
        <w:tc>
          <w:tcPr>
            <w:tcW w:w="8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Nov 30, 2015</w:t>
            </w:r>
          </w:p>
        </w:tc>
        <w:tc>
          <w:tcPr>
            <w:tcW w:w="16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3"/>
              </w:rPr>
              <w:t>Nov 30, 2014</w:t>
            </w:r>
          </w:p>
        </w:tc>
      </w:tr>
      <w:tr>
        <w:trPr>
          <w:trHeight w:val="250"/>
        </w:trPr>
        <w:tc>
          <w:tcPr>
            <w:tcW w:w="90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14,278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3,205</w:t>
            </w:r>
          </w:p>
        </w:tc>
      </w:tr>
      <w:tr>
        <w:trPr>
          <w:trHeight w:val="27"/>
        </w:trPr>
        <w:tc>
          <w:tcPr>
            <w:tcW w:w="10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(7,773)</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3,381</w:t>
            </w:r>
          </w:p>
        </w:tc>
      </w:tr>
      <w:tr>
        <w:trPr>
          <w:trHeight w:val="27"/>
        </w:trPr>
        <w:tc>
          <w:tcPr>
            <w:tcW w:w="10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w:t>
            </w:r>
          </w:p>
        </w:tc>
      </w:tr>
      <w:tr>
        <w:trPr>
          <w:trHeight w:val="27"/>
        </w:trPr>
        <w:tc>
          <w:tcPr>
            <w:tcW w:w="10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Cash provided by operating activities during the six months ended November 30, 2015 and 2014, was primarily the result of net income (loss) excluding non-cash items offset by unfavorable shifts in working capital. In the current year period, favorable working capital change in accounts receivable were partially offset by negative movements in inventory, payables and accrued expenses.</w:t>
      </w:r>
    </w:p>
    <w:p>
      <w:pPr>
        <w:spacing w:after="0" w:line="181"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The net cash used in investing activities for the current year period consisted of $1.2 million in fixed asset additions, a large portion of which is associated with facility consolidation. The prior year use of cash consisted primarily of $7.5 million of fixed asset additions, a large portion of which is associated with facility investments with the consolidation of our upstate New York manufacturing facilities.</w:t>
      </w:r>
    </w:p>
    <w:p>
      <w:pPr>
        <w:spacing w:after="0" w:line="18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net cash provided by financing activities is the result of a $1.2 of proceeds from stock option and ESPP activity offset by $9.9 million in payments on earn-out liabilities and $3.8 million in repayments on long-term debt.</w:t>
      </w:r>
    </w:p>
    <w:p>
      <w:pPr>
        <w:spacing w:after="0" w:line="17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Our contractual obligations and their effect on liquidity and cash flows have not changed substantially from that disclosed in our Annual Report on Form 10-K for our fiscal year ended May 31, 2015.</w:t>
      </w:r>
    </w:p>
    <w:p>
      <w:pPr>
        <w:spacing w:after="0" w:line="17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We believe that our current cash and investment balances, together with cash generated from operations and our remaining revolving credit facility capacity of $53.6 million as of November 30, 2015, will provide sufficient liquidity to meet our anticipated needs for capital for at least the next 12 months. If we seek to make significant acquisitions of other businesses or technologies in the future for cash, we may require external financing.</w:t>
      </w:r>
    </w:p>
    <w:p>
      <w:pPr>
        <w:spacing w:after="0" w:line="32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70"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8% of our sales in fiscal 2015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Income (Expenses). Significant non-functional balances include a Euro denominated contingent liability and accounts receivable due from a sub-section of our international customers.</w:t>
      </w:r>
    </w:p>
    <w:p>
      <w:pPr>
        <w:spacing w:after="0" w:line="193" w:lineRule="exact"/>
        <w:rPr>
          <w:sz w:val="20"/>
          <w:szCs w:val="20"/>
          <w:color w:val="auto"/>
        </w:rPr>
      </w:pPr>
    </w:p>
    <w:p>
      <w:pPr>
        <w:ind w:right="400" w:firstLine="432"/>
        <w:spacing w:after="0" w:line="279" w:lineRule="auto"/>
        <w:rPr>
          <w:sz w:val="20"/>
          <w:szCs w:val="20"/>
          <w:color w:val="auto"/>
        </w:rPr>
      </w:pPr>
      <w:r>
        <w:rPr>
          <w:rFonts w:ascii="Arial" w:cs="Arial" w:eastAsia="Arial" w:hAnsi="Arial"/>
          <w:sz w:val="17"/>
          <w:szCs w:val="17"/>
          <w:color w:val="auto"/>
        </w:rPr>
        <w:t>In June 2012, we entered in an interest rate swap agreement, with an initial notional amount of $100 million, to limit the effect of variability due to interest rates on our debt. The swap agreement, which qualifies for hedge accounting, is a contract to exchange floating interest rate payments for fixed interest rate payments of 3.26% of the outstanding balance of loan over the life of the swap agreement without the exchange of the underlying notional amounts. We do not currently engage in any other hedging or market risk management tools.</w:t>
      </w:r>
    </w:p>
    <w:p>
      <w:pPr>
        <w:spacing w:after="0" w:line="171" w:lineRule="exact"/>
        <w:rPr>
          <w:sz w:val="20"/>
          <w:szCs w:val="20"/>
          <w:color w:val="auto"/>
        </w:rPr>
      </w:pPr>
    </w:p>
    <w:p>
      <w:pPr>
        <w:ind w:right="300" w:firstLine="432"/>
        <w:spacing w:after="0" w:line="276" w:lineRule="auto"/>
        <w:rPr>
          <w:sz w:val="20"/>
          <w:szCs w:val="20"/>
          <w:color w:val="auto"/>
        </w:rPr>
      </w:pPr>
      <w:r>
        <w:rPr>
          <w:rFonts w:ascii="Arial" w:cs="Arial" w:eastAsia="Arial" w:hAnsi="Arial"/>
          <w:sz w:val="17"/>
          <w:szCs w:val="17"/>
          <w:color w:val="auto"/>
        </w:rPr>
        <w:t>On September 19, 2013, we entered into a Credit Agreement (the "Credit Agreement")which provides for a $100 million senior secured term loan facility (“ Term Loan") and a $100 million senior secured revolving credit facility (the “Revolving Facility", and together with the Term Loan, the "Facilities"). Interest on both the Term Loan and Revolver will be based on a base rate or Eurodollar rate plus an applicable margin which increases as our total leverage ratio increases, with the base rate and Eurodollar rate having ranges of 0.50% to 1.25% and 1.50% to 2.25% respectively. In the event of default, the interest rate may be increased by 2.0%. Changes in the interest rate would not be material.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4"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excess cash is invested in highly liquid, short-term, investment grade securities with maturities primarily of less than two years. These investments are not held for speculative or trading purposes. Changes in interest rates may affect the investment income we earn on cash, cash equivalents and marketable securities and therefore affect our cash flows and results of operations. We hold investments in auction rate securities (“ARS”) in order to generate higher than typical money market investments. ARS typically are high credit quality, generally issued with municipal bond insurance. Credit risks are eased by the historical track record of bond insurers, which back a majority of this market. Sell orders for any security traded through an auction process could exceed bids. Such instances are usually the result of a drastic deterioration of issuer credit quality. Should there be a failed auction, we may be unable to liquidate our position in the securities in the near term. We have $1.6 million in investments in two auction rate securities issued by New York state and local government authorities that have failed auctions. The authorities are current in their interest payments on the securities.</w:t>
      </w:r>
    </w:p>
    <w:p>
      <w:pPr>
        <w:spacing w:after="0" w:line="108"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As of the end of the period covered by this report, our management, under the supervision and with the participation of our Chief Executive Officer and our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November 30, 2015 that has materially affected, or is reasonably likely to materially affect, our internal control over financial reporting.</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November 9, 2015, we announced the resignation of our Executive Vice President and Chief Financial Officer, Mark Frost. Effective November 9, 2015, our Vice President and Global Controller, Michael Trimarchi, was appointed as the Interim Chief Financial Officer until a permanent successor is identified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v. biolitec</w:t>
      </w:r>
    </w:p>
    <w:p>
      <w:pPr>
        <w:spacing w:after="0" w:line="117" w:lineRule="exact"/>
        <w:rPr>
          <w:sz w:val="20"/>
          <w:szCs w:val="20"/>
          <w:color w:val="auto"/>
        </w:rPr>
      </w:pPr>
    </w:p>
    <w:p>
      <w:pPr>
        <w:ind w:right="20" w:firstLine="878"/>
        <w:spacing w:after="0" w:line="272" w:lineRule="auto"/>
        <w:rPr>
          <w:sz w:val="20"/>
          <w:szCs w:val="20"/>
          <w:color w:val="auto"/>
        </w:rPr>
      </w:pPr>
      <w:r>
        <w:rPr>
          <w:rFonts w:ascii="Arial" w:cs="Arial" w:eastAsia="Arial" w:hAnsi="Arial"/>
          <w:sz w:val="17"/>
          <w:szCs w:val="17"/>
          <w:color w:val="auto"/>
        </w:rPr>
        <w:t>On January 2, 2008, we commenced an action in the United States District Court for the Northern District of New York entitled AngioDynamics, Inc. v. biolitec, Inc. In this action, we sought judgment against biolitec for defense and indemnification in two lawsuits which we previously settled. Our claims arise out of a Supply and Distribution Agreement (“SDA”) entered into with biolitec on April 1, 2002. On September 27, 2011, the U.S. District Court granted key portions of our motion for summary judgment in our legal case against biolitec. The Court also dismissed biolitec’s counterclaims against us. The court denied one portion of our summary judgment motion, which sought to recover additional costs from biolitec, leaving this for adjudication at trial. On November 8, 2012, the Court granted partial judgment to us in the amount of $23.2 million. Biolitec appealed this judgment. On August 23, 2013, the U.S. Court of Appeals for the Second Circuit dismissed biolitec’s appeal.</w:t>
      </w:r>
    </w:p>
    <w:p>
      <w:pPr>
        <w:spacing w:after="0" w:line="70" w:lineRule="exact"/>
        <w:rPr>
          <w:sz w:val="20"/>
          <w:szCs w:val="20"/>
          <w:color w:val="auto"/>
        </w:rPr>
      </w:pPr>
    </w:p>
    <w:p>
      <w:pPr>
        <w:ind w:right="20" w:firstLine="878"/>
        <w:spacing w:after="0" w:line="287" w:lineRule="auto"/>
        <w:rPr>
          <w:sz w:val="20"/>
          <w:szCs w:val="20"/>
          <w:color w:val="auto"/>
        </w:rPr>
      </w:pPr>
      <w:r>
        <w:rPr>
          <w:rFonts w:ascii="Arial" w:cs="Arial" w:eastAsia="Arial" w:hAnsi="Arial"/>
          <w:sz w:val="16"/>
          <w:szCs w:val="16"/>
          <w:color w:val="auto"/>
        </w:rPr>
        <w:t>In October 2009, we commenced an action in the United States District Court for the District of Massachusetts entitled AngioDynamics, Inc. v. biolitec AG and Wolfgang Neuberger. The Complaint in this action was amended in March 2010. This action seeks to recover against biolitec, Inc.’s parent entities and CEO for tortiously interfering with biolitec, Inc.’s contractual obligation to defend and indemnify us, and also seeks to pierce the corporate veil of biolitec, Inc. and to invalidate certain alleged fraudulent transfers in order to hold biolitec, Inc.’s parent entities jointly and severally liable for the alleged breach of the SDA. On September 13, 2012, the Massachusetts Court granted our request for a preliminary injunction prohibiting the downstream merger of biolitec AG with its Austrian subsidiary. On April 1, 2013, the U.S. Court of Appeals for the First Circuit affirmed the preliminary injunction. On January 14, 2014, the District Court entered judgment in our favor as to liability. On March 18, 2014, the District Court entered judgment in our favor against Biolitec AG, Biomed Technology Holdings, Ltd., and Wolfgang Neuberger, jointly and severally, in the amount of $74.9 million. On March 11, 2015, the U.S. Court of Appeals for the First Circuit affirmed the judgment. The defendants petitioned to the U.S. Supreme Court for a writ of certiorari. The Supreme Court denied the petition on November 30, 2015. The defendants have also filed an appeal with the U.S. Court of Appeals for the First Circuit regarding civil contempt sanctions imposed by the Massachusetts District Court as a result of defendants’ completion of the downstream merger in violation of the Court’s injunction. This latest appeal is scheduled for oral argument in the First Circuit on January 4, 2016.</w:t>
      </w:r>
    </w:p>
    <w:p>
      <w:pPr>
        <w:spacing w:after="0" w:line="169" w:lineRule="exact"/>
        <w:rPr>
          <w:sz w:val="20"/>
          <w:szCs w:val="20"/>
          <w:color w:val="auto"/>
        </w:rPr>
      </w:pPr>
    </w:p>
    <w:p>
      <w:pPr>
        <w:ind w:right="20" w:firstLine="864"/>
        <w:spacing w:after="0" w:line="297" w:lineRule="auto"/>
        <w:rPr>
          <w:sz w:val="20"/>
          <w:szCs w:val="20"/>
          <w:color w:val="auto"/>
        </w:rPr>
      </w:pPr>
      <w:r>
        <w:rPr>
          <w:rFonts w:ascii="Arial" w:cs="Arial" w:eastAsia="Arial" w:hAnsi="Arial"/>
          <w:sz w:val="16"/>
          <w:szCs w:val="16"/>
          <w:color w:val="auto"/>
        </w:rPr>
        <w:t>On November 13, 2014, the U.S. District Court for the District of Massachusetts issued summonses to four Biolitec entities - Biolitec U.S., Inc., Biolitec Holding U.S., Inc., Biolitec Medical Devices, Inc., and CeramOptec Industries, Inc. - pursuant to Massachusetts trustee process. We sought to use this process to attach the assets of these entities in order to satisfy our judgment. The trustee process was automatically stayed when the four Biolitec entities filed Chapter 7 petitions in the U.S. Bankruptcy Court for the District of Delaware. However, on November 3, 2015, the Delaware Bankruptcy Court granted our request to modify the automatic stay to allow us to seek a default against the four Biolitec entities pursuant to trustee process.</w:t>
      </w:r>
    </w:p>
    <w:p>
      <w:pPr>
        <w:spacing w:after="0" w:line="50" w:lineRule="exact"/>
        <w:rPr>
          <w:sz w:val="20"/>
          <w:szCs w:val="20"/>
          <w:color w:val="auto"/>
        </w:rPr>
      </w:pPr>
    </w:p>
    <w:p>
      <w:pPr>
        <w:ind w:right="60" w:firstLine="878"/>
        <w:spacing w:after="0" w:line="276" w:lineRule="auto"/>
        <w:rPr>
          <w:sz w:val="20"/>
          <w:szCs w:val="20"/>
          <w:color w:val="auto"/>
        </w:rPr>
      </w:pPr>
      <w:r>
        <w:rPr>
          <w:rFonts w:ascii="Arial" w:cs="Arial" w:eastAsia="Arial" w:hAnsi="Arial"/>
          <w:sz w:val="17"/>
          <w:szCs w:val="17"/>
          <w:color w:val="auto"/>
        </w:rPr>
        <w:t>On August 29, 2013, we became co-plaintiffs in an adversary proceeding in the United States Bankruptcy Court for the District of New Jersey entitled Cyganowski, Trustee, et al. v. Biolitec U.S., Inc., et al. In this action, we assert claims of conversion, unjust enrichment, tortious interference, and unfair competition against various biolitec entities for alleged violation of Bankruptcy Court settlement and sale orders under which we acquired certain assets of Biolitec, Inc. On September 3, 2013, we, along with our co-plaintiff, obtained a temporary restraining order against the defendants in this action. On January 22, 2015, the Bankruptcy Court entered a permanent injunction on our behalf for an additional two years.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117" w:lineRule="exact"/>
        <w:rPr>
          <w:sz w:val="20"/>
          <w:szCs w:val="20"/>
          <w:color w:val="auto"/>
        </w:rPr>
      </w:pPr>
    </w:p>
    <w:p>
      <w:pPr>
        <w:ind w:firstLine="878"/>
        <w:spacing w:after="0" w:line="253" w:lineRule="auto"/>
        <w:rPr>
          <w:sz w:val="20"/>
          <w:szCs w:val="20"/>
          <w:color w:val="auto"/>
        </w:rPr>
      </w:pPr>
      <w:r>
        <w:rPr>
          <w:rFonts w:ascii="Arial" w:cs="Arial" w:eastAsia="Arial" w:hAnsi="Arial"/>
          <w:sz w:val="18"/>
          <w:szCs w:val="18"/>
          <w:color w:val="auto"/>
        </w:rPr>
        <w:t>On January 11, 2012, C.R. Bard, Inc.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which seek to invalidate all three patents asserted in the litigation. Our petitions have been granted and 40 of 41 patent claims have been and remain rejected. The Patent Office has issued a Final Rejection of all the claims subject to reexamination and Bard has filed appeals. The parties have completed briefing on the appeals and oral argument was held on June 18, 2015. The parties are awaiting decision by the Board of Appeals and Interferences. The case has been stayed pending final resolution of the PTO process. The Company believes these claims are without merit and intends to defend them</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vigorously. The Company has not recorded an expense related to the outcome of this litigation because it is not yet possible to determine if a potential loss is probable nor reasonably estimable.</w:t>
      </w:r>
    </w:p>
    <w:p>
      <w:pPr>
        <w:spacing w:after="0" w:line="116" w:lineRule="exact"/>
        <w:rPr>
          <w:sz w:val="20"/>
          <w:szCs w:val="20"/>
          <w:color w:val="auto"/>
        </w:rPr>
      </w:pPr>
    </w:p>
    <w:p>
      <w:pPr>
        <w:ind w:right="40" w:firstLine="864"/>
        <w:spacing w:after="0" w:line="290" w:lineRule="auto"/>
        <w:rPr>
          <w:sz w:val="20"/>
          <w:szCs w:val="20"/>
          <w:color w:val="auto"/>
        </w:rPr>
      </w:pPr>
      <w:r>
        <w:rPr>
          <w:rFonts w:ascii="Arial" w:cs="Arial" w:eastAsia="Arial" w:hAnsi="Arial"/>
          <w:sz w:val="16"/>
          <w:szCs w:val="16"/>
          <w:color w:val="auto"/>
        </w:rPr>
        <w:t>On March 10, 2015, C.R. Bard, Inc. and Bard Peripheral Vascular, Inc. filed suit in the United States District Court for the District of Delaware claiming certain of the Company’s implantable port products infringe three Bard patents (the “Delaware Action). Bard is seeking unspecified damages and other relief; and the patents asserted in the Delaware Action are different than those asserted in the Utah Action. On June 1,2015, the Company filed two motions in response to Bard’s Complaint - - one seeks transfer to the District of Utah where the Utah Action is currently pending, and the other seeks dismissal of the entire complaint on grounds that none of the claims in the asserted patents is directed to patent eligible subject matter under Section 101 of the Patent Statute and in light of recent authority from the U. S. Supreme Court. Briefing is complete on both motions and the parties are awaiting decision by the Delaware Court.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Governmental Investigations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Beads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 and at this time are unable to predict its scope, duration or outcome.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EVLT</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 and at this time are unable to predict its scope, duration or outcome.</w:t>
      </w:r>
    </w:p>
    <w:p>
      <w:pPr>
        <w:spacing w:after="0" w:line="12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addition to information set forth in this report, you should carefully consider the factors discussed in “Part I, Item 1A. Risk Factors” of our annual report on Form 10-K for our fiscal year ended May 31, 2015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34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with respect to the shares of the company’s common stock repurchased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2015:</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w w:val="96"/>
              </w:rPr>
              <w:t>Issuer Purchases of Equity Securities</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7"/>
              </w:rPr>
              <w:t>Maximum</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Total</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Dollar Value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that May Yet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as Part of</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Be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Average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Publicly</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Price Paid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Announced</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Under Plans</w:t>
            </w:r>
          </w:p>
        </w:tc>
        <w:tc>
          <w:tcPr>
            <w:tcW w:w="0" w:type="dxa"/>
            <w:vAlign w:val="bottom"/>
          </w:tcPr>
          <w:p>
            <w:pPr>
              <w:spacing w:after="0"/>
              <w:rPr>
                <w:sz w:val="1"/>
                <w:szCs w:val="1"/>
                <w:color w:val="auto"/>
              </w:rPr>
            </w:pPr>
          </w:p>
        </w:tc>
      </w:tr>
      <w:tr>
        <w:trPr>
          <w:trHeight w:val="190"/>
        </w:trPr>
        <w:tc>
          <w:tcPr>
            <w:tcW w:w="4080" w:type="dxa"/>
            <w:vAlign w:val="bottom"/>
            <w:gridSpan w:val="3"/>
          </w:tcPr>
          <w:p>
            <w:pPr>
              <w:ind w:left="40"/>
              <w:spacing w:after="0" w:line="190" w:lineRule="exact"/>
              <w:rPr>
                <w:sz w:val="20"/>
                <w:szCs w:val="20"/>
                <w:color w:val="auto"/>
              </w:rPr>
            </w:pPr>
            <w:r>
              <w:rPr>
                <w:rFonts w:ascii="Arial" w:cs="Arial" w:eastAsia="Arial" w:hAnsi="Arial"/>
                <w:sz w:val="18"/>
                <w:szCs w:val="18"/>
                <w:color w:val="auto"/>
              </w:rPr>
              <w:t>Period</w:t>
            </w:r>
          </w:p>
        </w:tc>
        <w:tc>
          <w:tcPr>
            <w:tcW w:w="3360" w:type="dxa"/>
            <w:vAlign w:val="bottom"/>
            <w:gridSpan w:val="2"/>
          </w:tcPr>
          <w:p>
            <w:pPr>
              <w:jc w:val="center"/>
              <w:ind w:left="2130"/>
              <w:spacing w:after="0" w:line="190" w:lineRule="exact"/>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60"/>
              <w:spacing w:after="0" w:line="190" w:lineRule="exact"/>
              <w:rPr>
                <w:sz w:val="20"/>
                <w:szCs w:val="20"/>
                <w:color w:val="auto"/>
              </w:rPr>
            </w:pPr>
            <w:r>
              <w:rPr>
                <w:rFonts w:ascii="Arial" w:cs="Arial" w:eastAsia="Arial" w:hAnsi="Arial"/>
                <w:sz w:val="18"/>
                <w:szCs w:val="18"/>
                <w:color w:val="auto"/>
              </w:rPr>
              <w:t>per Share</w:t>
            </w:r>
          </w:p>
        </w:tc>
        <w:tc>
          <w:tcPr>
            <w:tcW w:w="124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89"/>
              </w:rPr>
              <w:t>Programs</w:t>
            </w:r>
          </w:p>
        </w:tc>
        <w:tc>
          <w:tcPr>
            <w:tcW w:w="1360" w:type="dxa"/>
            <w:vAlign w:val="bottom"/>
          </w:tcPr>
          <w:p>
            <w:pPr>
              <w:jc w:val="center"/>
              <w:spacing w:after="0" w:line="190" w:lineRule="exact"/>
              <w:rPr>
                <w:sz w:val="20"/>
                <w:szCs w:val="20"/>
                <w:color w:val="auto"/>
              </w:rPr>
            </w:pPr>
            <w:r>
              <w:rPr>
                <w:rFonts w:ascii="Arial" w:cs="Arial" w:eastAsia="Arial" w:hAnsi="Arial"/>
                <w:sz w:val="18"/>
                <w:szCs w:val="18"/>
                <w:color w:val="auto"/>
                <w:w w:val="88"/>
              </w:rPr>
              <w:t>or Programs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460" w:type="dxa"/>
            <w:vAlign w:val="bottom"/>
            <w:tcBorders>
              <w:top w:val="single" w:sz="8" w:color="auto"/>
              <w:bottom w:val="single" w:sz="8" w:color="CCEEFF"/>
            </w:tcBorders>
          </w:tcPr>
          <w:p>
            <w:pPr>
              <w:spacing w:after="0"/>
              <w:rPr>
                <w:sz w:val="4"/>
                <w:szCs w:val="4"/>
                <w:color w:val="auto"/>
              </w:rPr>
            </w:pPr>
          </w:p>
        </w:tc>
        <w:tc>
          <w:tcPr>
            <w:tcW w:w="3580" w:type="dxa"/>
            <w:vAlign w:val="bottom"/>
            <w:tcBorders>
              <w:bottom w:val="single" w:sz="8" w:color="CCEEFF"/>
            </w:tcBorders>
          </w:tcPr>
          <w:p>
            <w:pPr>
              <w:spacing w:after="0"/>
              <w:rPr>
                <w:sz w:val="4"/>
                <w:szCs w:val="4"/>
                <w:color w:val="auto"/>
              </w:rPr>
            </w:pPr>
          </w:p>
        </w:tc>
        <w:tc>
          <w:tcPr>
            <w:tcW w:w="22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September 1 - September 30, 2015</w:t>
            </w:r>
          </w:p>
        </w:tc>
        <w:tc>
          <w:tcPr>
            <w:tcW w:w="3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3,136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October 1 - October 31, 2015</w:t>
            </w:r>
          </w:p>
        </w:tc>
        <w:tc>
          <w:tcPr>
            <w:tcW w:w="220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November 1 - November 31, 2015</w:t>
            </w:r>
          </w:p>
        </w:tc>
        <w:tc>
          <w:tcPr>
            <w:tcW w:w="2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3,136</w:t>
            </w:r>
          </w:p>
        </w:tc>
        <w:tc>
          <w:tcPr>
            <w:tcW w:w="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0"/>
                <w:szCs w:val="20"/>
                <w:color w:val="auto"/>
              </w:rPr>
            </w:pP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0" w:type="dxa"/>
            <w:vAlign w:val="bottom"/>
            <w:vMerge w:val="restart"/>
          </w:tcPr>
          <w:p>
            <w:pPr>
              <w:jc w:val="right"/>
              <w:ind w:right="390"/>
              <w:spacing w:after="0"/>
              <w:rPr>
                <w:sz w:val="20"/>
                <w:szCs w:val="20"/>
                <w:color w:val="auto"/>
              </w:rPr>
            </w:pPr>
            <w:r>
              <w:rPr>
                <w:rFonts w:ascii="Arial" w:cs="Arial" w:eastAsia="Arial" w:hAnsi="Arial"/>
                <w:sz w:val="18"/>
                <w:szCs w:val="18"/>
                <w:color w:val="auto"/>
              </w:rPr>
              <w:t>31</w:t>
            </w: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0" w:type="dxa"/>
            <w:vAlign w:val="bottom"/>
            <w:vMerge w:val="continue"/>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p>
      <w:pPr>
        <w:ind w:left="54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repurchased 3,136 shares during the three months ended November 30, 2015 from employees to satisfy tax withholding requirements on the vesting of restricted shares from equity-based awards.</w:t>
      </w:r>
    </w:p>
    <w:p>
      <w:pPr>
        <w:spacing w:after="0" w:line="32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380"/>
        <w:spacing w:after="0"/>
        <w:tabs>
          <w:tab w:leader="none" w:pos="5820" w:val="left"/>
        </w:tabs>
        <w:rPr>
          <w:sz w:val="20"/>
          <w:szCs w:val="20"/>
          <w:color w:val="auto"/>
        </w:rPr>
      </w:pPr>
      <w:r>
        <w:rPr>
          <w:rFonts w:ascii="Arial" w:cs="Arial" w:eastAsia="Arial" w:hAnsi="Arial"/>
          <w:sz w:val="18"/>
          <w:szCs w:val="18"/>
          <w:b w:val="1"/>
          <w:bCs w:val="1"/>
          <w:u w:val="single" w:color="auto"/>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10320" w:type="dxa"/>
            <w:vAlign w:val="bottom"/>
          </w:tcPr>
          <w:p>
            <w:pPr>
              <w:ind w:left="140"/>
              <w:spacing w:after="0"/>
              <w:rPr>
                <w:sz w:val="20"/>
                <w:szCs w:val="20"/>
                <w:color w:val="auto"/>
              </w:rPr>
            </w:pPr>
            <w:r>
              <w:rPr>
                <w:rFonts w:ascii="Arial" w:cs="Arial" w:eastAsia="Arial" w:hAnsi="Arial"/>
                <w:sz w:val="18"/>
                <w:szCs w:val="18"/>
                <w:color w:val="auto"/>
              </w:rPr>
              <w:t>Certification pursuant to Rule 13a-14(a) or 15d-14 under the Securities Exchange Act of 1934.</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10320" w:type="dxa"/>
            <w:vAlign w:val="bottom"/>
          </w:tcPr>
          <w:p>
            <w:pPr>
              <w:ind w:left="140"/>
              <w:spacing w:after="0"/>
              <w:rPr>
                <w:sz w:val="20"/>
                <w:szCs w:val="20"/>
                <w:color w:val="auto"/>
              </w:rPr>
            </w:pPr>
            <w:r>
              <w:rPr>
                <w:rFonts w:ascii="Arial" w:cs="Arial" w:eastAsia="Arial" w:hAnsi="Arial"/>
                <w:sz w:val="18"/>
                <w:szCs w:val="18"/>
                <w:color w:val="auto"/>
              </w:rPr>
              <w:t>Certification pursuant to Rule 13a-14(a) or 15d-14 under the Securities Exchange Act of 1934.</w:t>
            </w:r>
          </w:p>
        </w:tc>
      </w:tr>
      <w:tr>
        <w:trPr>
          <w:trHeight w:val="58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10320" w:type="dxa"/>
            <w:vAlign w:val="bottom"/>
          </w:tcPr>
          <w:p>
            <w:pPr>
              <w:ind w:left="140"/>
              <w:spacing w:after="0"/>
              <w:rPr>
                <w:sz w:val="20"/>
                <w:szCs w:val="20"/>
                <w:color w:val="auto"/>
              </w:rPr>
            </w:pPr>
            <w:r>
              <w:rPr>
                <w:rFonts w:ascii="Arial" w:cs="Arial" w:eastAsia="Arial" w:hAnsi="Arial"/>
                <w:sz w:val="18"/>
                <w:szCs w:val="18"/>
                <w:color w:val="auto"/>
                <w:w w:val="93"/>
              </w:rPr>
              <w:t>Certification of Chief Executive Officer pursuant to Title 18, United States Code, Section 1350, as adopted pursuant to Section 906 of the</w:t>
            </w:r>
          </w:p>
        </w:tc>
      </w:tr>
      <w:tr>
        <w:trPr>
          <w:trHeight w:val="230"/>
        </w:trPr>
        <w:tc>
          <w:tcPr>
            <w:tcW w:w="820" w:type="dxa"/>
            <w:vAlign w:val="bottom"/>
          </w:tcPr>
          <w:p>
            <w:pPr>
              <w:spacing w:after="0"/>
              <w:rPr>
                <w:sz w:val="20"/>
                <w:szCs w:val="20"/>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r>
      <w:tr>
        <w:trPr>
          <w:trHeight w:val="58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10320" w:type="dxa"/>
            <w:vAlign w:val="bottom"/>
          </w:tcPr>
          <w:p>
            <w:pPr>
              <w:ind w:left="140"/>
              <w:spacing w:after="0"/>
              <w:rPr>
                <w:sz w:val="20"/>
                <w:szCs w:val="20"/>
                <w:color w:val="auto"/>
              </w:rPr>
            </w:pPr>
            <w:r>
              <w:rPr>
                <w:rFonts w:ascii="Arial" w:cs="Arial" w:eastAsia="Arial" w:hAnsi="Arial"/>
                <w:sz w:val="18"/>
                <w:szCs w:val="18"/>
                <w:color w:val="auto"/>
                <w:w w:val="91"/>
              </w:rPr>
              <w:t>Certification of Interim Chief Financial Officer pursuant to Title 18, United States Code, Section 1350, as adopted pursuant to Section 906 of</w:t>
            </w:r>
          </w:p>
        </w:tc>
      </w:tr>
      <w:tr>
        <w:trPr>
          <w:trHeight w:val="230"/>
        </w:trPr>
        <w:tc>
          <w:tcPr>
            <w:tcW w:w="820" w:type="dxa"/>
            <w:vAlign w:val="bottom"/>
          </w:tcPr>
          <w:p>
            <w:pPr>
              <w:spacing w:after="0"/>
              <w:rPr>
                <w:sz w:val="20"/>
                <w:szCs w:val="20"/>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the Sarbanes-Oxley Act of 2002</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1032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0"/>
              </w:rPr>
              <w:t>101.SCH</w:t>
            </w:r>
          </w:p>
        </w:tc>
        <w:tc>
          <w:tcPr>
            <w:tcW w:w="10320" w:type="dxa"/>
            <w:vAlign w:val="bottom"/>
          </w:tcPr>
          <w:p>
            <w:pPr>
              <w:ind w:left="140"/>
              <w:spacing w:after="0"/>
              <w:rPr>
                <w:sz w:val="20"/>
                <w:szCs w:val="20"/>
                <w:color w:val="auto"/>
              </w:rPr>
            </w:pPr>
            <w:r>
              <w:rPr>
                <w:rFonts w:ascii="Arial" w:cs="Arial" w:eastAsia="Arial" w:hAnsi="Arial"/>
                <w:sz w:val="18"/>
                <w:szCs w:val="18"/>
                <w:color w:val="auto"/>
              </w:rPr>
              <w:t>XBRL Schema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4"/>
              </w:rPr>
              <w:t>101.CAL</w:t>
            </w:r>
          </w:p>
        </w:tc>
        <w:tc>
          <w:tcPr>
            <w:tcW w:w="10320" w:type="dxa"/>
            <w:vAlign w:val="bottom"/>
          </w:tcPr>
          <w:p>
            <w:pPr>
              <w:ind w:left="140"/>
              <w:spacing w:after="0"/>
              <w:rPr>
                <w:sz w:val="20"/>
                <w:szCs w:val="20"/>
                <w:color w:val="auto"/>
              </w:rPr>
            </w:pPr>
            <w:r>
              <w:rPr>
                <w:rFonts w:ascii="Arial" w:cs="Arial" w:eastAsia="Arial" w:hAnsi="Arial"/>
                <w:sz w:val="18"/>
                <w:szCs w:val="18"/>
                <w:color w:val="auto"/>
              </w:rPr>
              <w:t>XBRL Calculation Linkbase Documents</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2"/>
              </w:rPr>
              <w:t>101.DEF</w:t>
            </w:r>
          </w:p>
        </w:tc>
        <w:tc>
          <w:tcPr>
            <w:tcW w:w="1032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5"/>
              </w:rPr>
              <w:t>101.LAB</w:t>
            </w:r>
          </w:p>
        </w:tc>
        <w:tc>
          <w:tcPr>
            <w:tcW w:w="10320" w:type="dxa"/>
            <w:vAlign w:val="bottom"/>
          </w:tcPr>
          <w:p>
            <w:pPr>
              <w:ind w:left="140"/>
              <w:spacing w:after="0"/>
              <w:rPr>
                <w:sz w:val="20"/>
                <w:szCs w:val="20"/>
                <w:color w:val="auto"/>
              </w:rPr>
            </w:pPr>
            <w:r>
              <w:rPr>
                <w:rFonts w:ascii="Arial" w:cs="Arial" w:eastAsia="Arial" w:hAnsi="Arial"/>
                <w:sz w:val="18"/>
                <w:szCs w:val="18"/>
                <w:color w:val="auto"/>
              </w:rPr>
              <w:t>XBRL Labels Linkbase Documents</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1"/>
              </w:rPr>
              <w:t>101.PRE</w:t>
            </w:r>
          </w:p>
        </w:tc>
        <w:tc>
          <w:tcPr>
            <w:tcW w:w="10320" w:type="dxa"/>
            <w:vAlign w:val="bottom"/>
          </w:tcPr>
          <w:p>
            <w:pPr>
              <w:ind w:left="140"/>
              <w:spacing w:after="0"/>
              <w:rPr>
                <w:sz w:val="20"/>
                <w:szCs w:val="20"/>
                <w:color w:val="auto"/>
              </w:rPr>
            </w:pPr>
            <w:r>
              <w:rPr>
                <w:rFonts w:ascii="Arial" w:cs="Arial" w:eastAsia="Arial" w:hAnsi="Arial"/>
                <w:sz w:val="18"/>
                <w:szCs w:val="18"/>
                <w:color w:val="auto"/>
              </w:rPr>
              <w:t>XBRL Presentation Linkbase Documents</w:t>
            </w: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21" w:right="25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180" w:type="dxa"/>
            <w:vAlign w:val="bottom"/>
          </w:tcPr>
          <w:p>
            <w:pPr>
              <w:ind w:left="40"/>
              <w:spacing w:after="0"/>
              <w:rPr>
                <w:sz w:val="20"/>
                <w:szCs w:val="20"/>
                <w:color w:val="auto"/>
              </w:rPr>
            </w:pPr>
            <w:r>
              <w:rPr>
                <w:rFonts w:ascii="Arial" w:cs="Arial" w:eastAsia="Arial" w:hAnsi="Arial"/>
                <w:sz w:val="18"/>
                <w:szCs w:val="18"/>
                <w:color w:val="auto"/>
              </w:rPr>
              <w:t>ANGIODYNAMICS, INC.</w:t>
            </w:r>
          </w:p>
        </w:tc>
      </w:tr>
      <w:tr>
        <w:trPr>
          <w:trHeight w:val="270"/>
        </w:trPr>
        <w:tc>
          <w:tcPr>
            <w:tcW w:w="5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818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January 8, 2016</w:t>
            </w:r>
          </w:p>
        </w:tc>
        <w:tc>
          <w:tcPr>
            <w:tcW w:w="8180" w:type="dxa"/>
            <w:vAlign w:val="bottom"/>
          </w:tcPr>
          <w:p>
            <w:pPr>
              <w:ind w:left="3020"/>
              <w:spacing w:after="0"/>
              <w:rPr>
                <w:sz w:val="20"/>
                <w:szCs w:val="20"/>
                <w:color w:val="auto"/>
              </w:rPr>
            </w:pPr>
            <w:r>
              <w:rPr>
                <w:rFonts w:ascii="Arial" w:cs="Arial" w:eastAsia="Arial" w:hAnsi="Arial"/>
                <w:sz w:val="18"/>
                <w:szCs w:val="18"/>
                <w:color w:val="auto"/>
              </w:rPr>
              <w:t>/ S /  J</w:t>
            </w:r>
            <w:r>
              <w:rPr>
                <w:rFonts w:ascii="Arial" w:cs="Arial" w:eastAsia="Arial" w:hAnsi="Arial"/>
                <w:sz w:val="14"/>
                <w:szCs w:val="14"/>
                <w:color w:val="auto"/>
              </w:rPr>
              <w:t>OSEPH</w:t>
            </w:r>
            <w:r>
              <w:rPr>
                <w:rFonts w:ascii="Arial" w:cs="Arial" w:eastAsia="Arial" w:hAnsi="Arial"/>
                <w:sz w:val="18"/>
                <w:szCs w:val="18"/>
                <w:color w:val="auto"/>
              </w:rPr>
              <w:t xml:space="preserve"> M. D</w:t>
            </w:r>
            <w:r>
              <w:rPr>
                <w:rFonts w:ascii="Arial" w:cs="Arial" w:eastAsia="Arial" w:hAnsi="Arial"/>
                <w:sz w:val="14"/>
                <w:szCs w:val="14"/>
                <w:color w:val="auto"/>
              </w:rPr>
              <w:t>EVIVO</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89"/>
              </w:rPr>
              <w:t>Joseph M. DeVivo,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January 8, 2016</w:t>
            </w:r>
          </w:p>
        </w:tc>
        <w:tc>
          <w:tcPr>
            <w:tcW w:w="8180" w:type="dxa"/>
            <w:vAlign w:val="bottom"/>
          </w:tcPr>
          <w:p>
            <w:pPr>
              <w:ind w:left="2740"/>
              <w:spacing w:after="0"/>
              <w:rPr>
                <w:sz w:val="20"/>
                <w:szCs w:val="20"/>
                <w:color w:val="auto"/>
              </w:rPr>
            </w:pPr>
            <w:r>
              <w:rPr>
                <w:rFonts w:ascii="Arial" w:cs="Arial" w:eastAsia="Arial" w:hAnsi="Arial"/>
                <w:sz w:val="18"/>
                <w:szCs w:val="18"/>
                <w:color w:val="auto"/>
              </w:rPr>
              <w:t>/ S /  MICHAEL TRIMARCHI</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2"/>
              </w:rPr>
              <w:t>Michael Trimarchi, Vice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4"/>
              </w:rPr>
              <w:t>Interim Chief Financial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Financial and Chief Accounting Officer)</w:t>
            </w:r>
          </w:p>
        </w:tc>
      </w:tr>
      <w:tr>
        <w:trPr>
          <w:trHeight w:val="702"/>
        </w:trPr>
        <w:tc>
          <w:tcPr>
            <w:tcW w:w="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180" w:type="dxa"/>
            <w:vAlign w:val="bottom"/>
          </w:tcPr>
          <w:p>
            <w:pPr>
              <w:ind w:left="258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220"/>
          </w:cols>
          <w:pgMar w:left="240" w:top="121"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Joseph M. DeVivo, certify that:</w:t>
      </w:r>
    </w:p>
    <w:p>
      <w:pPr>
        <w:spacing w:after="0" w:line="171" w:lineRule="exact"/>
        <w:rPr>
          <w:sz w:val="20"/>
          <w:szCs w:val="20"/>
          <w:color w:val="auto"/>
        </w:rPr>
      </w:pPr>
    </w:p>
    <w:p>
      <w:pPr>
        <w:ind w:left="500" w:hanging="465"/>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2016</w:t>
      </w:r>
    </w:p>
    <w:p>
      <w:pPr>
        <w:spacing w:after="0" w:line="225" w:lineRule="exact"/>
        <w:rPr>
          <w:sz w:val="20"/>
          <w:szCs w:val="20"/>
          <w:color w:val="auto"/>
        </w:rPr>
      </w:pPr>
    </w:p>
    <w:p>
      <w:pPr>
        <w:ind w:right="9260" w:firstLine="8"/>
        <w:spacing w:after="0" w:line="312" w:lineRule="auto"/>
        <w:tabs>
          <w:tab w:leader="none" w:pos="95" w:val="left"/>
        </w:tabs>
        <w:numPr>
          <w:ilvl w:val="0"/>
          <w:numId w:val="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S / JOSEPH M. DEVIVO </w:t>
      </w:r>
      <w:r>
        <w:rPr>
          <w:rFonts w:ascii="Arial" w:cs="Arial" w:eastAsia="Arial" w:hAnsi="Arial"/>
          <w:sz w:val="16"/>
          <w:szCs w:val="16"/>
          <w:color w:val="auto"/>
        </w:rPr>
        <w:t>Joseph M. DeVivo, President, Chief Executive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Trimarchi, certify that:</w:t>
      </w:r>
    </w:p>
    <w:p>
      <w:pPr>
        <w:spacing w:after="0" w:line="171" w:lineRule="exact"/>
        <w:rPr>
          <w:sz w:val="20"/>
          <w:szCs w:val="20"/>
          <w:color w:val="auto"/>
        </w:rPr>
      </w:pPr>
    </w:p>
    <w:p>
      <w:pPr>
        <w:ind w:left="500" w:hanging="465"/>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2016</w:t>
      </w:r>
    </w:p>
    <w:p>
      <w:pPr>
        <w:spacing w:after="0" w:line="225" w:lineRule="exact"/>
        <w:rPr>
          <w:sz w:val="20"/>
          <w:szCs w:val="20"/>
          <w:color w:val="auto"/>
        </w:rPr>
      </w:pPr>
    </w:p>
    <w:p>
      <w:pPr>
        <w:ind w:right="8880" w:firstLine="8"/>
        <w:spacing w:after="0" w:line="312" w:lineRule="auto"/>
        <w:tabs>
          <w:tab w:leader="none" w:pos="95" w:val="left"/>
        </w:tabs>
        <w:numPr>
          <w:ilvl w:val="0"/>
          <w:numId w:val="1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S / MICHAEL TRIMARCHI </w:t>
      </w:r>
      <w:r>
        <w:rPr>
          <w:rFonts w:ascii="Arial" w:cs="Arial" w:eastAsia="Arial" w:hAnsi="Arial"/>
          <w:sz w:val="16"/>
          <w:szCs w:val="16"/>
          <w:color w:val="auto"/>
        </w:rPr>
        <w:t>Michael Trimarchi, Vice President, Interim Chief Financial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 Joseph M. DeVivo, President, Chief Executive Officer and Director of ANGIODYNAMICS, Inc. (the "Company"), certify, pursuant to Section 906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157" w:lineRule="exact"/>
        <w:rPr>
          <w:sz w:val="20"/>
          <w:szCs w:val="20"/>
          <w:color w:val="auto"/>
        </w:rPr>
      </w:pPr>
    </w:p>
    <w:p>
      <w:pPr>
        <w:ind w:left="500" w:right="40" w:hanging="465"/>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November 30, 2015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2016</w:t>
      </w:r>
    </w:p>
    <w:p>
      <w:pPr>
        <w:spacing w:after="0" w:line="38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s / Joseph M. DeVivo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Joseph M. DeVivo, President,</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Michael Trimarchi,Vice President and Interim Chief Financial Officer of ANGIODYNAMICS, Inc. (the "Company"), certify, pursuant to Section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157" w:lineRule="exact"/>
        <w:rPr>
          <w:sz w:val="20"/>
          <w:szCs w:val="20"/>
          <w:color w:val="auto"/>
        </w:rPr>
      </w:pPr>
    </w:p>
    <w:p>
      <w:pPr>
        <w:ind w:left="500" w:right="40" w:hanging="465"/>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November 30, 2015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2016</w:t>
      </w:r>
    </w:p>
    <w:p>
      <w:pPr>
        <w:spacing w:after="0" w:line="38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s / Michael Trimarchi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Michael Trimarchi, Vice President and</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Interim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decimal"/>
      <w:start w:val="5"/>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5"/>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2019-12-29T12:46:05Z</dcterms:created>
  <dcterms:modified xsi:type="dcterms:W3CDTF">2019-12-29T12:46:05Z</dcterms:modified>
</cp:coreProperties>
</file>