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194310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720" w:right="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28, 2019</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78" w:lineRule="exact"/>
        <w:rPr>
          <w:sz w:val="24"/>
          <w:szCs w:val="24"/>
          <w:color w:val="auto"/>
        </w:rPr>
      </w:pPr>
    </w:p>
    <w:p>
      <w:pPr>
        <w:ind w:left="72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6"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-5080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1500" w:type="dxa"/>
        <w:tblCellMar>
          <w:top w:w="0" w:type="dxa"/>
          <w:left w:w="0" w:type="dxa"/>
          <w:bottom w:w="0" w:type="dxa"/>
          <w:right w:w="0" w:type="dxa"/>
        </w:tblCellMar>
      </w:tblPr>
      <w:tr>
        <w:trPr>
          <w:trHeight w:val="238"/>
        </w:trPr>
        <w:tc>
          <w:tcPr>
            <w:tcW w:w="462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11-3146460</w:t>
            </w:r>
          </w:p>
        </w:tc>
      </w:tr>
      <w:tr>
        <w:trPr>
          <w:trHeight w:val="178"/>
        </w:trPr>
        <w:tc>
          <w:tcPr>
            <w:tcW w:w="462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462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w w:val="98"/>
              </w:rPr>
              <w:t>14 Plaza Drive Latham, New York</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12110</w:t>
            </w:r>
          </w:p>
        </w:tc>
      </w:tr>
      <w:tr>
        <w:trPr>
          <w:trHeight w:val="220"/>
        </w:trPr>
        <w:tc>
          <w:tcPr>
            <w:tcW w:w="462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7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6" w:lineRule="exact"/>
        <w:rPr>
          <w:sz w:val="24"/>
          <w:szCs w:val="24"/>
          <w:color w:val="auto"/>
        </w:rPr>
      </w:pPr>
    </w:p>
    <w:tbl>
      <w:tblPr>
        <w:tblLayout w:type="fixed"/>
        <w:tblInd w:w="1560" w:type="dxa"/>
        <w:tblCellMar>
          <w:top w:w="0" w:type="dxa"/>
          <w:left w:w="0" w:type="dxa"/>
          <w:bottom w:w="0" w:type="dxa"/>
          <w:right w:w="0" w:type="dxa"/>
        </w:tblCellMar>
      </w:tblPr>
      <w:tr>
        <w:trPr>
          <w:trHeight w:val="190"/>
        </w:trPr>
        <w:tc>
          <w:tcPr>
            <w:tcW w:w="4140" w:type="dxa"/>
            <w:vAlign w:val="bottom"/>
          </w:tcPr>
          <w:p>
            <w:pPr>
              <w:jc w:val="center"/>
              <w:ind w:right="153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320" w:type="dxa"/>
            <w:vAlign w:val="bottom"/>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414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rPr>
              <w:t>Common stock, par value $.01</w:t>
            </w:r>
          </w:p>
        </w:tc>
        <w:tc>
          <w:tcPr>
            <w:tcW w:w="43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0"/>
        </w:trPr>
        <w:tc>
          <w:tcPr>
            <w:tcW w:w="414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43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ectPr>
          <w:pgSz w:w="11900" w:h="16838" w:orient="portrait"/>
          <w:cols w:equalWidth="0" w:num="1">
            <w:col w:w="11240"/>
          </w:cols>
          <w:pgMar w:left="240" w:top="225" w:right="41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330835</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197" w:lineRule="exact"/>
        <w:rPr>
          <w:sz w:val="20"/>
          <w:szCs w:val="20"/>
          <w:color w:val="auto"/>
        </w:rPr>
      </w:pPr>
    </w:p>
    <w:p>
      <w:pPr>
        <w:sectPr>
          <w:pgSz w:w="11900" w:h="16838" w:orient="portrait"/>
          <w:cols w:equalWidth="0" w:num="4">
            <w:col w:w="8900" w:space="160"/>
            <w:col w:w="260" w:space="100"/>
            <w:col w:w="160" w:space="180"/>
            <w:col w:w="1660"/>
          </w:cols>
          <w:pgMar w:left="240" w:top="118" w:right="239" w:bottom="1440" w:gutter="0" w:footer="0" w:header="0"/>
          <w:type w:val="continuous"/>
        </w:sectPr>
      </w:pP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18"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2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8" w:lineRule="exact"/>
        <w:rPr>
          <w:sz w:val="20"/>
          <w:szCs w:val="20"/>
          <w:color w:val="auto"/>
        </w:rPr>
      </w:pPr>
    </w:p>
    <w:p>
      <w:pPr>
        <w:ind w:right="10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7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x</w:t>
            </w:r>
          </w:p>
        </w:tc>
        <w:tc>
          <w:tcPr>
            <w:tcW w:w="49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w:t>
            </w: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6"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660" w:type="dxa"/>
            <w:vAlign w:val="bottom"/>
          </w:tcPr>
          <w:p>
            <w:pPr>
              <w:spacing w:after="0"/>
              <w:rPr>
                <w:sz w:val="13"/>
                <w:szCs w:val="13"/>
                <w:color w:val="auto"/>
              </w:rPr>
            </w:pPr>
          </w:p>
        </w:tc>
        <w:tc>
          <w:tcPr>
            <w:tcW w:w="378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Outstanding as of March 29, 2019</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4"/>
        </w:trPr>
        <w:tc>
          <w:tcPr>
            <w:tcW w:w="76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0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37,215,894</w:t>
            </w:r>
          </w:p>
        </w:tc>
        <w:tc>
          <w:tcPr>
            <w:tcW w:w="170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Income (unaudited)</w:t>
              </w:r>
            </w:hyperlink>
          </w:p>
        </w:tc>
        <w:tc>
          <w:tcPr>
            <w:tcW w:w="6000" w:type="dxa"/>
            <w:vAlign w:val="bottom"/>
            <w:gridSpan w:val="1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(unaudited)</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372"/>
        </w:trPr>
        <w:tc>
          <w:tcPr>
            <w:tcW w:w="10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Balance Sheets (unaudited)</w:t>
              </w:r>
            </w:hyperlink>
          </w:p>
        </w:tc>
        <w:tc>
          <w:tcPr>
            <w:tcW w:w="1640" w:type="dxa"/>
            <w:vAlign w:val="bottom"/>
            <w:tcBorders>
              <w:top w:val="single" w:sz="8" w:color="0000EE"/>
            </w:tcBorders>
            <w:gridSpan w:val="8"/>
          </w:tcPr>
          <w:p>
            <w:pPr>
              <w:spacing w:after="0"/>
              <w:rPr>
                <w:sz w:val="24"/>
                <w:szCs w:val="24"/>
                <w:color w:val="auto"/>
              </w:rPr>
            </w:pPr>
          </w:p>
        </w:tc>
        <w:tc>
          <w:tcPr>
            <w:tcW w:w="48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 of Stockholders’ Equity (unaudited)</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r>
      <w:tr>
        <w:trPr>
          <w:trHeight w:val="372"/>
        </w:trPr>
        <w:tc>
          <w:tcPr>
            <w:tcW w:w="10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Consolidated Financial Statements (unaudited)</w:t>
              </w:r>
            </w:hyperlink>
          </w:p>
        </w:tc>
        <w:tc>
          <w:tcPr>
            <w:tcW w:w="32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9</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21"/>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8"/>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Controls and Procedures</w:t>
              </w:r>
            </w:hyperlink>
          </w:p>
        </w:tc>
        <w:tc>
          <w:tcPr>
            <w:tcW w:w="4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40</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3"/>
          </w:tcPr>
          <w:p>
            <w:pPr>
              <w:spacing w:after="0"/>
              <w:rPr>
                <w:rFonts w:ascii="Times New Roman" w:cs="Times New Roman" w:eastAsia="Times New Roman" w:hAnsi="Times New Roman"/>
                <w:sz w:val="18"/>
                <w:szCs w:val="18"/>
                <w:b w:val="1"/>
                <w:bCs w:val="1"/>
                <w:color w:val="0000EE"/>
                <w:w w:val="98"/>
              </w:rPr>
            </w:pPr>
            <w:hyperlink w:anchor="page42">
              <w:r>
                <w:rPr>
                  <w:rFonts w:ascii="Times New Roman" w:cs="Times New Roman" w:eastAsia="Times New Roman" w:hAnsi="Times New Roman"/>
                  <w:sz w:val="18"/>
                  <w:szCs w:val="18"/>
                  <w:b w:val="1"/>
                  <w:bCs w:val="1"/>
                  <w:color w:val="0000EE"/>
                  <w:w w:val="98"/>
                </w:rPr>
                <w:t>Legal Proceedings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gridSpan w:val="3"/>
          </w:tcPr>
          <w:p>
            <w:pPr>
              <w:spacing w:after="0"/>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Risk Factors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2"/>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gridSpan w:val="16"/>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gridSpan w:val="6"/>
          </w:tcPr>
          <w:p>
            <w:pPr>
              <w:spacing w:after="0"/>
              <w:rPr>
                <w:rFonts w:ascii="Times New Roman" w:cs="Times New Roman" w:eastAsia="Times New Roman" w:hAnsi="Times New Roman"/>
                <w:sz w:val="18"/>
                <w:szCs w:val="18"/>
                <w:b w:val="1"/>
                <w:bCs w:val="1"/>
                <w:color w:val="0000EE"/>
                <w:w w:val="98"/>
              </w:rPr>
            </w:pPr>
            <w:hyperlink w:anchor="page45">
              <w:r>
                <w:rPr>
                  <w:rFonts w:ascii="Times New Roman" w:cs="Times New Roman" w:eastAsia="Times New Roman" w:hAnsi="Times New Roman"/>
                  <w:sz w:val="18"/>
                  <w:szCs w:val="18"/>
                  <w:b w:val="1"/>
                  <w:bCs w:val="1"/>
                  <w:color w:val="0000EE"/>
                  <w:w w:val="98"/>
                </w:rPr>
                <w:t>Mine Safety Disclosures</w:t>
              </w:r>
            </w:hyperlink>
          </w:p>
        </w:tc>
        <w:tc>
          <w:tcPr>
            <w:tcW w:w="360" w:type="dxa"/>
            <w:vAlign w:val="bottom"/>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45">
              <w:r>
                <w:rPr>
                  <w:rFonts w:ascii="Times New Roman" w:cs="Times New Roman" w:eastAsia="Times New Roman" w:hAnsi="Times New Roman"/>
                  <w:sz w:val="18"/>
                  <w:szCs w:val="18"/>
                  <w:b w:val="1"/>
                  <w:bCs w:val="1"/>
                  <w:color w:val="0000EE"/>
                  <w:w w:val="98"/>
                </w:rPr>
                <w:t>Other Information</w:t>
              </w:r>
            </w:hyperlink>
          </w:p>
        </w:tc>
        <w:tc>
          <w:tcPr>
            <w:tcW w:w="400" w:type="dxa"/>
            <w:vAlign w:val="bottom"/>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Pr>
          <w:p>
            <w:pPr>
              <w:spacing w:after="0"/>
              <w:rPr>
                <w:rFonts w:ascii="Times New Roman" w:cs="Times New Roman" w:eastAsia="Times New Roman" w:hAnsi="Times New Roman"/>
                <w:sz w:val="18"/>
                <w:szCs w:val="18"/>
                <w:b w:val="1"/>
                <w:bCs w:val="1"/>
                <w:color w:val="0000EE"/>
                <w:w w:val="96"/>
              </w:rPr>
            </w:pPr>
            <w:hyperlink w:anchor="page46">
              <w:r>
                <w:rPr>
                  <w:rFonts w:ascii="Times New Roman" w:cs="Times New Roman" w:eastAsia="Times New Roman" w:hAnsi="Times New Roman"/>
                  <w:sz w:val="18"/>
                  <w:szCs w:val="18"/>
                  <w:b w:val="1"/>
                  <w:bCs w:val="1"/>
                  <w:color w:val="0000EE"/>
                  <w:w w:val="96"/>
                </w:rPr>
                <w:t>Exhibits</w:t>
              </w:r>
            </w:hyperlink>
          </w:p>
        </w:tc>
        <w:tc>
          <w:tcPr>
            <w:tcW w:w="800" w:type="dxa"/>
            <w:vAlign w:val="bottom"/>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00" w:type="dxa"/>
            <w:vAlign w:val="bottom"/>
            <w:gridSpan w:val="18"/>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Feb 28, 2018</w:t>
            </w:r>
          </w:p>
        </w:tc>
        <w:tc>
          <w:tcPr>
            <w:tcW w:w="0" w:type="dxa"/>
            <w:vAlign w:val="bottom"/>
          </w:tcPr>
          <w:p>
            <w:pPr>
              <w:spacing w:after="0"/>
              <w:rPr>
                <w:sz w:val="1"/>
                <w:szCs w:val="1"/>
                <w:color w:val="auto"/>
              </w:rPr>
            </w:pPr>
          </w:p>
        </w:tc>
      </w:tr>
      <w:tr>
        <w:trPr>
          <w:trHeight w:val="249"/>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255,968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126,560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46,691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140,267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129,408</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19,005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23,319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43,904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133,173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123,285</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14,233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Feb 28, 2019</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2018</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2019</w:t>
            </w:r>
          </w:p>
        </w:tc>
        <w:tc>
          <w:tcPr>
            <w:tcW w:w="240" w:type="dxa"/>
            <w:vAlign w:val="bottom"/>
          </w:tcPr>
          <w:p>
            <w:pPr>
              <w:spacing w:after="0"/>
              <w:rPr>
                <w:sz w:val="22"/>
                <w:szCs w:val="22"/>
                <w:color w:val="auto"/>
              </w:rPr>
            </w:pP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14,233</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w:t>
            </w:r>
          </w:p>
        </w:tc>
      </w:tr>
      <w:tr>
        <w:trPr>
          <w:trHeight w:val="225"/>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 net of tax</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14,920</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2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May 31, 2018</w:t>
            </w:r>
          </w:p>
        </w:tc>
        <w:tc>
          <w:tcPr>
            <w:tcW w:w="0" w:type="dxa"/>
            <w:vAlign w:val="bottom"/>
          </w:tcPr>
          <w:p>
            <w:pPr>
              <w:spacing w:after="0"/>
              <w:rPr>
                <w:sz w:val="1"/>
                <w:szCs w:val="1"/>
                <w:color w:val="auto"/>
              </w:rPr>
            </w:pPr>
          </w:p>
        </w:tc>
      </w:tr>
      <w:tr>
        <w:trPr>
          <w:trHeight w:val="249"/>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74,096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$2,128 and $2,466,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39,401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48,916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142,740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168,032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42,461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130,310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361,252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705,472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34,426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53,295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57,301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86,621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17,173</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162,877</w:t>
            </w:r>
          </w:p>
        </w:tc>
        <w:tc>
          <w:tcPr>
            <w:tcW w:w="0" w:type="dxa"/>
            <w:vAlign w:val="bottom"/>
          </w:tcPr>
          <w:p>
            <w:pPr>
              <w:spacing w:after="0"/>
              <w:rPr>
                <w:sz w:val="1"/>
                <w:szCs w:val="1"/>
                <w:color w:val="auto"/>
              </w:rPr>
            </w:pPr>
          </w:p>
        </w:tc>
      </w:tr>
      <w:tr>
        <w:trPr>
          <w:trHeight w:val="22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par value $.01 per share, 5,000,000 shares authorized; no shares issued and outstanding</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par value $.01 per share, 75,000,000 shares authorized; 37,955,894 and 37,594,493 shares issued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37,585,894 and 37,224,493 shares outstanding at February 28, 2019 and May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543,762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370,000 shares at February 28, 2019 and May 31, 2018, respectively</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554,079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542,595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705,472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580"/>
              <w:spacing w:after="0"/>
              <w:rPr>
                <w:sz w:val="20"/>
                <w:szCs w:val="20"/>
                <w:color w:val="auto"/>
              </w:rPr>
            </w:pPr>
            <w:r>
              <w:rPr>
                <w:rFonts w:ascii="Times New Roman" w:cs="Times New Roman" w:eastAsia="Times New Roman" w:hAnsi="Times New Roman"/>
                <w:sz w:val="18"/>
                <w:szCs w:val="18"/>
                <w:color w:val="auto"/>
                <w:w w:val="96"/>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2019</w:t>
            </w:r>
          </w:p>
        </w:tc>
        <w:tc>
          <w:tcPr>
            <w:tcW w:w="200" w:type="dxa"/>
            <w:vAlign w:val="bottom"/>
          </w:tcPr>
          <w:p>
            <w:pPr>
              <w:spacing w:after="0"/>
              <w:rPr>
                <w:sz w:val="22"/>
                <w:szCs w:val="22"/>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14,233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17,395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43"/>
        </w:trPr>
        <w:tc>
          <w:tcPr>
            <w:tcW w:w="8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17,516</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and borrowings on long-term debt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41,173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r>
      <w:tr>
        <w:trPr>
          <w:trHeight w:val="237"/>
        </w:trPr>
        <w:tc>
          <w:tcPr>
            <w:tcW w:w="8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4,748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47,544</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41,704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52,292</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84"/>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of contingent consideration for acquisitions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Fair value of acquisition consideration included in other long-term liabilities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08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Accumulated</w:t>
            </w:r>
          </w:p>
        </w:tc>
        <w:tc>
          <w:tcPr>
            <w:tcW w:w="190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other</w:t>
            </w: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paid in</w:t>
            </w:r>
          </w:p>
        </w:tc>
        <w:tc>
          <w:tcPr>
            <w:tcW w:w="12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Retained</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comprehensive</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0"/>
                <w:szCs w:val="10"/>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28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loss</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May 31, 2018</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37,594,493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543,762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542,595</w:t>
            </w:r>
          </w:p>
        </w:tc>
        <w:tc>
          <w:tcPr>
            <w:tcW w:w="0" w:type="dxa"/>
            <w:vAlign w:val="bottom"/>
          </w:tcPr>
          <w:p>
            <w:pPr>
              <w:spacing w:after="0"/>
              <w:rPr>
                <w:sz w:val="1"/>
                <w:szCs w:val="1"/>
                <w:color w:val="auto"/>
              </w:rPr>
            </w:pPr>
          </w:p>
        </w:tc>
      </w:tr>
      <w:tr>
        <w:trPr>
          <w:trHeight w:val="224"/>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Issuance/Cancellation of performance</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 units</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2,150</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August 31, 2018</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37,861,057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546,615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544,889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November 30, 2018</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37,875,529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549,355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549,563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units</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24"/>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2,378</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February 28, 2019</w:t>
            </w: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37,955,894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552,902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7,596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Pr>
          <w:p>
            <w:pPr>
              <w:spacing w:after="0"/>
              <w:rPr>
                <w:sz w:val="18"/>
                <w:szCs w:val="18"/>
                <w:color w:val="auto"/>
              </w:rPr>
            </w:pP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554,079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6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88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3"/>
                <w:szCs w:val="13"/>
                <w:color w:val="auto"/>
              </w:rPr>
            </w:pPr>
          </w:p>
        </w:tc>
        <w:tc>
          <w:tcPr>
            <w:tcW w:w="206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other</w:t>
            </w:r>
          </w:p>
        </w:tc>
        <w:tc>
          <w:tcPr>
            <w:tcW w:w="18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paid in</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comprehensive</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0"/>
                <w:szCs w:val="10"/>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2017</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37,210,091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532,705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515,027</w:t>
            </w: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from the adoption of ASU</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2016-09</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17,897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50,900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1,797</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33"/>
        </w:trPr>
        <w:tc>
          <w:tcPr>
            <w:tcW w:w="2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2017</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37,397,986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535,512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517,884</w:t>
            </w: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33"/>
        </w:trPr>
        <w:tc>
          <w:tcPr>
            <w:tcW w:w="2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2017</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37,481,675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538,403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521,220</w:t>
            </w: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14,019</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Issuance/Cancellation of restricted stock</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2018</w:t>
            </w: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37,544,506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541,282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538,328</w:t>
            </w:r>
          </w:p>
        </w:tc>
        <w:tc>
          <w:tcPr>
            <w:tcW w:w="0" w:type="dxa"/>
            <w:vAlign w:val="bottom"/>
          </w:tcPr>
          <w:p>
            <w:pPr>
              <w:spacing w:after="0"/>
              <w:rPr>
                <w:sz w:val="1"/>
                <w:szCs w:val="1"/>
                <w:color w:val="auto"/>
              </w:rPr>
            </w:pPr>
          </w:p>
        </w:tc>
      </w:tr>
      <w:tr>
        <w:trPr>
          <w:trHeight w:val="33"/>
        </w:trPr>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118" w:right="29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consolidated balance sheet as of February 28, 2019, the consolidated statement of stockholders’ equity for the three and nine months ended February 28, 2019 and 2018, and the consolidated statements of income, consolidated statements of comprehensive income for the three and nine months ended February 28, 2019 and 2018, and consolidated statements of cash flows for the nine months ended February 28, 2019 and 2018, have been prepared by us and are unaudited. The consolidated balance sheet as of May 31, 2018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2019 (and for all periods presented) have been made.</w:t>
      </w:r>
    </w:p>
    <w:p>
      <w:pPr>
        <w:spacing w:after="0" w:line="189" w:lineRule="exact"/>
        <w:rPr>
          <w:sz w:val="20"/>
          <w:szCs w:val="20"/>
          <w:color w:val="auto"/>
        </w:rPr>
      </w:pPr>
    </w:p>
    <w:p>
      <w:pPr>
        <w:ind w:right="360" w:firstLine="432"/>
        <w:spacing w:after="0" w:line="313" w:lineRule="auto"/>
        <w:rPr>
          <w:sz w:val="20"/>
          <w:szCs w:val="20"/>
          <w:color w:val="auto"/>
        </w:rPr>
      </w:pPr>
      <w:r>
        <w:rPr>
          <w:rFonts w:ascii="Times New Roman" w:cs="Times New Roman" w:eastAsia="Times New Roman" w:hAnsi="Times New Roman"/>
          <w:sz w:val="17"/>
          <w:szCs w:val="17"/>
          <w:color w:val="auto"/>
        </w:rPr>
        <w:t>The unaudited interim consolidated financial statements for the three and nine months ended February 28, 2019 and 2018 include the accounts of AngioDynamics, Inc. and its wholly owned subsidiaries, collectively, the “Company”. All intercompany balances and transactions have been eliminated.</w:t>
      </w:r>
    </w:p>
    <w:p>
      <w:pPr>
        <w:spacing w:after="0" w:line="134" w:lineRule="exact"/>
        <w:rPr>
          <w:sz w:val="20"/>
          <w:szCs w:val="20"/>
          <w:color w:val="auto"/>
        </w:rPr>
      </w:pPr>
    </w:p>
    <w:p>
      <w:pPr>
        <w:ind w:right="95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RadiaDyne Acquisition</w:t>
      </w:r>
    </w:p>
    <w:p>
      <w:pPr>
        <w:spacing w:after="0" w:line="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in contingent consideration is comprised of $16.5 million for the revenue milestones and $5.8 million for the technical milestones. The $4.6 million indemnification holdback is recorded in other long-term liabilities and the $0.2 million purchase price holdback was initially recorded in accrued liabilities, but was paid during the third quarter of fiscal year 2019.</w:t>
      </w:r>
    </w:p>
    <w:p>
      <w:pPr>
        <w:spacing w:after="0" w:line="107"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9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expenses, net in the accompanying consolidated statements of income, were approximately $1.6 million. The following table summarizes the preliminary and revised aggregate purchase price allocated to the net assets acquired:</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18"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74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865"/>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Preliminary allocation</w:t>
            </w:r>
          </w:p>
        </w:tc>
        <w:tc>
          <w:tcPr>
            <w:tcW w:w="30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0"/>
                <w:szCs w:val="10"/>
                <w:color w:val="auto"/>
              </w:rPr>
              <w:t>(1)</w:t>
            </w:r>
          </w:p>
        </w:tc>
        <w:tc>
          <w:tcPr>
            <w:tcW w:w="240" w:type="dxa"/>
            <w:vAlign w:val="bottom"/>
          </w:tcPr>
          <w:p>
            <w:pPr>
              <w:spacing w:after="0"/>
              <w:rPr>
                <w:sz w:val="24"/>
                <w:szCs w:val="24"/>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Revised allocation</w:t>
            </w:r>
          </w:p>
        </w:tc>
      </w:tr>
      <w:tr>
        <w:trPr>
          <w:trHeight w:val="265"/>
        </w:trPr>
        <w:tc>
          <w:tcPr>
            <w:tcW w:w="4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5"/>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RadiaDyne trademark</w:t>
            </w: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OARtrac trademark</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RadiaDyne legacy product technology</w:t>
            </w: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OARtrac product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18,900</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RadiaDyne customer relationships</w:t>
            </w: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48,282</w:t>
            </w: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75,445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75,445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74,987</w:t>
            </w: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jc w:val="both"/>
        <w:ind w:right="40" w:firstLine="8"/>
        <w:spacing w:after="0" w:line="299" w:lineRule="auto"/>
        <w:tabs>
          <w:tab w:leader="none" w:pos="23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are recognized on a prospective basis in the period of change, instead of restating prior periods. There was no impact to reported earnings in connection with these measurement period adjustments for the periods presented. Amounts represent adjustments to the preliminary purchase price allocation first presented in the Company's Quarterly Report on Form 10-Q for the quarter ended November 30, 2018 resulting from revising the Company's purchase price allocation for this acquisition.</w:t>
      </w:r>
    </w:p>
    <w:p>
      <w:pPr>
        <w:spacing w:after="0" w:line="293"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9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07"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9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BioSentry Acquisition</w:t>
      </w:r>
    </w:p>
    <w:p>
      <w:pPr>
        <w:spacing w:after="0" w:line="1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will be payable to SSC upon fulfillment of certain hydrogel orders.</w:t>
      </w:r>
    </w:p>
    <w:p>
      <w:pPr>
        <w:spacing w:after="0" w:line="9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4"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income, were approximately $1.0 million. The following table summarizes the preliminary and revised aggregate purchase price allocated to the net assets acquired: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Preliminary allocation</w:t>
            </w: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0"/>
                <w:szCs w:val="10"/>
                <w:color w:val="auto"/>
              </w:rPr>
              <w:t>(1)</w:t>
            </w:r>
          </w:p>
        </w:tc>
        <w:tc>
          <w:tcPr>
            <w:tcW w:w="24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Revised allocation</w:t>
            </w:r>
          </w:p>
        </w:tc>
      </w:tr>
      <w:tr>
        <w:trPr>
          <w:trHeight w:val="265"/>
        </w:trPr>
        <w:tc>
          <w:tcPr>
            <w:tcW w:w="5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BioSentry trademark</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BioSentry product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20,900</w:t>
            </w:r>
          </w:p>
        </w:tc>
      </w:tr>
      <w:tr>
        <w:trPr>
          <w:trHeight w:val="243"/>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14,140</w:t>
            </w:r>
          </w:p>
        </w:tc>
      </w:tr>
      <w:tr>
        <w:trPr>
          <w:trHeight w:val="25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39,800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8890</wp:posOffset>
            </wp:positionV>
            <wp:extent cx="36106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0610" cy="26035"/>
                    </a:xfrm>
                    <a:prstGeom prst="rect">
                      <a:avLst/>
                    </a:prstGeom>
                    <a:noFill/>
                  </pic:spPr>
                </pic:pic>
              </a:graphicData>
            </a:graphic>
          </wp:anchor>
        </w:drawing>
      </w:r>
    </w:p>
    <w:p>
      <w:pPr>
        <w:spacing w:after="0" w:line="34" w:lineRule="exact"/>
        <w:rPr>
          <w:sz w:val="20"/>
          <w:szCs w:val="20"/>
          <w:color w:val="auto"/>
        </w:rPr>
      </w:pPr>
    </w:p>
    <w:p>
      <w:pPr>
        <w:jc w:val="both"/>
        <w:ind w:right="60" w:firstLine="8"/>
        <w:spacing w:after="0" w:line="299" w:lineRule="auto"/>
        <w:tabs>
          <w:tab w:leader="none" w:pos="23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are recognized on a prospective basis in the period of change, instead of restating prior periods. There was no impact to reported earnings in connection with these measurement period adjustments for the periods presented. Amounts represent adjustments to the preliminary purchase price allocation first presented in the Company's Quarterly Report on Form 10-Q for the quarter ended August 31, 2018 resulting from revising the Company's purchase price allocation for this acquisition.</w:t>
      </w:r>
    </w:p>
    <w:p>
      <w:pPr>
        <w:spacing w:after="0" w:line="132"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95"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10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9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Topic 606 "</w:t>
      </w:r>
      <w:r>
        <w:rPr>
          <w:rFonts w:ascii="Times New Roman" w:cs="Times New Roman" w:eastAsia="Times New Roman" w:hAnsi="Times New Roman"/>
          <w:sz w:val="18"/>
          <w:szCs w:val="18"/>
          <w:b w:val="1"/>
          <w:bCs w:val="1"/>
          <w:i w:val="1"/>
          <w:iCs w:val="1"/>
          <w:color w:val="auto"/>
        </w:rPr>
        <w:t>Revenue from Contracts with Customers</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on June 1, 2018 using the modified retrospective method for all contracts not completed as of the date of adoption. The reported results for fiscal 2019 reflect the application of ASC 606 guidance while the reported results for fiscal 2018 were prepared under the guidance of ASC 605, Revenue Recognition (“ASC 605”). For discussion of the Company’s accounting policy for revenue recognition under ASC 605, refer to Item 8 of the Annual Report on Form 10-K for the year ended May 31, 2018. The adoption of ASC 606 did not have an impact on the Company’s consolidated balance sheet, results of operations, equity or cash flows as of the adoption date or for the periods presented, other than the enhanced disclosures included in this footnote.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net product revenue by Global Business Unit ("GBU") and geography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 February 28, 2019</w:t>
            </w:r>
          </w:p>
        </w:tc>
      </w:tr>
      <w:tr>
        <w:trPr>
          <w:trHeight w:val="264"/>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r>
      <w:tr>
        <w:trPr>
          <w:trHeight w:val="249"/>
        </w:trPr>
        <w:tc>
          <w:tcPr>
            <w:tcW w:w="77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4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68,331</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51"/>
        </w:trPr>
        <w:tc>
          <w:tcPr>
            <w:tcW w:w="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center"/>
              <w:ind w:right="54"/>
              <w:spacing w:after="0"/>
              <w:rPr>
                <w:sz w:val="20"/>
                <w:szCs w:val="20"/>
                <w:color w:val="auto"/>
              </w:rPr>
            </w:pPr>
            <w:r>
              <w:rPr>
                <w:rFonts w:ascii="Times New Roman" w:cs="Times New Roman" w:eastAsia="Times New Roman" w:hAnsi="Times New Roman"/>
                <w:sz w:val="14"/>
                <w:szCs w:val="14"/>
                <w:color w:val="auto"/>
              </w:rPr>
              <w:t>Nine months ended February 28, 2019</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Pr>
          <w:p>
            <w:pPr>
              <w:spacing w:after="0"/>
              <w:rPr>
                <w:sz w:val="22"/>
                <w:szCs w:val="22"/>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r>
      <w:tr>
        <w:trPr>
          <w:trHeight w:val="249"/>
        </w:trPr>
        <w:tc>
          <w:tcPr>
            <w:tcW w:w="4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126,089</w:t>
            </w:r>
          </w:p>
        </w:tc>
        <w:tc>
          <w:tcPr>
            <w:tcW w:w="4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152,603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59,480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69,861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Oncology</w:t>
            </w: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22,329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40,720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7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207,898</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55,286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263,184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4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temporarily implanted for short- or longer-term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26"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2"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condensed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28, 2019, such product returns were not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4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condensed consolidated balance sheets.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Feb 28, 2019</w:t>
            </w:r>
          </w:p>
        </w:tc>
        <w:tc>
          <w:tcPr>
            <w:tcW w:w="420" w:type="dxa"/>
            <w:vAlign w:val="bottom"/>
          </w:tcPr>
          <w:p>
            <w:pPr>
              <w:spacing w:after="0"/>
              <w:rPr>
                <w:sz w:val="16"/>
                <w:szCs w:val="16"/>
                <w:color w:val="auto"/>
              </w:rPr>
            </w:pPr>
          </w:p>
        </w:tc>
        <w:tc>
          <w:tcPr>
            <w:tcW w:w="186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rPr>
              <w:t>May 31, 2018</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top w:val="single" w:sz="8" w:color="auto"/>
            </w:tcBorders>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860" w:type="dxa"/>
            <w:vAlign w:val="bottom"/>
            <w:tcBorders>
              <w:top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44,208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39,401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1,203</w:t>
            </w:r>
          </w:p>
        </w:tc>
      </w:tr>
      <w:tr>
        <w:trPr>
          <w:trHeight w:val="27"/>
        </w:trPr>
        <w:tc>
          <w:tcPr>
            <w:tcW w:w="6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February 28, 2019, the Company recognized $0.7 million in revenue that was included in contract liabilities as of the beginning of the period. This was offset by additions to contract liabilities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Prior to the adoption of ASC 606, the Company expensed incremental commissions paid to sales representatives for obtaining product sales. 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0"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Feb 28, 2019</w:t>
            </w:r>
          </w:p>
        </w:tc>
        <w:tc>
          <w:tcPr>
            <w:tcW w:w="24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May 31, 2018</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18,678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10,808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19,430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52,388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48,916</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February 28, 2019 and May 31, 2018 was $5.1 million and $6.1 million, respectively. Of the $5.1 million reserve as of February 28, 2019, $0.4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 Of the $6.1 million reserve as of May 31, 2018, $1.6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8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6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December 31, 2018.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as of December 31, 2018,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assessment as of December 31, 2019. The Company continued to assess for potential impairment through February 28, 2019 and noted no events that would be considered a triggering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February 28, 2019 were as follows:</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Goodwill balance at May 31, 2018</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Additions for BioSentry acquisition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Additions for RadiaDyne acquisition (Note 2)</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Goodwill balance at February 28, 2019</w:t>
      </w:r>
    </w:p>
    <w:p>
      <w:pPr>
        <w:spacing w:after="0" w:line="200" w:lineRule="exact"/>
        <w:rPr>
          <w:sz w:val="20"/>
          <w:szCs w:val="20"/>
          <w:color w:val="auto"/>
        </w:rPr>
      </w:pPr>
    </w:p>
    <w:p>
      <w:pPr>
        <w:spacing w:after="0" w:line="322" w:lineRule="exact"/>
        <w:rPr>
          <w:sz w:val="20"/>
          <w:szCs w:val="20"/>
          <w:color w:val="auto"/>
        </w:rPr>
      </w:pPr>
    </w:p>
    <w:p>
      <w:pPr>
        <w:jc w:val="right"/>
        <w:ind w:right="5763"/>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37" w:hanging="637"/>
        <w:spacing w:after="0"/>
        <w:tabs>
          <w:tab w:leader="none" w:pos="6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361,252</w:t>
      </w:r>
    </w:p>
    <w:p>
      <w:pPr>
        <w:spacing w:after="0" w:line="63"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14,140</w:t>
      </w:r>
    </w:p>
    <w:p>
      <w:pPr>
        <w:spacing w:after="0" w:line="63"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ind w:left="637" w:hanging="637"/>
        <w:spacing w:after="0"/>
        <w:tabs>
          <w:tab w:leader="none" w:pos="6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9363" w:space="720"/>
            <w:col w:w="1337"/>
          </w:cols>
          <w:pgMar w:left="240" w:top="118" w:right="2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Feb 28, 2019</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Gross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Net 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188,475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110,703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62,890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31,500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289,867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May 31, 2018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80"/>
              <w:spacing w:after="0" w:line="151" w:lineRule="exact"/>
              <w:rPr>
                <w:sz w:val="20"/>
                <w:szCs w:val="20"/>
                <w:color w:val="auto"/>
              </w:rPr>
            </w:pPr>
            <w:r>
              <w:rPr>
                <w:rFonts w:ascii="Times New Roman" w:cs="Times New Roman" w:eastAsia="Times New Roman" w:hAnsi="Times New Roman"/>
                <w:sz w:val="14"/>
                <w:szCs w:val="14"/>
                <w:color w:val="auto"/>
              </w:rPr>
              <w:t>Gross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Net 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(68,880)</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130,310</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February 28, 2019 and 2018 was $5.3 million and $4.2 million, respectively. Amortization expense for the nine months ended February 28, 2019 and 2018 was $14.6 million and $12.4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5,168</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18,955</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17,795</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16,910</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16,459</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91,277</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166,564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May 31, 2018</w:t>
            </w:r>
          </w:p>
        </w:tc>
      </w:tr>
      <w:tr>
        <w:trPr>
          <w:trHeight w:val="265"/>
        </w:trPr>
        <w:tc>
          <w:tcPr>
            <w:tcW w:w="8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55"/>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10,235</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1,537</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severance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1,940</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services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2,396</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matters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12,500</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5,135</w:t>
            </w:r>
          </w:p>
        </w:tc>
      </w:tr>
      <w:tr>
        <w:trPr>
          <w:trHeight w:val="237"/>
        </w:trPr>
        <w:tc>
          <w:tcPr>
            <w:tcW w:w="8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34,426</w:t>
            </w:r>
          </w:p>
        </w:tc>
      </w:tr>
      <w:tr>
        <w:trPr>
          <w:trHeight w:val="27"/>
        </w:trPr>
        <w:tc>
          <w:tcPr>
            <w:tcW w:w="8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 TERM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76"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76" w:lineRule="exact"/>
        <w:rPr>
          <w:sz w:val="20"/>
          <w:szCs w:val="20"/>
          <w:color w:val="auto"/>
        </w:rPr>
      </w:pPr>
    </w:p>
    <w:p>
      <w:pPr>
        <w:jc w:val="both"/>
        <w:ind w:right="180" w:firstLine="432"/>
        <w:spacing w:after="0" w:line="258" w:lineRule="auto"/>
        <w:rPr>
          <w:sz w:val="20"/>
          <w:szCs w:val="20"/>
          <w:color w:val="auto"/>
        </w:rPr>
      </w:pPr>
      <w:r>
        <w:rPr>
          <w:rFonts w:ascii="Times New Roman" w:cs="Times New Roman" w:eastAsia="Times New Roman" w:hAnsi="Times New Roman"/>
          <w:sz w:val="18"/>
          <w:szCs w:val="18"/>
          <w:color w:val="auto"/>
        </w:rPr>
        <w:t>On November 7, 2016, the Company borrowed $100.0 million under the Term Loan and approximately $16.5 million under the Revolving Facility to repay the balance of $116.5 million under the former credit agreement. In September 2018, the Company borrowed $55.0 million on the Revolving Facility for the RadiaDyne acquisition. In January 2019, the Company paid down $10.0 million on the $55.0 million draw. As of February 28, 2019, the outstanding balance on the Revolving Facility was $45.0 million. As of February 28, 2019 and May 31, 2018 the carrying value of long-term debt approximates its fair market value.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interest rate on the Term Loan at February 28, 2019 was 4.00%.</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was in compliance with the Credit Agreement covenants as of February 28, 2019.</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maturities of principal obligations under the Credit Agreement are as follows, as of February 28,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10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7"/>
        </w:trPr>
        <w:tc>
          <w:tcPr>
            <w:tcW w:w="10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11,250</w:t>
            </w:r>
          </w:p>
        </w:tc>
      </w:tr>
      <w:tr>
        <w:trPr>
          <w:trHeight w:val="243"/>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68,750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term loan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88,750</w:t>
            </w:r>
          </w:p>
        </w:tc>
      </w:tr>
      <w:tr>
        <w:trPr>
          <w:trHeight w:val="243"/>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Revolving facility </w:t>
            </w:r>
            <w:r>
              <w:rPr>
                <w:rFonts w:ascii="Times New Roman" w:cs="Times New Roman" w:eastAsia="Times New Roman" w:hAnsi="Times New Roman"/>
                <w:sz w:val="14"/>
                <w:szCs w:val="14"/>
                <w:color w:val="auto"/>
              </w:rPr>
              <w:t>(1)</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133,750</w:t>
            </w:r>
          </w:p>
        </w:tc>
      </w:tr>
      <w:tr>
        <w:trPr>
          <w:trHeight w:val="243"/>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133,087</w:t>
            </w:r>
          </w:p>
        </w:tc>
      </w:tr>
      <w:tr>
        <w:trPr>
          <w:trHeight w:val="243"/>
        </w:trPr>
        <w:tc>
          <w:tcPr>
            <w:tcW w:w="10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10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long-term debt,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126,837</w:t>
            </w:r>
          </w:p>
        </w:tc>
      </w:tr>
      <w:tr>
        <w:trPr>
          <w:trHeight w:val="20"/>
        </w:trPr>
        <w:tc>
          <w:tcPr>
            <w:tcW w:w="10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Revolving Facility is due in fiscal year 2022.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1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25.3% in the third quarter of fiscal 2019, as compared to 4.9% for the same period in fiscal 2018. In fiscal 2019, the Company’s effective tax rate differs from the U.S. statutory rate primarily due to the impact of the valuation allowance, foreign taxes and state taxes.</w:t>
      </w:r>
    </w:p>
    <w:p>
      <w:pPr>
        <w:spacing w:after="0" w:line="9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December 22, 2017, the U.S. Tax Cuts and Jobs Act (the “Tax Reform Act”) was signed into law. The Tax Reform Act significantly revised the U.S. corporate income tax regime by, among other things, lowering the U.S. corporate tax rate from 35% to 21% effective January 1, 2018, implementing a territorial tax system, expanding the tax base and imposing a tax on deemed repatriated earnings of foreign subsidiaries. U.S. GAAP requires that the impact of tax legislation be recognized in the period in which the law was enacted.</w:t>
      </w:r>
    </w:p>
    <w:p>
      <w:pPr>
        <w:spacing w:after="0" w:line="9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Tax Reform Act. The measurement period ends when a company has obtained, prepared and analyzed the information necessary to finalize its accounting, but cannot extend beyond one year. The Company elected to apply the measurement period guidance provided in SAB 118. As of February 28, 2019, the accounting for all of the enactment-date income tax effects of the Tax Reform Act was complete and any changes are noted below.</w:t>
      </w:r>
    </w:p>
    <w:p>
      <w:pPr>
        <w:spacing w:after="0" w:line="10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Tax Reform Act imposed a one-time transition tax on the deemed repatriation of post-1986 undistributed foreign subsidiaries’ earnings. Based on the information available as of December 31, 2017, the Company estimated undistributed foreign earnings of approximately $4.9 million. Upon further analysis, and refinement of the calculation during the 12 months ended February 28, 2019, the Company adjusted its provisional amount by $1.1 million to $3.8 million. The taxable income of $3.8 million arising from this deemed repatriation will continue to result in the utilization of net operating loss carryforwards, offset by changes in the valuation allowance, resulting in no net impact to tax expense. All other previously communicated tax impacts remain unchanged and complete.</w:t>
      </w:r>
    </w:p>
    <w:p>
      <w:pPr>
        <w:spacing w:after="0" w:line="1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Tax Reform Act also creates a new requirement that certain income earned by foreign subsidiaries (“GILTI”), must be included in U.S. gross income. The FASB allows an accounting policy election of either recognizing deferred taxes for temporary differences expected to reverse as GILTI in future years or recognizing such taxes as a current period expense when incurred. The Company has elected to account for the GILTI tax as a current-period expense when incurred (the “period cost method”).</w:t>
      </w:r>
    </w:p>
    <w:p>
      <w:pPr>
        <w:spacing w:after="0" w:line="9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9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two stock-based compensation plans that provide for the issuance of up to approximately 11.3 million shares of common stock. The</w:t>
      </w:r>
    </w:p>
    <w:p>
      <w:pPr>
        <w:spacing w:after="0" w:line="27"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8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February 28, 2019 and 2018, share-based compensation expense was $2.4 million and $2.1 million, respectively. For the nine months ended February 28, 2019 and 2018, share-based compensation expense was $7.1 million and $5.8 million, respectively.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February 28, 2019 and 2018,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80"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the first nine months of fiscal year 2019, the Company granted market-based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8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February 28, 2019, there was $15.2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0"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 for the three and nine months ended February 28, 2019 and 2018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Feb 28, 2019</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Feb 28, 2018</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Feb 28, 2019</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37,031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38,338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38,350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37,358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1,139</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22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net sales by Global Business Unit: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152,603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149,751</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69,091</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Oncology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37,126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255,968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presents net sales by geographic area based on external customer location: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68,331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65,787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207,898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203,020</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52,948</w:t>
            </w:r>
          </w:p>
        </w:tc>
      </w:tr>
      <w:tr>
        <w:trPr>
          <w:trHeight w:val="237"/>
        </w:trPr>
        <w:tc>
          <w:tcPr>
            <w:tcW w:w="6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83,851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255,968</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the Company's marketable securities, which are comprised of auction rate securities, and contingent consideration.</w:t>
      </w:r>
    </w:p>
    <w:p>
      <w:pPr>
        <w:spacing w:after="0" w:line="1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 as of February 28, 2019 and May 31,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0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color w:val="auto"/>
              </w:rPr>
              <w:t>Fair Value Measurements using</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Fair Value at February</w:t>
            </w:r>
          </w:p>
        </w:tc>
      </w:tr>
      <w:tr>
        <w:trPr>
          <w:trHeight w:val="193"/>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28, 2019</w:t>
            </w:r>
          </w:p>
        </w:tc>
      </w:tr>
      <w:tr>
        <w:trPr>
          <w:trHeight w:val="264"/>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22"/>
                <w:szCs w:val="22"/>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3</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88"/>
        </w:trPr>
        <w:tc>
          <w:tcPr>
            <w:tcW w:w="516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27,127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color w:val="auto"/>
              </w:rPr>
              <w:t>Fair Value Measurements using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Fair Value at May 31,</w:t>
            </w:r>
          </w:p>
        </w:tc>
      </w:tr>
      <w:tr>
        <w:trPr>
          <w:trHeight w:val="193"/>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2018</w:t>
            </w:r>
          </w:p>
        </w:tc>
      </w:tr>
      <w:tr>
        <w:trPr>
          <w:trHeight w:val="264"/>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22"/>
                <w:szCs w:val="22"/>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3</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88"/>
        </w:trPr>
        <w:tc>
          <w:tcPr>
            <w:tcW w:w="516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1,317</w:t>
            </w: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3,417</w:t>
            </w: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156"/>
        </w:trPr>
        <w:tc>
          <w:tcPr>
            <w:tcW w:w="5160" w:type="dxa"/>
            <w:vAlign w:val="bottom"/>
            <w:gridSpan w:val="4"/>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6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3,261</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cash and cash equivalents.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and nine months ended February 28, 2019.</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 in the three and nine months ended February 28,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gridSpan w:val="4"/>
          </w:tcPr>
          <w:p>
            <w:pPr>
              <w:jc w:val="right"/>
              <w:ind w:right="1279"/>
              <w:spacing w:after="0"/>
              <w:rPr>
                <w:sz w:val="20"/>
                <w:szCs w:val="20"/>
                <w:color w:val="auto"/>
              </w:rPr>
            </w:pPr>
            <w:r>
              <w:rPr>
                <w:rFonts w:ascii="Times New Roman" w:cs="Times New Roman" w:eastAsia="Times New Roman" w:hAnsi="Times New Roman"/>
                <w:sz w:val="14"/>
                <w:szCs w:val="14"/>
                <w:color w:val="auto"/>
              </w:rPr>
              <w:t>Three Months Ended February 28, 2019</w:t>
            </w: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151"/>
        </w:trPr>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320" w:type="dxa"/>
            <w:vAlign w:val="bottom"/>
          </w:tcPr>
          <w:p>
            <w:pPr>
              <w:spacing w:after="0"/>
              <w:rPr>
                <w:sz w:val="13"/>
                <w:szCs w:val="13"/>
                <w:color w:val="auto"/>
              </w:rPr>
            </w:pPr>
          </w:p>
        </w:tc>
        <w:tc>
          <w:tcPr>
            <w:tcW w:w="2160" w:type="dxa"/>
            <w:vAlign w:val="bottom"/>
          </w:tcPr>
          <w:p>
            <w:pPr>
              <w:jc w:val="center"/>
              <w:ind w:right="239"/>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320" w:type="dxa"/>
            <w:vAlign w:val="bottom"/>
          </w:tcPr>
          <w:p>
            <w:pPr>
              <w:spacing w:after="0"/>
              <w:rPr>
                <w:sz w:val="12"/>
                <w:szCs w:val="12"/>
                <w:color w:val="auto"/>
              </w:rPr>
            </w:pPr>
          </w:p>
        </w:tc>
        <w:tc>
          <w:tcPr>
            <w:tcW w:w="21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9"/>
        </w:trPr>
        <w:tc>
          <w:tcPr>
            <w:tcW w:w="6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320" w:type="dxa"/>
            <w:vAlign w:val="bottom"/>
          </w:tcPr>
          <w:p>
            <w:pPr>
              <w:spacing w:after="0"/>
              <w:rPr>
                <w:sz w:val="12"/>
                <w:szCs w:val="12"/>
                <w:color w:val="auto"/>
              </w:rPr>
            </w:pPr>
          </w:p>
        </w:tc>
        <w:tc>
          <w:tcPr>
            <w:tcW w:w="21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3"/>
        </w:trPr>
        <w:tc>
          <w:tcPr>
            <w:tcW w:w="6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6"/>
                <w:szCs w:val="16"/>
                <w:color w:val="auto"/>
              </w:rPr>
            </w:pPr>
          </w:p>
        </w:tc>
        <w:tc>
          <w:tcPr>
            <w:tcW w:w="2160" w:type="dxa"/>
            <w:vAlign w:val="bottom"/>
          </w:tcPr>
          <w:p>
            <w:pPr>
              <w:jc w:val="center"/>
              <w:ind w:right="23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49"/>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November 30, 2018</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26,518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3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present value of contingent consideration (1)</w:t>
            </w:r>
          </w:p>
        </w:tc>
        <w:tc>
          <w:tcPr>
            <w:tcW w:w="3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February 28,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4"/>
          </w:tcPr>
          <w:p>
            <w:pPr>
              <w:jc w:val="right"/>
              <w:ind w:right="1319"/>
              <w:spacing w:after="0"/>
              <w:rPr>
                <w:sz w:val="20"/>
                <w:szCs w:val="20"/>
                <w:color w:val="auto"/>
              </w:rPr>
            </w:pPr>
            <w:r>
              <w:rPr>
                <w:rFonts w:ascii="Times New Roman" w:cs="Times New Roman" w:eastAsia="Times New Roman" w:hAnsi="Times New Roman"/>
                <w:sz w:val="14"/>
                <w:szCs w:val="14"/>
                <w:color w:val="auto"/>
              </w:rPr>
              <w:t>Nine Months Ended February 28, 2019</w:t>
            </w: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151"/>
        </w:trPr>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320" w:type="dxa"/>
            <w:vAlign w:val="bottom"/>
          </w:tcPr>
          <w:p>
            <w:pPr>
              <w:spacing w:after="0"/>
              <w:rPr>
                <w:sz w:val="13"/>
                <w:szCs w:val="13"/>
                <w:color w:val="auto"/>
              </w:rPr>
            </w:pPr>
          </w:p>
        </w:tc>
        <w:tc>
          <w:tcPr>
            <w:tcW w:w="2160" w:type="dxa"/>
            <w:vAlign w:val="bottom"/>
          </w:tcPr>
          <w:p>
            <w:pPr>
              <w:jc w:val="center"/>
              <w:ind w:right="239"/>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320" w:type="dxa"/>
            <w:vAlign w:val="bottom"/>
          </w:tcPr>
          <w:p>
            <w:pPr>
              <w:spacing w:after="0"/>
              <w:rPr>
                <w:sz w:val="12"/>
                <w:szCs w:val="12"/>
                <w:color w:val="auto"/>
              </w:rPr>
            </w:pPr>
          </w:p>
        </w:tc>
        <w:tc>
          <w:tcPr>
            <w:tcW w:w="21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320" w:type="dxa"/>
            <w:vAlign w:val="bottom"/>
          </w:tcPr>
          <w:p>
            <w:pPr>
              <w:spacing w:after="0"/>
              <w:rPr>
                <w:sz w:val="12"/>
                <w:szCs w:val="12"/>
                <w:color w:val="auto"/>
              </w:rPr>
            </w:pPr>
          </w:p>
        </w:tc>
        <w:tc>
          <w:tcPr>
            <w:tcW w:w="21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93"/>
        </w:trPr>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6"/>
                <w:szCs w:val="16"/>
                <w:color w:val="auto"/>
              </w:rPr>
            </w:pPr>
          </w:p>
        </w:tc>
        <w:tc>
          <w:tcPr>
            <w:tcW w:w="2160" w:type="dxa"/>
            <w:vAlign w:val="bottom"/>
          </w:tcPr>
          <w:p>
            <w:pPr>
              <w:jc w:val="center"/>
              <w:ind w:right="23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49"/>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May 31, 2018</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25"/>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 liability recorded as the result of the acquisitions</w:t>
            </w: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 2)</w:t>
            </w:r>
          </w:p>
        </w:tc>
        <w:tc>
          <w:tcPr>
            <w:tcW w:w="32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25,101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present value of contingent consideration (1)</w:t>
            </w:r>
          </w:p>
        </w:tc>
        <w:tc>
          <w:tcPr>
            <w:tcW w:w="3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market value adjustments</w:t>
            </w:r>
          </w:p>
        </w:tc>
        <w:tc>
          <w:tcPr>
            <w:tcW w:w="320" w:type="dxa"/>
            <w:vAlign w:val="bottom"/>
          </w:tcPr>
          <w:p>
            <w:pPr>
              <w:spacing w:after="0"/>
              <w:rPr>
                <w:sz w:val="21"/>
                <w:szCs w:val="21"/>
                <w:color w:val="auto"/>
              </w:rPr>
            </w:pPr>
          </w:p>
        </w:tc>
        <w:tc>
          <w:tcPr>
            <w:tcW w:w="2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320" w:type="dxa"/>
            <w:vAlign w:val="bottom"/>
          </w:tcPr>
          <w:p>
            <w:pPr>
              <w:spacing w:after="0"/>
              <w:rPr>
                <w:sz w:val="21"/>
                <w:szCs w:val="21"/>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February 28,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80" w:firstLine="8"/>
        <w:spacing w:after="0" w:line="263" w:lineRule="auto"/>
        <w:tabs>
          <w:tab w:leader="none" w:pos="23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Short-term investments consist of highly liquid investments in municipal bonds that reset on a weekly basis and can be called at any point in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75"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Marketable securities consist solely of an auction rate security. Assumptions associated with the auction rate security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for Acquisition Earn Outs</w:t>
      </w:r>
    </w:p>
    <w:p>
      <w:pPr>
        <w:spacing w:after="0" w:line="17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24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12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Unobservable Input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Range</w:t>
            </w:r>
          </w:p>
        </w:tc>
      </w:tr>
      <w:tr>
        <w:trPr>
          <w:trHeight w:val="24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based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18,264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- 5%</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 - 100%</w:t>
            </w:r>
          </w:p>
        </w:tc>
      </w:tr>
      <w:tr>
        <w:trPr>
          <w:trHeight w:val="270"/>
        </w:trPr>
        <w:tc>
          <w:tcPr>
            <w:tcW w:w="2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Projected fiscal year of payment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2020 - 2023</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Technical milestones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Estimated probability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Supplier default holdback</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Estimated probability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Projected fiscal year of payment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7"/>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27,127</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At February 28, 2019, the range of estimated potential undiscounted future contingent consideration that the Company expects to pay as a result of all completed acquisitions is approximately $31.2 million to $41.2 million. The milestones, including revenue projections and technical milestones, associated with the contingent consideration must be reached in future periods ranging from fiscal years 2019 to 2023 in order for the associated consideration to be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MARKETABLE SECURITIES</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related tax effects, in stockholders' equity. Cost is determined using the specific identification method. The Company held an investment in an auction rate security that had high credit quality and generally achieved with municipal bond insurance. Sell orders for any security traded through an auction process could exceed bids and, in such cases, the auction fails and the Company may be unable to liquidate its position in the security in the near term. The Company sold the investment in the auction rate security during January 2019. As of May 31, 2018, the Company had a $1.3 million investment in one auction rate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February 28, 2019 and May 31, 2018, marketable securities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4"/>
                <w:szCs w:val="14"/>
                <w:color w:val="auto"/>
              </w:rPr>
              <w:t>February 28, 2019</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color w:val="auto"/>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color w:val="auto"/>
                <w:w w:val="97"/>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40" w:type="dxa"/>
            <w:vAlign w:val="bottom"/>
          </w:tcPr>
          <w:p>
            <w:pPr>
              <w:spacing w:after="0"/>
              <w:rPr>
                <w:sz w:val="12"/>
                <w:szCs w:val="12"/>
                <w:color w:val="auto"/>
              </w:rPr>
            </w:pPr>
          </w:p>
        </w:tc>
        <w:tc>
          <w:tcPr>
            <w:tcW w:w="7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92"/>
        </w:trPr>
        <w:tc>
          <w:tcPr>
            <w:tcW w:w="416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4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62"/>
              <w:spacing w:after="0"/>
              <w:rPr>
                <w:sz w:val="20"/>
                <w:szCs w:val="20"/>
                <w:color w:val="auto"/>
              </w:rPr>
            </w:pPr>
            <w:r>
              <w:rPr>
                <w:rFonts w:ascii="Times New Roman" w:cs="Times New Roman" w:eastAsia="Times New Roman" w:hAnsi="Times New Roman"/>
                <w:sz w:val="14"/>
                <w:szCs w:val="14"/>
                <w:color w:val="auto"/>
              </w:rPr>
              <w:t>May 31, 2018</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color w:val="auto"/>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color w:val="auto"/>
                <w:w w:val="97"/>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40" w:type="dxa"/>
            <w:vAlign w:val="bottom"/>
          </w:tcPr>
          <w:p>
            <w:pPr>
              <w:spacing w:after="0"/>
              <w:rPr>
                <w:sz w:val="12"/>
                <w:szCs w:val="12"/>
                <w:color w:val="auto"/>
              </w:rPr>
            </w:pPr>
          </w:p>
        </w:tc>
        <w:tc>
          <w:tcPr>
            <w:tcW w:w="7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92"/>
        </w:trPr>
        <w:tc>
          <w:tcPr>
            <w:tcW w:w="416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60" w:type="dxa"/>
            <w:vAlign w:val="bottom"/>
          </w:tcPr>
          <w:p>
            <w:pPr>
              <w:spacing w:after="0"/>
              <w:rPr>
                <w:sz w:val="3"/>
                <w:szCs w:val="3"/>
                <w:color w:val="auto"/>
              </w:rPr>
            </w:pPr>
          </w:p>
        </w:tc>
        <w:tc>
          <w:tcPr>
            <w:tcW w:w="25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agency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asserted patents.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 Bard filed Appeals to the Federal Circuit Court of Appeals in all three reexams and the Company filed Cross-Appeals for the ‘302 and the ‘615 reexams and completed briefing. MedComp also filed an Amicus Brief in support of the Company on November 22, 2017. An oral hearing was held on September 5, 2018 and the court rendered its decision on September 28, 2018. Affirming that claims 1-5 and 10 of the ‘615 patent were invalid and that claims 6-7 of the 615 patent and 1-4 of the 302 patent were valid in light of the asserted prior art references. The Federal Circuit reversed the PTAB’s claim construction ruling and remanded for consideration of obviousness for the remaining claims under the new claim construction ruling and further findings with respect to whether one of the asserted references qualified as a printed publication. On January 28, 2019, The USPTO reversed the rejections of the ‘302 claims 1-10, ‘022 claims 1-20 and ‘617 8-9. Meanwhile, the Utah Action remains stayed.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93"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On March 10, 2015, C.R. Bard, Inc. ("Bard") and Bard Peripheral Vascular, Inc.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under rule 50(a) in favor of AngioDynamics, dismissing Bard’s suit. We await a final order from the Court regarding the Rule 50(a) rulings. We maintain our belief that these claims are without merit. The Company has not recorded an expense related to the outcome of this litigation because it is not yet possible to determine if a potential loss is probable nor reasonably estimable.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229"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Investigations</w:t>
      </w:r>
    </w:p>
    <w:p>
      <w:pPr>
        <w:spacing w:after="0" w:line="229" w:lineRule="exact"/>
        <w:rPr>
          <w:sz w:val="20"/>
          <w:szCs w:val="20"/>
          <w:color w:val="auto"/>
        </w:rPr>
      </w:pPr>
    </w:p>
    <w:p>
      <w:pPr>
        <w:ind w:right="280" w:firstLine="392"/>
        <w:spacing w:after="0" w:line="261" w:lineRule="auto"/>
        <w:rPr>
          <w:sz w:val="20"/>
          <w:szCs w:val="20"/>
          <w:color w:val="auto"/>
        </w:rPr>
      </w:pPr>
      <w:r>
        <w:rPr>
          <w:rFonts w:ascii="Times New Roman" w:cs="Times New Roman" w:eastAsia="Times New Roman" w:hAnsi="Times New Roman"/>
          <w:sz w:val="18"/>
          <w:szCs w:val="18"/>
          <w:color w:val="auto"/>
        </w:rPr>
        <w:t>In June 2014, the Company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The Company fully cooperated with this investigation.</w:t>
      </w:r>
    </w:p>
    <w:p>
      <w:pPr>
        <w:spacing w:after="0" w:line="126"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8"/>
          <w:szCs w:val="18"/>
          <w:color w:val="auto"/>
        </w:rPr>
        <w:t>In April 2015, the Company received a subpoena from the DOJ requesting documents in relation to a criminal and civil investigation the DOJ is conducting regarding purported promotion of certain of the Company's VenaCure EVLT products for un-cleared indications. The Company fully cooperated with this investigation.</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May 31, 2017, the Company accrued $12.5 million for these matters and in August 2017 the Company agreed in principle with the government to resolve these matters for approximately $12.5 million plus interest. In July 2018, the Company executed the final settlements and paid approximately $12.7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and nine months ended February 28, 2019 and 2018 acquisition, restructuring and other items, net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 28, 2019</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 28, 2018</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Feb 28, 2019</w:t>
            </w:r>
          </w:p>
        </w:tc>
        <w:tc>
          <w:tcPr>
            <w:tcW w:w="180" w:type="dxa"/>
            <w:vAlign w:val="bottom"/>
          </w:tcPr>
          <w:p>
            <w:pPr>
              <w:spacing w:after="0"/>
              <w:rPr>
                <w:sz w:val="22"/>
                <w:szCs w:val="22"/>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Feb 28, 2018</w:t>
            </w:r>
          </w:p>
        </w:tc>
      </w:tr>
      <w:tr>
        <w:trPr>
          <w:trHeight w:val="242"/>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14"/>
                <w:szCs w:val="14"/>
                <w:color w:val="auto"/>
              </w:rPr>
              <w:t>(1)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6,158</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14"/>
                <w:szCs w:val="14"/>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4,184</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449</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11,932</w:t>
            </w: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expenses related to investment banking, legal and due diligence.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Consolidation</w:t>
      </w:r>
    </w:p>
    <w:p>
      <w:pPr>
        <w:spacing w:after="0" w:line="14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February 1, 2017, the Company announced to employees an operational consolidation plan (the “plan”) to consolidate its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costs to be incurred in fiscal year 2019.</w:t>
      </w:r>
    </w:p>
    <w:p>
      <w:pPr>
        <w:spacing w:after="0" w:line="103"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and nine months ended February 28, 2019 of $0.0 million and $0.3 million, respectively. During the three and nine months ended February 28, 2018, the Company recorded $1.5 million and $4.2 million, respectively. Total restructuring charges recorded to date are $6.2 million. Termination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benefits are only earned if an employee stays until their termination date; therefore, the expenses related to termination benefits are being recorded ratably over the service period.</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restructuring reserve for the three and nine months ended February 28,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color w:val="auto"/>
              </w:rPr>
              <w:t>Three months ended February 28, 2019</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36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Termination Benefits</w:t>
            </w: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Plant Consolidation</w:t>
            </w: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Regulatory Filings</w:t>
            </w:r>
          </w:p>
        </w:tc>
        <w:tc>
          <w:tcPr>
            <w:tcW w:w="14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color w:val="auto"/>
              </w:rPr>
              <w:t>Contract Cancellation</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Costs</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November 30, 2018</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5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adjustments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February 28, 2019</w:t>
            </w: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color w:val="auto"/>
              </w:rPr>
              <w:t>Nine months ended February 28, 2019</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36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Termination Benefits</w:t>
            </w: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Plant Consolidation</w:t>
            </w: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Regulatory Filings</w:t>
            </w:r>
          </w:p>
        </w:tc>
        <w:tc>
          <w:tcPr>
            <w:tcW w:w="14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color w:val="auto"/>
              </w:rPr>
              <w:t>Contract Cancellation</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Costs</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2018</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5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adjustments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February 28, 2019</w:t>
            </w: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remaining restructuring liability is comprised of accruals for termination benefits.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(loss), net of tax, are as follows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Three months ended February 28, 2019</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color w:val="auto"/>
              </w:rPr>
              <w:t>Foreign currency</w:t>
            </w:r>
          </w:p>
        </w:tc>
        <w:tc>
          <w:tcPr>
            <w:tcW w:w="148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color w:val="auto"/>
              </w:rPr>
              <w:t>Unrealized gain (loss)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translation gain</w:t>
            </w: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on marketable</w:t>
            </w:r>
          </w:p>
        </w:tc>
        <w:tc>
          <w:tcPr>
            <w:tcW w:w="30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48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2018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February 28, 2019</w:t>
            </w:r>
          </w:p>
        </w:tc>
        <w:tc>
          <w:tcPr>
            <w:tcW w:w="20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Nine months ended February 28, 2019</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color w:val="auto"/>
              </w:rPr>
              <w:t>Foreign currency</w:t>
            </w:r>
          </w:p>
        </w:tc>
        <w:tc>
          <w:tcPr>
            <w:tcW w:w="148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color w:val="auto"/>
              </w:rPr>
              <w:t>Unrealized gain (loss)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translation gain</w:t>
            </w: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on marketable</w:t>
            </w:r>
          </w:p>
        </w:tc>
        <w:tc>
          <w:tcPr>
            <w:tcW w:w="2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May 31, 2018</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February 28, 2019</w:t>
            </w:r>
          </w:p>
        </w:tc>
        <w:tc>
          <w:tcPr>
            <w:tcW w:w="20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RECENTLY ISSUED ACCOUNTING PRONOUNCEMENTS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description of recent accounting pronouncements that may have a material effect on the Company's consolidated financial statements: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3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ASU No. 2014-09, </w:t>
            </w:r>
            <w:r>
              <w:rPr>
                <w:rFonts w:ascii="Times New Roman" w:cs="Times New Roman" w:eastAsia="Times New Roman" w:hAnsi="Times New Roman"/>
                <w:sz w:val="18"/>
                <w:szCs w:val="18"/>
                <w:i w:val="1"/>
                <w:iCs w:val="1"/>
                <w:color w:val="auto"/>
              </w:rPr>
              <w:t>Revenue from</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ASU provides a single, comprehensive</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2018</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See Note 3, "Revenue from Contracts with</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Contracts with Customers (ASU</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model for revenues arising from</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Customers" for the required disclosures related to</w:t>
            </w:r>
          </w:p>
        </w:tc>
        <w:tc>
          <w:tcPr>
            <w:tcW w:w="20" w:type="dxa"/>
            <w:vAlign w:val="bottom"/>
          </w:tcPr>
          <w:p>
            <w:pPr>
              <w:spacing w:after="0"/>
              <w:rPr>
                <w:sz w:val="18"/>
                <w:szCs w:val="18"/>
                <w:color w:val="auto"/>
              </w:rPr>
            </w:pPr>
          </w:p>
        </w:tc>
      </w:tr>
      <w:tr>
        <w:trPr>
          <w:trHeight w:val="218"/>
        </w:trPr>
        <w:tc>
          <w:tcPr>
            <w:tcW w:w="2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2014-09)</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contracts with customers that supersedes most of the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impact of adopting this standard.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existing revenue recognition guidance, including</w:t>
            </w:r>
          </w:p>
        </w:tc>
        <w:tc>
          <w:tcPr>
            <w:tcW w:w="1280" w:type="dxa"/>
            <w:vAlign w:val="bottom"/>
            <w:tcBorders>
              <w:right w:val="single" w:sz="8" w:color="auto"/>
            </w:tcBorders>
          </w:tcPr>
          <w:p>
            <w:pPr>
              <w:spacing w:after="0"/>
              <w:rPr>
                <w:sz w:val="18"/>
                <w:szCs w:val="18"/>
                <w:color w:val="auto"/>
              </w:rPr>
            </w:pPr>
          </w:p>
        </w:tc>
        <w:tc>
          <w:tcPr>
            <w:tcW w:w="37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The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industry-specific guidance. Under this model,</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adoption of this standard did not have a material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is recognized at an amount that an entity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impact on the Company’s consolidated balance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expects to be entitled to upon transferring control of</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sheets and statements of operations.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goods or services to a customer, as opposed to when</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risks and rewards transfer to a customer under</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existing revenue recognition guidance.</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ASU No. 2016-15, </w:t>
            </w:r>
            <w:r>
              <w:rPr>
                <w:rFonts w:ascii="Times New Roman" w:cs="Times New Roman" w:eastAsia="Times New Roman" w:hAnsi="Times New Roman"/>
                <w:sz w:val="18"/>
                <w:szCs w:val="18"/>
                <w:i w:val="1"/>
                <w:iCs w:val="1"/>
                <w:color w:val="auto"/>
              </w:rPr>
              <w:t>Statement of</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ASU identifies how certain cash receipts and</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1, 2018</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This adoption did not have an impact on the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Flows (Topic 230):</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payments are presented and classified in the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Company's financial statements.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Classification of Certain Cash</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 under Topic 230.</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Receipts and Cash Payments</w:t>
            </w: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(ASU 2016-15)</w:t>
            </w:r>
          </w:p>
        </w:tc>
        <w:tc>
          <w:tcPr>
            <w:tcW w:w="38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72"/>
        </w:trPr>
        <w:tc>
          <w:tcPr>
            <w:tcW w:w="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20" w:type="dxa"/>
            <w:vAlign w:val="bottom"/>
            <w:tcBorders>
              <w:bottom w:val="single" w:sz="8" w:color="auto"/>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ASU 2016-02, </w:t>
            </w:r>
            <w:r>
              <w:rPr>
                <w:rFonts w:ascii="Times New Roman" w:cs="Times New Roman" w:eastAsia="Times New Roman" w:hAnsi="Times New Roman"/>
                <w:sz w:val="18"/>
                <w:szCs w:val="18"/>
                <w:i w:val="1"/>
                <w:iCs w:val="1"/>
                <w:color w:val="auto"/>
              </w:rPr>
              <w:t>Leases (Topic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ASU increases transparency and comparability</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1, 2019</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is currently in the process of</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842)</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among organizations by recognizing lease assets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performing an assessment on the impact of the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 on the balance sheet and disclosing key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standard, including optional practical expedients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about leasing arrangements. For leases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and transition methods that the Company may</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a term of twelve months or less, a lessee is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elect upon adoption and is progressing with 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permitted to make an accounting policy election by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plan. The implementation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of underlying asset not to recognize lease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includes identifying the Company’s lease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 and liabilities.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population, assessing significant leases under the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new guidance and identifying changes to processes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and controls. The Company expects to recognize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and corresponding lease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on the Company’s consolidated balance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sheet following the adoption of ASU 2016-02, but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is not able to quantify the impact of</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adoption at this time.</w:t>
            </w:r>
          </w:p>
        </w:tc>
        <w:tc>
          <w:tcPr>
            <w:tcW w:w="20" w:type="dxa"/>
            <w:vAlign w:val="bottom"/>
          </w:tcPr>
          <w:p>
            <w:pPr>
              <w:spacing w:after="0"/>
              <w:rPr>
                <w:sz w:val="20"/>
                <w:szCs w:val="20"/>
                <w:color w:val="auto"/>
              </w:rPr>
            </w:pPr>
          </w:p>
        </w:tc>
      </w:tr>
      <w:tr>
        <w:trPr>
          <w:trHeight w:val="675"/>
        </w:trPr>
        <w:tc>
          <w:tcPr>
            <w:tcW w:w="20" w:type="dxa"/>
            <w:vAlign w:val="bottom"/>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26</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7, 2019, the United States District Court for the District of Delaware granted judgment as a matter of law under rule 50(a) in favor of the Company. This judgment dismissed Bard's suit claiming certain of the Company's implantable port products infringe on three U.S. patents held by Bard. See footnote 14 for additional disclosure.</w:t>
      </w:r>
    </w:p>
    <w:p>
      <w:pPr>
        <w:spacing w:after="0" w:line="17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On March 14, 2019, the Company entered into a settlement agreement with Biolitec, Inc. related to the action commenced in the United States District Court for the Northern District of New York in January 2008. The Company sought judgment against Biolitec for defense and indemnification in two lawsuits which were previously settled. As a result of the settlement, Biolitec paid the Company $3.4 million.</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80"/>
          </w:cols>
          <w:pgMar w:left="240" w:top="118" w:right="3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40"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 w:lineRule="exact"/>
        <w:rPr>
          <w:sz w:val="20"/>
          <w:szCs w:val="20"/>
          <w:color w:val="auto"/>
        </w:rPr>
      </w:pPr>
    </w:p>
    <w:p>
      <w:pPr>
        <w:ind w:right="40" w:firstLine="432"/>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Market</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 This was evident with the BioSentry and RadiaDyne acquisitions noted below.</w:t>
      </w:r>
    </w:p>
    <w:p>
      <w:pPr>
        <w:spacing w:after="0" w:line="18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On August 14, 2018, the Company acquired the BioSentry Tract Sealant System (BioSentry) technology from Surgical Specialties, LLC, a medical device company headquartered in Westwood, Massachusetts for a total purchase price of $39.8 million of which $37.0 million was paid on August 14, 2018 and $2.8 million was recorded as contingent consideration. The contingent consideration liability was recorded at fair value and will be payable to SSC upon fulfillment of certain hydrogel orders. This is part of the Company’s strategic focus on building a continuum of care within the oncology space. Refer to Note 2 for further disclosure on the acquisition.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is comprised of $16.5 million for the revenue milestones and $5.8 million for the technical milestones. The $4.6 million indemnification holdback is recorded in other long-term liabilities and the $0.2 million purchase price holdback was initially recorded in accrued liabilities, but was paid during the third quarter of fiscal year 2019. 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10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March 7, 2019, the United States District Court for the District of Delaware granted judgment as a matter of law under rule 50(a) in favor of the Company. This judgment dismissed Bard's suit claiming certain of the Company's implantable port products infringe on three U.S. patents held by Bard. See footnote 14 for additional disclosure.</w:t>
      </w:r>
    </w:p>
    <w:p>
      <w:pPr>
        <w:spacing w:after="0" w:line="9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March 14, 2019, the Company entered into a settlement agreement with Biolitec, Inc. related to the action commenced in the United States District Court for the Northern District of New York in January 2008. The Company sought judgment against Biolitec for defense and indemnification in two lawsuits which were previously settled. As a result of the settlement, Biolitec paid the Company $3.4 million.</w:t>
      </w:r>
    </w:p>
    <w:p>
      <w:pPr>
        <w:spacing w:after="0" w:line="9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9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three and nine months ended February 28, 2019 compared to the three and nine months ended February 28, 2018 follows: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Three months ended February 28, 2019:</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3.0% to $86.3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10 bps to 54.1%</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$2.1 million to $2.8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decreased by $0.35 to $0.02*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Nine months ended February 28, 2019:</w:t>
      </w:r>
    </w:p>
    <w:p>
      <w:pPr>
        <w:spacing w:after="0" w:line="225" w:lineRule="exact"/>
        <w:rPr>
          <w:sz w:val="20"/>
          <w:szCs w:val="20"/>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2.8% to $263.2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275 bps to 53.3%</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$1.0 to $7.1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decreased by $0.32 to $0.06*</w:t>
      </w:r>
    </w:p>
    <w:p>
      <w:pPr>
        <w:spacing w:after="0" w:line="9" w:lineRule="exact"/>
        <w:rPr>
          <w:rFonts w:ascii="Times New Roman" w:cs="Times New Roman" w:eastAsia="Times New Roman" w:hAnsi="Times New Roman"/>
          <w:sz w:val="18"/>
          <w:szCs w:val="18"/>
          <w:color w:val="auto"/>
        </w:rPr>
      </w:pPr>
    </w:p>
    <w:p>
      <w:pPr>
        <w:ind w:right="4680" w:firstLine="656"/>
        <w:spacing w:after="0" w:line="488" w:lineRule="auto"/>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operations decreased by $5.1 million to $12.4 million * The significant decrease is primarily attributed to the impact of tax reform in the prior year.</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17 to our consolidated financial statements in this Quarterly Report on Form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February 28, 2019 and 2018</w:t>
      </w:r>
    </w:p>
    <w:p>
      <w:pPr>
        <w:spacing w:after="0" w:line="229" w:lineRule="exact"/>
        <w:rPr>
          <w:sz w:val="20"/>
          <w:szCs w:val="20"/>
          <w:color w:val="auto"/>
        </w:rPr>
      </w:pPr>
    </w:p>
    <w:p>
      <w:pPr>
        <w:ind w:right="460" w:firstLine="432"/>
        <w:spacing w:after="0" w:line="313" w:lineRule="auto"/>
        <w:rPr>
          <w:sz w:val="20"/>
          <w:szCs w:val="20"/>
          <w:color w:val="auto"/>
        </w:rPr>
      </w:pPr>
      <w:r>
        <w:rPr>
          <w:rFonts w:ascii="Times New Roman" w:cs="Times New Roman" w:eastAsia="Times New Roman" w:hAnsi="Times New Roman"/>
          <w:sz w:val="17"/>
          <w:szCs w:val="17"/>
          <w:color w:val="auto"/>
        </w:rPr>
        <w:t>For the three months ended February 28, 2019, the Company reported net income of $0.8 million, or $0.02 per diluted share, on net sales of $86.3 million, compared with net income of $14.0 million, or $0.37 per diluted share, on net sales of $83.9 million during the same quarter of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 -</w:t>
      </w:r>
      <w:r>
        <w:rPr>
          <w:rFonts w:ascii="Times New Roman" w:cs="Times New Roman" w:eastAsia="Times New Roman" w:hAnsi="Times New Roman"/>
          <w:sz w:val="18"/>
          <w:szCs w:val="18"/>
          <w:color w:val="auto"/>
        </w:rPr>
        <w:t xml:space="preserve"> Net sales are derived from the sale of products and related freight charges, less discounts and returns.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three months ended February 28, 2019 and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Feb 28,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Feb 28,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 Growth</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Global Business Unit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50,115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48,517</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23,279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Oncology</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12,055</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15.1%</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83,851</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68,331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65,787</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18,064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7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83,851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sz w:val="20"/>
          <w:szCs w:val="20"/>
          <w:color w:val="auto"/>
        </w:rPr>
      </w:pPr>
    </w:p>
    <w:p>
      <w:pPr>
        <w:ind w:right="720" w:firstLine="432"/>
        <w:spacing w:after="0" w:line="469" w:lineRule="auto"/>
        <w:rPr>
          <w:sz w:val="20"/>
          <w:szCs w:val="20"/>
          <w:color w:val="auto"/>
        </w:rPr>
      </w:pPr>
      <w:r>
        <w:rPr>
          <w:rFonts w:ascii="Times New Roman" w:cs="Times New Roman" w:eastAsia="Times New Roman" w:hAnsi="Times New Roman"/>
          <w:sz w:val="18"/>
          <w:szCs w:val="18"/>
          <w:color w:val="auto"/>
        </w:rPr>
        <w:t xml:space="preserve">For the three months ended February 28, 2019, net sales increased $2.5 million to $86.3 million compared to the same period in the prior year. </w:t>
      </w:r>
      <w:r>
        <w:rPr>
          <w:rFonts w:ascii="Times New Roman" w:cs="Times New Roman" w:eastAsia="Times New Roman" w:hAnsi="Times New Roman"/>
          <w:sz w:val="18"/>
          <w:szCs w:val="18"/>
          <w:u w:val="single" w:color="auto"/>
          <w:color w:val="auto"/>
        </w:rPr>
        <w:t>Vascular Interventions &amp; Therapies</w:t>
      </w:r>
    </w:p>
    <w:p>
      <w:pPr>
        <w:spacing w:after="0" w:line="1" w:lineRule="exact"/>
        <w:rPr>
          <w:sz w:val="20"/>
          <w:szCs w:val="20"/>
          <w:color w:val="auto"/>
        </w:rPr>
      </w:pPr>
    </w:p>
    <w:p>
      <w:pPr>
        <w:ind w:left="660" w:right="2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Vascular Interventions &amp; Therapies sales increased $1.6 million primarily attributable to strong performance in Fluid Management and AngioVac. The increase in Fluid Management was attributed to continued efforts around new custom kits. The Company continues to see strong case volumes in AngioVac, which increased 19% from the prior year due to increased adoption of the Company's unique technology. These increases were partially offset by decreased sales volume of Venous products due to reimbursement challenges.</w:t>
      </w:r>
    </w:p>
    <w:p>
      <w:pPr>
        <w:spacing w:after="0" w:line="2"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Interventions &amp; Therapies sales increased $1.7 million due to an increase in volume in Fluid Management and AngioVac. This was partially offset by decreased sales volume of Venous products.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Interventions &amp; Therapies sales decreased $0.1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Vascular Access</w:t>
      </w:r>
    </w:p>
    <w:p>
      <w:pPr>
        <w:spacing w:after="0" w:line="225" w:lineRule="exact"/>
        <w:rPr>
          <w:sz w:val="20"/>
          <w:szCs w:val="20"/>
          <w:color w:val="auto"/>
        </w:rPr>
      </w:pPr>
    </w:p>
    <w:p>
      <w:pPr>
        <w:jc w:val="both"/>
        <w:ind w:left="660" w:right="34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Vascular Access sales decreased $0.9 million due to decreases in PICCs and Ports partially offset by growth in BioFlo Dialysis businesses. BioFlo Dialysis product lines increased $0.4 million year over year and now comprise 52% of overall Vascular Access sales, compared to 48% a year ago.</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Access sales decreased by $1.3 million due to competitive pressures in the PICC product lines and decreased sales of Ports. This was partially offset by growth in BioFlo Dialysis products which continue to gain traction in the marketplace.</w:t>
      </w:r>
    </w:p>
    <w:p>
      <w:pPr>
        <w:ind w:left="660" w:right="30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Access sales increased by $0.4 million as the Company continues to expand its global reach of its Vascular Access product offerings.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Oncology</w:t>
      </w:r>
    </w:p>
    <w:p>
      <w:pPr>
        <w:spacing w:after="0" w:line="225" w:lineRule="exact"/>
        <w:rPr>
          <w:sz w:val="20"/>
          <w:szCs w:val="20"/>
          <w:color w:val="auto"/>
        </w:rPr>
      </w:pPr>
    </w:p>
    <w:p>
      <w:pPr>
        <w:ind w:left="660" w:right="2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Oncology sales increased $1.8 million year over year primarily due to increased sales of BioSentry products of $1.5 million and RadiaDyne products of $1.7 million. This was partially offset by decreased sales of NanoKnife capital which was down $1.3 million.</w:t>
      </w:r>
    </w:p>
    <w:p>
      <w:pPr>
        <w:ind w:left="660" w:right="10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Oncology sales increased by $2.5 million, driven by Microwave generator and disposable sales of $0.5 million, BioSentry sales of $1.4 million and RadiaDyne sales of $1.7 million. This was partially offset by decreased sales of NanoKnife capital and disposables of $1.0 million.</w:t>
      </w:r>
    </w:p>
    <w:p>
      <w:pPr>
        <w:ind w:left="660" w:right="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Oncology sales decreased by $0.7 million year over year as a result of decreased NanoKnife capital sales of $0.6 million and decreased RadioFrequency Ablation and Microwave sales of $0.2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1200" w:type="dxa"/>
            <w:vAlign w:val="bottom"/>
            <w:tcBorders>
              <w:bottom w:val="single" w:sz="8" w:color="auto"/>
            </w:tcBorders>
          </w:tcPr>
          <w:p>
            <w:pPr>
              <w:spacing w:after="0"/>
              <w:rPr>
                <w:sz w:val="16"/>
                <w:szCs w:val="16"/>
                <w:color w:val="auto"/>
              </w:rPr>
            </w:pPr>
          </w:p>
        </w:tc>
      </w:tr>
      <w:tr>
        <w:trPr>
          <w:trHeight w:val="264"/>
        </w:trPr>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 28, 2018</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$1.2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mix and price had unfavorable impacts of $0.3 million and $0.6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productivity contributed $0.1 million of favorability.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BioSentry and RadiaDyne products contributed $2.3 million to gross profit.</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$0.8 million compared to the prior year. The increase is primarily attributable to the following:</w:t>
      </w:r>
    </w:p>
    <w:p>
      <w:pPr>
        <w:spacing w:after="0" w:line="225" w:lineRule="exact"/>
        <w:rPr>
          <w:sz w:val="20"/>
          <w:szCs w:val="20"/>
          <w:color w:val="auto"/>
        </w:rPr>
      </w:pPr>
    </w:p>
    <w:p>
      <w:pPr>
        <w:ind w:left="660" w:righ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and clinical efforts related to the Company’s investment areas of NanoKnife, Thrombus Management and BioFlo increased $0.9 million.</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approximately $0.1 million due to decreased headcount as part of a process to streamline the R&amp;D function.</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expenses</w:t>
      </w:r>
      <w:r>
        <w:rPr>
          <w:rFonts w:ascii="Times New Roman" w:cs="Times New Roman" w:eastAsia="Times New Roman" w:hAnsi="Times New Roman"/>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increased $1.4 million compared to the prior year. The increase is primarily attributable to the following:</w:t>
      </w:r>
    </w:p>
    <w:p>
      <w:pPr>
        <w:spacing w:after="0" w:line="225" w:lineRule="exact"/>
        <w:rPr>
          <w:sz w:val="20"/>
          <w:szCs w:val="20"/>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 of approximately $1.5 million which is primarily attributed to increased headcount as a result of the BioSentry and RadiaDyne acquisitions.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$1.1 million compared to the prior year. The increase is primarily attributable to the following:</w:t>
      </w:r>
    </w:p>
    <w:p>
      <w:pPr>
        <w:spacing w:after="0" w:line="225" w:lineRule="exact"/>
        <w:rPr>
          <w:sz w:val="20"/>
          <w:szCs w:val="20"/>
          <w:color w:val="auto"/>
        </w:rPr>
      </w:pPr>
    </w:p>
    <w:p>
      <w:pPr>
        <w:ind w:left="660" w:right="200" w:hanging="328"/>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and benefits increase of approximately $0.6 million primarily as a result of increased variable compensation of $0.3 million, severance of $0.2 million and benefits of $0.1 million. This was partially offset by decreased salaries of $0.1 million as a result of open headcount.</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fees relating to ongoing litigation that is within the normal course of business increased $0.4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$0.2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consultant spend decreased $0.2 million.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866"/>
        </w:trPr>
        <w:tc>
          <w:tcPr>
            <w:tcW w:w="1020" w:type="dxa"/>
            <w:vAlign w:val="bottom"/>
            <w:tcBorders>
              <w:top w:val="single" w:sz="8" w:color="0000EE"/>
            </w:tcBorders>
          </w:tcPr>
          <w:p>
            <w:pPr>
              <w:spacing w:after="0"/>
              <w:rPr>
                <w:sz w:val="24"/>
                <w:szCs w:val="24"/>
                <w:color w:val="auto"/>
              </w:rPr>
            </w:pPr>
          </w:p>
        </w:tc>
        <w:tc>
          <w:tcPr>
            <w:tcW w:w="6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7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Feb 28,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Feb 28,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1,151</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10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amortization expense from the prior year is due to intangible asset additions as a result of the BioSentry and RadiaDyne acquisitions. The BioSentry acquisition increased intangible assets by $25.6 million and resulted in additional amortization expense of $0.4 million. The RadiaDyne acquisition increased intangible assets by $25.3 million and resulted in additional amortization expense of $0.7 million.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62" w:lineRule="exact"/>
        <w:rPr>
          <w:sz w:val="20"/>
          <w:szCs w:val="20"/>
          <w:color w:val="auto"/>
        </w:rPr>
      </w:pPr>
    </w:p>
    <w:p>
      <w:pPr>
        <w:ind w:left="660" w:right="1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from the prior year is due to contingent considerations that were recorded as part of the BioSentry and RadiaDyne acquisitions of $2.8 million and $22.3 million, respectively. The change in the fair value in contingent consideration is the result of amortization of the present value discount of $0.6 million.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restructuring and other items, net decreased by $1.6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M&amp;A expense of $0.3 million was incurred in the third quarter of fiscal year 2019 compared to none in the prior year.</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of $1.8 million was recorded in the third quarter of fiscal year 2019 compared to $2.3 million in the prior year.</w:t>
      </w:r>
    </w:p>
    <w:p>
      <w:pPr>
        <w:ind w:left="660" w:right="8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year 2018, the Company incurred $1.5 million of expense which consisted of $0.3 million of severance and $1.2 million of costs to move the product lines related to the plant consolidation that was announced in the third quarter of fiscal year 2017. The plant consolidation was completed in the fourth quarter of fiscal year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right="2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expenses from the prior year of $0.9 million is due to increased interest expense of $0.7 million primarily due to the draw on the Revolving Facility during fiscal year 2019. Other expenses, including foreign currency fluctuations, increased by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64"/>
        </w:trPr>
        <w:tc>
          <w:tcPr>
            <w:tcW w:w="8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80" w:type="dxa"/>
            <w:vAlign w:val="bottom"/>
          </w:tcPr>
          <w:p>
            <w:pPr>
              <w:spacing w:after="0"/>
              <w:rPr>
                <w:sz w:val="22"/>
                <w:szCs w:val="22"/>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8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bl>
    <w:p>
      <w:pPr>
        <w:spacing w:after="0" w:line="225" w:lineRule="exact"/>
        <w:rPr>
          <w:sz w:val="20"/>
          <w:szCs w:val="20"/>
          <w:color w:val="auto"/>
        </w:rPr>
      </w:pPr>
    </w:p>
    <w:p>
      <w:pPr>
        <w:jc w:val="both"/>
        <w:ind w:right="540" w:firstLine="405"/>
        <w:spacing w:after="0" w:line="266"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 periods ended February 28, 2019 and 2018 was 26.2% and negative (244.4)%, respectively. In fiscal 2019, the Company's effective tax rate differs from the U.S. statutory rate primarily due to the impact of the valuation allowance, foreign taxes and state taxes.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estimated annual effective tax rate, however, prior to discrete items was 25.3% in the third quarter of fiscal 2019, as compared to 4.9% for the same period in fiscal 2018.</w:t>
      </w:r>
    </w:p>
    <w:p>
      <w:pPr>
        <w:spacing w:after="0" w:line="16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February 28, 2019 and 2018</w:t>
      </w:r>
    </w:p>
    <w:p>
      <w:pPr>
        <w:spacing w:after="0" w:line="229" w:lineRule="exact"/>
        <w:rPr>
          <w:sz w:val="20"/>
          <w:szCs w:val="20"/>
          <w:color w:val="auto"/>
        </w:rPr>
      </w:pPr>
    </w:p>
    <w:p>
      <w:pPr>
        <w:ind w:right="440" w:firstLine="432"/>
        <w:spacing w:after="0" w:line="313" w:lineRule="auto"/>
        <w:rPr>
          <w:sz w:val="20"/>
          <w:szCs w:val="20"/>
          <w:color w:val="auto"/>
        </w:rPr>
      </w:pPr>
      <w:r>
        <w:rPr>
          <w:rFonts w:ascii="Times New Roman" w:cs="Times New Roman" w:eastAsia="Times New Roman" w:hAnsi="Times New Roman"/>
          <w:sz w:val="17"/>
          <w:szCs w:val="17"/>
          <w:color w:val="auto"/>
        </w:rPr>
        <w:t>For the nine months ended February 28, 2019, the Company reported net income of $2.5 million, or $0.06 per diluted share, on net sales of $263.2 million, compared with net income of $14.2 million, or $0.38 per diluted share, on net sales of $256.0 million during the same quarter of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 -</w:t>
      </w:r>
      <w:r>
        <w:rPr>
          <w:rFonts w:ascii="Times New Roman" w:cs="Times New Roman" w:eastAsia="Times New Roman" w:hAnsi="Times New Roman"/>
          <w:sz w:val="18"/>
          <w:szCs w:val="18"/>
          <w:color w:val="auto"/>
        </w:rPr>
        <w:t xml:space="preserve"> Net sales are derived from the sale of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nine months ended February 28, 2019 and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Feb 28,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Feb 28,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Growth</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Global Business Unit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Vascular Interventions &amp; Therapies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149,751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69,861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69,091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Oncology</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37,126</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263,184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255,968</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207,898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203,020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55,286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52,948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7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255,968</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nine months ended February 28, 2019, net sales increased $7.2 million to $263.2 million compared to the same period in the prior year.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Vascular Interventions &amp; Therapies</w:t>
      </w:r>
    </w:p>
    <w:p>
      <w:pPr>
        <w:spacing w:after="0" w:line="225" w:lineRule="exact"/>
        <w:rPr>
          <w:sz w:val="20"/>
          <w:szCs w:val="20"/>
          <w:color w:val="auto"/>
        </w:rPr>
      </w:pPr>
    </w:p>
    <w:p>
      <w:pPr>
        <w:ind w:left="660" w:right="2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Vascular Interventions &amp; Therapies sales increased $2.9 million primarily attributable to strong performance in Fluid Management and AngioVac. The increase in Fluid Management was attributed to continued efforts around new custom kits. The Company continues to see strong case volumes in AngioVac, which increased 15% percent from the prior year due to increased adoption of the Company's unique technology. These increases were partially offset by decreased sales volume of Venous products due to reimbursement challenges.</w:t>
      </w:r>
    </w:p>
    <w:p>
      <w:pPr>
        <w:spacing w:after="0" w:line="2" w:lineRule="exact"/>
        <w:rPr>
          <w:rFonts w:ascii="Times New Roman" w:cs="Times New Roman" w:eastAsia="Times New Roman" w:hAnsi="Times New Roman"/>
          <w:sz w:val="18"/>
          <w:szCs w:val="18"/>
          <w:color w:val="auto"/>
        </w:rPr>
      </w:pPr>
    </w:p>
    <w:p>
      <w:pPr>
        <w:ind w:left="660" w:right="58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Interventions &amp; Therapies sales increased $2.5 million due to an increase in volume in Fluid Management, AngioVac and Core Peripheral products. This was partially offset by decreased sales volume of Venous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60" w:firstLine="332"/>
        <w:spacing w:after="0" w:line="501"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Vascular Interventions &amp; Therapies sales increased $0.4 million due to an increase in volume in Venous and Angiographic catheters. </w:t>
      </w:r>
      <w:r>
        <w:rPr>
          <w:rFonts w:ascii="Times New Roman" w:cs="Times New Roman" w:eastAsia="Times New Roman" w:hAnsi="Times New Roman"/>
          <w:sz w:val="18"/>
          <w:szCs w:val="18"/>
          <w:u w:val="single" w:color="auto"/>
          <w:color w:val="auto"/>
        </w:rPr>
        <w:t>Vascular Access</w:t>
      </w:r>
    </w:p>
    <w:p>
      <w:pPr>
        <w:ind w:left="660" w:right="80" w:hanging="328"/>
        <w:spacing w:after="0" w:line="272"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Vascular Access sales increased $0.8 million due to growth in BioFlo which increased $1.7 million year over year. The increase in sales is also due to the launch of the BIIM ultrasound product in fiscal year 2019 which had $0.4 million in sales. This was partially offset by a decline in non-BioFlo PICCs of $1.4 million. The Company's BioFlo portfolio now comprises 51% of overall Vascular Access sales, compared to 49% a year ago.</w:t>
      </w:r>
    </w:p>
    <w:p>
      <w:pPr>
        <w:spacing w:after="0" w:line="1" w:lineRule="exact"/>
        <w:rPr>
          <w:rFonts w:ascii="Times New Roman" w:cs="Times New Roman" w:eastAsia="Times New Roman" w:hAnsi="Times New Roman"/>
          <w:sz w:val="17"/>
          <w:szCs w:val="17"/>
          <w:color w:val="auto"/>
        </w:rPr>
      </w:pPr>
    </w:p>
    <w:p>
      <w:pPr>
        <w:ind w:left="660" w:right="2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Access sales decreased by $1.2 million due to competitive pressures in the PICC product line. This was partially offset by growth in Midlines and BioFlo Dialysis and Ports which continue to gain traction in the marketplace.</w:t>
      </w:r>
    </w:p>
    <w:p>
      <w:pPr>
        <w:ind w:left="660" w:right="30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Access sales increased by $2.0 million as the Company continues to expand its global reach of its Vascular Access product offerings.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Oncology</w:t>
      </w:r>
    </w:p>
    <w:p>
      <w:pPr>
        <w:spacing w:after="0" w:line="225" w:lineRule="exact"/>
        <w:rPr>
          <w:sz w:val="20"/>
          <w:szCs w:val="20"/>
          <w:color w:val="auto"/>
        </w:rPr>
      </w:pPr>
    </w:p>
    <w:p>
      <w:pPr>
        <w:ind w:left="660" w:right="16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Oncology sales increased $3.6 million year over year primarily due to increased sales of NanoKnife disposables of $0.8 million along with $3.4 million in sales of BioSentry products and $3.0 million in sales of RadiaDyne products. This was partially offset by decreased sales in Radiofrequency Ablation, Microwave disposables and NanoKnife capital. Microwave sales were negatively impacted by the timing of the Company's prior year replacement shipments of $2.6 million which took place primarily in the first and second quarters of the prior year as a result of the market withdrawal of Acculis. NanoKnife capital decreased $0.8 million due to the timing of capital sales.</w:t>
      </w:r>
    </w:p>
    <w:p>
      <w:pPr>
        <w:spacing w:after="0" w:line="3"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Oncology sales increased by $4.5 million primarily due to $3.3 million in sales of BioSentry products and $3.0 million in sales of RadiaDyne products. This was partially offset by a $1.0 million decrease in NanoKnife capital sales and a $0.3 million decrease in sales of RadioFrequency Ablation capital and disposables.</w:t>
      </w:r>
    </w:p>
    <w:p>
      <w:pPr>
        <w:spacing w:after="0" w:line="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Oncology sales decreased by $0.9 million due to decreased RadioFrequency Ablation and Microwave sales of $1.5 million, partially offset by increased NanoKnife capital and disposable sales of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Nine Months Ended</w:t>
            </w:r>
          </w:p>
        </w:tc>
        <w:tc>
          <w:tcPr>
            <w:tcW w:w="1200" w:type="dxa"/>
            <w:vAlign w:val="bottom"/>
            <w:tcBorders>
              <w:bottom w:val="single" w:sz="8" w:color="auto"/>
            </w:tcBorders>
          </w:tcPr>
          <w:p>
            <w:pPr>
              <w:spacing w:after="0"/>
              <w:rPr>
                <w:sz w:val="16"/>
                <w:szCs w:val="16"/>
                <w:color w:val="auto"/>
              </w:rPr>
            </w:pPr>
          </w:p>
        </w:tc>
      </w:tr>
      <w:tr>
        <w:trPr>
          <w:trHeight w:val="264"/>
        </w:trPr>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Feb 28, 2018</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129,408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19,005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56,378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23,319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$10.9 million compared to the prior year. The increase is primarily attributable to the following:</w:t>
      </w:r>
    </w:p>
    <w:p>
      <w:pPr>
        <w:spacing w:after="0" w:line="225" w:lineRule="exact"/>
        <w:rPr>
          <w:sz w:val="20"/>
          <w:szCs w:val="20"/>
          <w:color w:val="auto"/>
        </w:rPr>
      </w:pPr>
    </w:p>
    <w:p>
      <w:pPr>
        <w:ind w:left="660" w:right="62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mix contributed $2.8 million of favorability year over year. This was partially offset by increased price of $0.4 million and currency fluctuations of $0.6 million.</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BioSentry and RadiaDyne products contributed $4.5 million to gross profit.</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productivity of $1.7 million. Plant consolidation contributed $2.4 million of favorability partially offset by increased freight expense of $0.7 million.</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reserve of $1.7 million related to the discontinuation of our RadioFrequency Ablation product in Japan.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royalty agreement in fiscal year 2018 resulted in $1.5 million of favorability compared to the prior year.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$3.2 million compared to the prior year. The increase is primarily attributable to the following:</w:t>
      </w:r>
    </w:p>
    <w:p>
      <w:pPr>
        <w:spacing w:after="0" w:line="225" w:lineRule="exact"/>
        <w:rPr>
          <w:sz w:val="20"/>
          <w:szCs w:val="20"/>
          <w:color w:val="auto"/>
        </w:rPr>
      </w:pPr>
    </w:p>
    <w:p>
      <w:pPr>
        <w:ind w:left="660" w:righ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and clinical efforts related to the Company’s investment areas of NanoKnife, Thrombus Management and BioFlo increased $2.8 million.</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compensation and benefits of $0.5 million primarily as a result of increased variable compensation.</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expenses</w:t>
      </w:r>
      <w:r>
        <w:rPr>
          <w:rFonts w:ascii="Times New Roman" w:cs="Times New Roman" w:eastAsia="Times New Roman" w:hAnsi="Times New Roman"/>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increased $2.7 million compared to the prior year. The increase is primarily attributable to the following:</w:t>
      </w:r>
    </w:p>
    <w:p>
      <w:pPr>
        <w:spacing w:after="0" w:line="225" w:lineRule="exact"/>
        <w:rPr>
          <w:sz w:val="20"/>
          <w:szCs w:val="20"/>
          <w:color w:val="auto"/>
        </w:rPr>
      </w:pPr>
    </w:p>
    <w:p>
      <w:pPr>
        <w:ind w:left="660" w:right="18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 of approximately $2.0 million which is primarily attributed to increased headcount as a result of the BioSentry and RadiaDyne acquisitions along with higher variable compensation. This was partially offset by decreased severance expense.</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of $0.5 million as a result of the increased headcount.</w:t>
      </w:r>
    </w:p>
    <w:p>
      <w:pPr>
        <w:spacing w:after="0" w:line="9"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consulting spend of $0.2 million, increased spend for trade shows and meeting expenses of $0.5 million and increased depreciation expense of $0.2 million. These were partially offset by decreases of $0.3 million, $0.2 million and $0.2 million in office supplies, lease expense and in recruiting, respectively.</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$3.3 million compared to the prior year. The increase is primarily attributable to the following:</w:t>
      </w:r>
    </w:p>
    <w:p>
      <w:pPr>
        <w:spacing w:after="0" w:line="225" w:lineRule="exact"/>
        <w:rPr>
          <w:sz w:val="20"/>
          <w:szCs w:val="20"/>
          <w:color w:val="auto"/>
        </w:rPr>
      </w:pPr>
    </w:p>
    <w:p>
      <w:pPr>
        <w:ind w:left="660" w:right="12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 of approximately $2.4 million primarily as a result of increased variable compensation, inflation of salaries and benefits and increased stock based compensation.</w:t>
      </w:r>
    </w:p>
    <w:p>
      <w:pPr>
        <w:ind w:left="660" w:right="10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fees related to ongoing litigation that is within the normal course of business of $0.5 million offset by other professional fees of $0.2 million.</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other expenses for technology investments of $0.3 million and lease expense of $0.1 million.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Feb 28,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Feb 28,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4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amortization expense from the prior year is due to intangible asset additions as a result of the BioSentry and RadiaDyne acquisitions. The BioSentry acquisition increased intangible assets by $25.6 million and resulted in additional amortization expense of $1.0 million. The RadiaDyne acquisition increased intangible assets by $25.3 million and resulted in additional amortization expense of $1.0 million.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right="14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from the prior year is due to contingent considerations that were recorded as part of the BioSentry and RadiaDyne acquisitions of $2.8 million and $22.3 million, respectively. The change in the fair value in contingent consideration is the result of amortization of the present value discount of $0.9 million. In addition, in the second quarter of fiscal year 2018, the final minimum payment was made on the AngioVac product contingent consideration and a $2.1 million payment was made on the Microsulis contingent consideration during the first quarter of fiscal 2019. Only one minimum payment is remaining on the Microsulis contingent consideration.</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restructuring and other items, net decreased by $2.2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M&amp;A expense of $3.2 million was incurred in fiscal year 2019 compared to $1.1 million in the prior year.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of $5.5 million was recorded in fiscal year 2019 compared to $6.2 million in fiscal year 2018.</w:t>
      </w:r>
    </w:p>
    <w:p>
      <w:pPr>
        <w:ind w:left="660" w:right="100" w:hanging="328"/>
        <w:spacing w:after="0" w:line="277"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2018, the Company incurred $4.2 million of expense which consisted of $1.5 million of severance and $2.6 million of costs to move the product lines related to the plant consolidation that was announced in the third quarter of fiscal year 2017. The plant consolidation was completed in the fourth quarter of fiscal year 2018; therefore, only $0.3 million of expense was incurred for the nine months ended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right="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expenses from the prior year of $1.8 million is due to increased interest expense of $1.4 million primarily due to the draw on the Revolving Facility during fiscal year 2019. In addition, foreign currency fluctuations increased $0.8 million. These increases were partially offset by other income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8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80" w:type="dxa"/>
            <w:vAlign w:val="bottom"/>
          </w:tcPr>
          <w:p>
            <w:pPr>
              <w:spacing w:after="0"/>
              <w:rPr>
                <w:sz w:val="22"/>
                <w:szCs w:val="22"/>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8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bl>
    <w:p>
      <w:pPr>
        <w:spacing w:after="0" w:line="225" w:lineRule="exact"/>
        <w:rPr>
          <w:sz w:val="20"/>
          <w:szCs w:val="20"/>
          <w:color w:val="auto"/>
        </w:rPr>
      </w:pPr>
    </w:p>
    <w:p>
      <w:pPr>
        <w:jc w:val="both"/>
        <w:ind w:right="540" w:firstLine="405"/>
        <w:spacing w:after="0" w:line="266"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 periods ended February 28, 2019 and 2018 was 26.0% and negative (244.0)%, respectively. In fiscal 2019, the Company's effective tax rate differs from the U.S. statutory rate primarily due to the impact of the valuation allowance, foreign taxes and state taxes.</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estimated annual effective tax rate, however, prior to discrete items was 25.3% in the third quarter of fiscal 2019, as compared to 4.9% for the same period in fiscal 2018.</w:t>
      </w:r>
    </w:p>
    <w:p>
      <w:pPr>
        <w:spacing w:after="0" w:line="16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$41.7 million as of February 28, 2019, compared with $74.1 million as of May 31, 2018. The Company had no marketable securities outstanding as of February 28, 2019. As of May 31, 2018, the Company had $1.3 million in marketable securities. As of February 28, 2019 and May 31, 2018, total principal debt outstanding was $133.8 million and $92.5 million, respectively. The fair value of contingent consideration payments was $27.1 million as of February 28, 2019 and $3.3 million as of May 31, 2018.</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our cash flows for the nine months ended February 28, 2019 and 2018: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64"/>
        </w:trPr>
        <w:tc>
          <w:tcPr>
            <w:tcW w:w="9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 28, 2019</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Feb 28, 2018</w:t>
            </w: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17,516</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834</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4,748</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February 28, 2019 and 2018, cash flows consisted of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operating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2019:</w:t>
      </w:r>
    </w:p>
    <w:p>
      <w:pPr>
        <w:spacing w:after="0" w:line="225" w:lineRule="exact"/>
        <w:rPr>
          <w:sz w:val="20"/>
          <w:szCs w:val="20"/>
          <w:color w:val="auto"/>
        </w:rPr>
      </w:pPr>
    </w:p>
    <w:p>
      <w:pPr>
        <w:ind w:left="1080" w:right="300" w:hanging="316"/>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driven by increased sales and improved gross profit. This was partially offset by higher operating expenses in research and development, selling and marketing and general administrative as well as costs related to our acquisition and restructuring activities.</w:t>
      </w:r>
    </w:p>
    <w:p>
      <w:pPr>
        <w:ind w:left="1080" w:right="60" w:hanging="316"/>
        <w:spacing w:after="0" w:line="25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focus on optimizing its cash conversion cycle. In the third quarter of fiscal year 2019, working capital was negatively impacted by increased inventory on hand of $2.7 million. Days sales outstanding ("DSO") increased as a result of increased sales in the third quarter. This had a $3.9 million negative impact on working capital. Also, the $12.7 million DOJ settlement payment that was made during the first quarter of fiscal year 2019 negatively impacted working capital from accounts payable and accrued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2018:</w:t>
      </w:r>
    </w:p>
    <w:p>
      <w:pPr>
        <w:spacing w:after="0" w:line="225" w:lineRule="exact"/>
        <w:rPr>
          <w:sz w:val="20"/>
          <w:szCs w:val="20"/>
          <w:color w:val="auto"/>
        </w:rPr>
      </w:pPr>
    </w:p>
    <w:p>
      <w:pPr>
        <w:ind w:left="1080" w:hanging="316"/>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driven by higher sales and higher gross margins.</w:t>
      </w:r>
    </w:p>
    <w:p>
      <w:pPr>
        <w:spacing w:after="0" w:line="27" w:lineRule="exact"/>
        <w:rPr>
          <w:rFonts w:ascii="Times New Roman" w:cs="Times New Roman" w:eastAsia="Times New Roman" w:hAnsi="Times New Roman"/>
          <w:sz w:val="18"/>
          <w:szCs w:val="18"/>
          <w:color w:val="auto"/>
        </w:rPr>
      </w:pPr>
    </w:p>
    <w:p>
      <w:pPr>
        <w:jc w:val="both"/>
        <w:ind w:left="1080" w:right="40" w:hanging="316"/>
        <w:spacing w:after="0" w:line="25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working capital, the Company focused on optimizing DSO which contributed to $2.9 million of working capital improvement. This working capital improvement was offset by increased inventory on hand of $1.9 million and $9.8 million of higher payments for accounts payable and accrued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2019 and 2018:</w:t>
      </w:r>
    </w:p>
    <w:p>
      <w:pPr>
        <w:spacing w:after="0" w:line="225" w:lineRule="exact"/>
        <w:rPr>
          <w:sz w:val="20"/>
          <w:szCs w:val="20"/>
          <w:color w:val="auto"/>
        </w:rPr>
      </w:pPr>
    </w:p>
    <w:p>
      <w:pPr>
        <w:ind w:left="1080" w:hanging="316"/>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 fixed asset additions, primarily for maintenance of equipment versus $1.6 million in the prior year.</w:t>
      </w:r>
    </w:p>
    <w:p>
      <w:pPr>
        <w:spacing w:after="0" w:line="27" w:lineRule="exact"/>
        <w:rPr>
          <w:rFonts w:ascii="Times New Roman" w:cs="Times New Roman" w:eastAsia="Times New Roman" w:hAnsi="Times New Roman"/>
          <w:sz w:val="18"/>
          <w:szCs w:val="18"/>
          <w:color w:val="auto"/>
        </w:rPr>
      </w:pPr>
    </w:p>
    <w:p>
      <w:pPr>
        <w:ind w:left="1080" w:right="160" w:hanging="316"/>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 million cash payment to acquire the BioSentry product from SSC and a $47.9 million cash payment to acquire RadiaDyne as described in Note 2 to the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2019 and 2018:</w:t>
      </w:r>
    </w:p>
    <w:p>
      <w:pPr>
        <w:spacing w:after="0" w:line="225" w:lineRule="exact"/>
        <w:rPr>
          <w:sz w:val="20"/>
          <w:szCs w:val="20"/>
          <w:color w:val="auto"/>
        </w:rPr>
      </w:pPr>
    </w:p>
    <w:p>
      <w:pPr>
        <w:jc w:val="center"/>
        <w:ind w:left="5620" w:right="1480" w:hanging="4856"/>
        <w:spacing w:after="0" w:line="564" w:lineRule="auto"/>
        <w:tabs>
          <w:tab w:leader="none" w:pos="10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million draw on the revolver as a result of the RadiaDyne acquisition described in Note 2 to the financial statements. 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080" w:right="40" w:hanging="316"/>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repayment on the Term Loan in both the current year and prior year. This is consistent with the required amortization payment on the Term Loan. There was also a $10.0 million repayment on the Revolving Facility in the third quarter of fiscal year 2019.</w:t>
      </w:r>
    </w:p>
    <w:p>
      <w:pPr>
        <w:ind w:left="1080" w:hanging="316"/>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proceeds from stock option and ESPP activity versus $2.6 million in the prior year.</w:t>
      </w:r>
    </w:p>
    <w:p>
      <w:pPr>
        <w:spacing w:after="0" w:line="9" w:lineRule="exact"/>
        <w:rPr>
          <w:rFonts w:ascii="Times New Roman" w:cs="Times New Roman" w:eastAsia="Times New Roman" w:hAnsi="Times New Roman"/>
          <w:sz w:val="18"/>
          <w:szCs w:val="18"/>
          <w:color w:val="auto"/>
        </w:rPr>
      </w:pPr>
    </w:p>
    <w:p>
      <w:pPr>
        <w:ind w:left="1080" w:right="440" w:hanging="316"/>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payment on earn-out liabilities in the current year compared to $9.5 million in the prior year as the Company made the final minimum payment on the AngioVac product contingent consideration.</w:t>
      </w:r>
    </w:p>
    <w:p>
      <w:pPr>
        <w:spacing w:after="0" w:line="18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and investment balances, together with future cash generated from operations and our revolving credit facility capacity of up to $150.0 million as of February 28, 2019, will provide sufficient liquidity to meet our anticipated needs for capital for at least the next 12 months. As part of the RadiaDyne acquisition that closed on September 21, 2018, the Company drew $55.0 million on the revolving credit facility. Based on our current leverage ratio of net debt to EBITDA, as defined by the Credit Agreement, the Company could draw approximately $85.0 million more on the remaining $95.0 million of the revolving credit facility. If we seek to make significant acquisitions of other businesses or technologies in the future, we may require additional external financing.</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118" w:right="29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6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Approximately 8% of our sales in the third quarter of fiscal 2019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62"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February 28,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240" w:top="118" w:right="3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asserted patents.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 Bard filed a Appeals to the Federal Circuit Court of Appeals in all three reexams and the Company filed Cross-Appeals for the ‘302 and the ‘615 reexams and completed briefing. MedComp also filed an Amicus Brief in support of the Company on November 22, 2017. An oral hearing was held on September 5, 2018 and the court rendered its decision on September 28, 2018. Affirming that claims 1-5 and 10 of the ‘615 patent were invalid and that claims 6-7 of the 615 patent and 1-4 of the 302 patent were valid in light of the asserted prior art references. The Federal Circuit reversed the PTAB’s claim construction ruling and remanded for consideration of obviousness for the remaining claims under the new claim construction ruling and further findings with respect to whether one of the asserted references qualified as a printed publication. On January 28, 2019, The USPTO reversed the rejections of the ‘302 claims 1-10, ‘022 claims 1-20 and ‘617 8-9. Meanwhile, the Utah Action remains stayed.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93"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On March 10, 2015, C.R. Bard, Inc. ("Bard") and Bard Peripheral Vascular, Inc.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under rule 50(a) in favor of AngioDynamics, dismissing Bard’s suit. We await a final order from the Court regarding the Rule 50(a) rulings. We maintain our belief that these claims are without merit.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229"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Investigations</w:t>
      </w:r>
    </w:p>
    <w:p>
      <w:pPr>
        <w:spacing w:after="0" w:line="229" w:lineRule="exact"/>
        <w:rPr>
          <w:sz w:val="20"/>
          <w:szCs w:val="20"/>
          <w:color w:val="auto"/>
        </w:rPr>
      </w:pPr>
    </w:p>
    <w:p>
      <w:pPr>
        <w:ind w:right="240" w:firstLine="392"/>
        <w:spacing w:after="0" w:line="261" w:lineRule="auto"/>
        <w:rPr>
          <w:sz w:val="20"/>
          <w:szCs w:val="20"/>
          <w:color w:val="auto"/>
        </w:rPr>
      </w:pPr>
      <w:r>
        <w:rPr>
          <w:rFonts w:ascii="Times New Roman" w:cs="Times New Roman" w:eastAsia="Times New Roman" w:hAnsi="Times New Roman"/>
          <w:sz w:val="18"/>
          <w:szCs w:val="18"/>
          <w:color w:val="auto"/>
        </w:rPr>
        <w:t>In June 2014, the Company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The Company fully cooperated with this investigation.</w:t>
      </w:r>
    </w:p>
    <w:p>
      <w:pPr>
        <w:spacing w:after="0" w:line="126"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8"/>
          <w:szCs w:val="18"/>
          <w:color w:val="auto"/>
        </w:rPr>
        <w:t>In April 2015, the Company received a subpoena from the DOJ requesting documents in relation to a criminal and civil investigation the DOJ is conducting regarding purported promotion of certain of the Company's VenaCure EVLT products for un-cleared indications. The Company fully cooperated with this investigation.</w:t>
      </w:r>
    </w:p>
    <w:p>
      <w:pPr>
        <w:spacing w:after="0" w:line="12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May 31, 2017, the Company accrued $12.5 million for these matters and in August 2017 the Company agreed in principle with the government to resolve these matters for approximately $12.5 million plus interest. In July 2018, the Company executed the final settlements and paid approximately $12.7 million.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18" w:right="27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2018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240" w:top="118" w:right="41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3"/>
                <w:szCs w:val="13"/>
                <w:color w:val="auto"/>
              </w:rPr>
            </w:pPr>
          </w:p>
        </w:tc>
        <w:tc>
          <w:tcPr>
            <w:tcW w:w="1200" w:type="dxa"/>
            <w:vAlign w:val="bottom"/>
          </w:tcPr>
          <w:p>
            <w:pPr>
              <w:jc w:val="center"/>
              <w:ind w:right="82"/>
              <w:spacing w:after="0" w:line="151"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2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3"/>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Programs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rPr>
              <w:t>or Programs (1)</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2018 - December 31, 2018</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 2019 - January 31, 2019</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1, 2019 - February 28, 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20"/>
                <w:szCs w:val="20"/>
                <w:color w:val="auto"/>
              </w:rPr>
            </w:pPr>
          </w:p>
        </w:tc>
        <w:tc>
          <w:tcPr>
            <w:tcW w:w="10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These amounts are not applicable as the Company currently does not have a share repurchase program in effect.</w:t>
      </w:r>
    </w:p>
    <w:p>
      <w:pPr>
        <w:spacing w:after="0" w:line="383"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Times New Roman" w:cs="Times New Roman" w:eastAsia="Times New Roman" w:hAnsi="Times New Roman"/>
          <w:sz w:val="18"/>
          <w:szCs w:val="18"/>
          <w:b w:val="1"/>
          <w:bCs w:val="1"/>
          <w:u w:val="single" w:color="auto"/>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6"/>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6"/>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Certification of Chief Executive Officer pursuant to Title 18, United States Code, Section 1350, as adopted pursuant to Section 906 of the</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Sarbanes-Oxley Act of 2002</w:t>
              </w:r>
            </w:hyperlink>
          </w:p>
        </w:tc>
        <w:tc>
          <w:tcPr>
            <w:tcW w:w="7900" w:type="dxa"/>
            <w:vAlign w:val="bottom"/>
            <w:gridSpan w:val="4"/>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6"/>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 XBRL document</w:t>
            </w:r>
          </w:p>
        </w:tc>
      </w:tr>
      <w:tr>
        <w:trPr>
          <w:trHeight w:val="8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Times New Roman" w:cs="Times New Roman" w:eastAsia="Times New Roman" w:hAnsi="Times New Roman"/>
                <w:sz w:val="18"/>
                <w:szCs w:val="18"/>
                <w:color w:val="auto"/>
              </w:rPr>
              <w:t>45</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118" w:right="49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 2019</w:t>
            </w:r>
          </w:p>
        </w:tc>
        <w:tc>
          <w:tcPr>
            <w:tcW w:w="82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4"/>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8"/>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 2019</w:t>
            </w:r>
          </w:p>
        </w:tc>
        <w:tc>
          <w:tcPr>
            <w:tcW w:w="82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4"/>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and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240"/>
          </w:cols>
          <w:pgMar w:left="240" w:top="118" w:right="4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63" w:lineRule="exact"/>
        <w:rPr>
          <w:rFonts w:ascii="Times New Roman" w:cs="Times New Roman" w:eastAsia="Times New Roman" w:hAnsi="Times New Roman"/>
          <w:sz w:val="18"/>
          <w:szCs w:val="18"/>
          <w:color w:val="auto"/>
        </w:rPr>
      </w:pPr>
    </w:p>
    <w:p>
      <w:pPr>
        <w:jc w:val="both"/>
        <w:ind w:left="500" w:right="460" w:hanging="465"/>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420" w:hanging="465"/>
        <w:spacing w:after="0" w:line="281"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00" w:right="20" w:hanging="465"/>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sz w:val="20"/>
          <w:szCs w:val="20"/>
          <w:color w:val="auto"/>
        </w:rPr>
      </w:pPr>
    </w:p>
    <w:p>
      <w:pPr>
        <w:ind w:left="500" w:right="120" w:hanging="465"/>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500" w:right="180" w:hanging="465"/>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500" w:right="60" w:hanging="465"/>
        <w:spacing w:after="0" w:line="28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00" w:right="120" w:hanging="465"/>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500" w:right="360" w:hanging="465"/>
        <w:spacing w:after="0" w:line="28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500" w:right="160" w:hanging="465"/>
        <w:spacing w:after="0" w:line="281"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00" w:right="220" w:hanging="465"/>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225" w:lineRule="exact"/>
        <w:rPr>
          <w:sz w:val="20"/>
          <w:szCs w:val="20"/>
          <w:color w:val="auto"/>
        </w:rPr>
      </w:pPr>
    </w:p>
    <w:p>
      <w:pPr>
        <w:ind w:right="9240" w:firstLine="8"/>
        <w:spacing w:after="0" w:line="266" w:lineRule="auto"/>
        <w:tabs>
          <w:tab w:leader="none" w:pos="95"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 xml:space="preserve">S / JAMES C. CLEMMER </w:t>
      </w:r>
      <w:r>
        <w:rPr>
          <w:rFonts w:ascii="Times New Roman" w:cs="Times New Roman" w:eastAsia="Times New Roman" w:hAnsi="Times New Roman"/>
          <w:sz w:val="18"/>
          <w:szCs w:val="18"/>
          <w:color w:val="auto"/>
        </w:rPr>
        <w:t>James C. Clemmer, President, Chief Executive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63" w:lineRule="exact"/>
        <w:rPr>
          <w:rFonts w:ascii="Times New Roman" w:cs="Times New Roman" w:eastAsia="Times New Roman" w:hAnsi="Times New Roman"/>
          <w:sz w:val="18"/>
          <w:szCs w:val="18"/>
          <w:color w:val="auto"/>
        </w:rPr>
      </w:pPr>
    </w:p>
    <w:p>
      <w:pPr>
        <w:jc w:val="both"/>
        <w:ind w:left="500" w:right="460" w:hanging="465"/>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420" w:hanging="465"/>
        <w:spacing w:after="0" w:line="281"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00" w:right="20" w:hanging="465"/>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sz w:val="20"/>
          <w:szCs w:val="20"/>
          <w:color w:val="auto"/>
        </w:rPr>
      </w:pPr>
    </w:p>
    <w:p>
      <w:pPr>
        <w:ind w:left="500" w:right="120" w:hanging="465"/>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500" w:right="180" w:hanging="465"/>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500" w:right="60" w:hanging="465"/>
        <w:spacing w:after="0" w:line="281"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500" w:right="120" w:hanging="465"/>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500" w:right="360" w:hanging="465"/>
        <w:spacing w:after="0" w:line="281"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500" w:right="160" w:hanging="465"/>
        <w:spacing w:after="0" w:line="281"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500" w:right="220" w:hanging="465"/>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MICHAEL C. GREINER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153" w:lineRule="exact"/>
        <w:rPr>
          <w:sz w:val="20"/>
          <w:szCs w:val="20"/>
          <w:color w:val="auto"/>
        </w:rPr>
      </w:pPr>
    </w:p>
    <w:p>
      <w:pPr>
        <w:ind w:left="500" w:right="140" w:hanging="465"/>
        <w:spacing w:after="0" w:line="28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2019 (the "Report") fully complies with the requirements of Section 13(a) or 15(d) of the Securities Exchange Act of 1934 (15 U.S.C. 78m or 78o(d)); and</w:t>
      </w:r>
    </w:p>
    <w:p>
      <w:pPr>
        <w:spacing w:after="0" w:line="1"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08" w:lineRule="exact"/>
        <w:rPr>
          <w:sz w:val="20"/>
          <w:szCs w:val="20"/>
          <w:color w:val="auto"/>
        </w:rPr>
      </w:pPr>
    </w:p>
    <w:p>
      <w:pPr>
        <w:ind w:left="500" w:right="140" w:hanging="465"/>
        <w:spacing w:after="0" w:line="281"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2019 (the "Report") fully complies with the requirements of Section 13(a) or 15(d) of the Securities Exchange Act of 1934 (15 U.S.C. 78m or 78o(d)); and</w:t>
      </w:r>
    </w:p>
    <w:p>
      <w:pPr>
        <w:spacing w:after="0" w:line="1"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2019</w:t>
      </w:r>
    </w:p>
    <w:p>
      <w:pPr>
        <w:spacing w:after="0" w:line="3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Michael C. Greiner, Executive Vice President and</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2019-12-28T14:03:04Z</dcterms:created>
  <dcterms:modified xsi:type="dcterms:W3CDTF">2019-12-28T14:03:04Z</dcterms:modified>
</cp:coreProperties>
</file>