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165735</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190500</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720" w:right="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August 31, 2019</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378"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374650</wp:posOffset>
            </wp:positionV>
            <wp:extent cx="3147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716280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4445</wp:posOffset>
            </wp:positionV>
            <wp:extent cx="3618865"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4060" w:type="dxa"/>
            <w:vAlign w:val="bottom"/>
          </w:tcPr>
          <w:p>
            <w:pPr>
              <w:jc w:val="center"/>
              <w:ind w:right="2122"/>
              <w:spacing w:after="0"/>
              <w:rPr>
                <w:sz w:val="20"/>
                <w:szCs w:val="20"/>
                <w:color w:val="auto"/>
              </w:rPr>
            </w:pPr>
            <w:r>
              <w:rPr>
                <w:rFonts w:ascii="Arial" w:cs="Arial" w:eastAsia="Arial" w:hAnsi="Arial"/>
                <w:sz w:val="18"/>
                <w:szCs w:val="18"/>
                <w:b w:val="1"/>
                <w:bCs w:val="1"/>
                <w:color w:val="auto"/>
                <w:w w:val="93"/>
              </w:rPr>
              <w:t>Delaware</w:t>
            </w:r>
          </w:p>
        </w:tc>
        <w:tc>
          <w:tcPr>
            <w:tcW w:w="3300" w:type="dxa"/>
            <w:vAlign w:val="bottom"/>
          </w:tcPr>
          <w:p>
            <w:pPr>
              <w:jc w:val="center"/>
              <w:ind w:left="2122"/>
              <w:spacing w:after="0"/>
              <w:rPr>
                <w:sz w:val="20"/>
                <w:szCs w:val="20"/>
                <w:color w:val="auto"/>
              </w:rPr>
            </w:pPr>
            <w:r>
              <w:rPr>
                <w:rFonts w:ascii="Arial" w:cs="Arial" w:eastAsia="Arial" w:hAnsi="Arial"/>
                <w:sz w:val="18"/>
                <w:szCs w:val="18"/>
                <w:b w:val="1"/>
                <w:bCs w:val="1"/>
                <w:color w:val="auto"/>
                <w:w w:val="89"/>
              </w:rPr>
              <w:t>11-3146460</w:t>
            </w:r>
          </w:p>
        </w:tc>
      </w:tr>
      <w:tr>
        <w:trPr>
          <w:trHeight w:val="180"/>
        </w:trPr>
        <w:tc>
          <w:tcPr>
            <w:tcW w:w="4060" w:type="dxa"/>
            <w:vAlign w:val="bottom"/>
          </w:tcPr>
          <w:p>
            <w:pPr>
              <w:jc w:val="center"/>
              <w:ind w:right="2122"/>
              <w:spacing w:after="0"/>
              <w:rPr>
                <w:sz w:val="20"/>
                <w:szCs w:val="20"/>
                <w:color w:val="auto"/>
              </w:rPr>
            </w:pPr>
            <w:r>
              <w:rPr>
                <w:rFonts w:ascii="Arial" w:cs="Arial" w:eastAsia="Arial" w:hAnsi="Arial"/>
                <w:sz w:val="14"/>
                <w:szCs w:val="14"/>
                <w:b w:val="1"/>
                <w:bCs w:val="1"/>
                <w:color w:val="auto"/>
                <w:w w:val="92"/>
              </w:rPr>
              <w:t>(State or other jurisdiction of</w:t>
            </w:r>
          </w:p>
        </w:tc>
        <w:tc>
          <w:tcPr>
            <w:tcW w:w="3300" w:type="dxa"/>
            <w:vAlign w:val="bottom"/>
          </w:tcPr>
          <w:p>
            <w:pPr>
              <w:jc w:val="center"/>
              <w:ind w:left="210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122"/>
              <w:spacing w:after="0"/>
              <w:rPr>
                <w:sz w:val="20"/>
                <w:szCs w:val="20"/>
                <w:color w:val="auto"/>
              </w:rPr>
            </w:pPr>
            <w:r>
              <w:rPr>
                <w:rFonts w:ascii="Arial" w:cs="Arial" w:eastAsia="Arial" w:hAnsi="Arial"/>
                <w:sz w:val="14"/>
                <w:szCs w:val="14"/>
                <w:b w:val="1"/>
                <w:bCs w:val="1"/>
                <w:color w:val="auto"/>
                <w:w w:val="93"/>
              </w:rPr>
              <w:t>incorporation or organization)</w:t>
            </w:r>
          </w:p>
        </w:tc>
        <w:tc>
          <w:tcPr>
            <w:tcW w:w="3300" w:type="dxa"/>
            <w:vAlign w:val="bottom"/>
          </w:tcPr>
          <w:p>
            <w:pPr>
              <w:jc w:val="center"/>
              <w:ind w:left="210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14 Plaza Drive, Latham, New York 12110</w:t>
      </w:r>
    </w:p>
    <w:p>
      <w:pPr>
        <w:spacing w:after="0" w:line="21"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100" w:type="dxa"/>
        <w:tblCellMar>
          <w:top w:w="0" w:type="dxa"/>
          <w:left w:w="0" w:type="dxa"/>
          <w:bottom w:w="0" w:type="dxa"/>
          <w:right w:w="0" w:type="dxa"/>
        </w:tblCellMar>
      </w:tblPr>
      <w:tr>
        <w:trPr>
          <w:trHeight w:val="186"/>
        </w:trPr>
        <w:tc>
          <w:tcPr>
            <w:tcW w:w="3320" w:type="dxa"/>
            <w:vAlign w:val="bottom"/>
          </w:tcPr>
          <w:p>
            <w:pPr>
              <w:jc w:val="center"/>
              <w:ind w:right="716"/>
              <w:spacing w:after="0"/>
              <w:rPr>
                <w:sz w:val="20"/>
                <w:szCs w:val="20"/>
                <w:color w:val="auto"/>
              </w:rPr>
            </w:pPr>
            <w:r>
              <w:rPr>
                <w:rFonts w:ascii="Arial" w:cs="Arial" w:eastAsia="Arial" w:hAnsi="Arial"/>
                <w:sz w:val="14"/>
                <w:szCs w:val="14"/>
                <w:b w:val="1"/>
                <w:bCs w:val="1"/>
                <w:color w:val="auto"/>
                <w:w w:val="89"/>
              </w:rPr>
              <w:t>Title of each class</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3"/>
              </w:rPr>
              <w:t>Trading symbol</w:t>
            </w:r>
          </w:p>
        </w:tc>
        <w:tc>
          <w:tcPr>
            <w:tcW w:w="3440" w:type="dxa"/>
            <w:vAlign w:val="bottom"/>
          </w:tcPr>
          <w:p>
            <w:pPr>
              <w:jc w:val="center"/>
              <w:ind w:left="67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3320" w:type="dxa"/>
            <w:vAlign w:val="bottom"/>
          </w:tcPr>
          <w:p>
            <w:pPr>
              <w:jc w:val="center"/>
              <w:ind w:right="736"/>
              <w:spacing w:after="0"/>
              <w:rPr>
                <w:sz w:val="20"/>
                <w:szCs w:val="20"/>
                <w:color w:val="auto"/>
              </w:rPr>
            </w:pPr>
            <w:r>
              <w:rPr>
                <w:rFonts w:ascii="Arial" w:cs="Arial" w:eastAsia="Arial" w:hAnsi="Arial"/>
                <w:sz w:val="18"/>
                <w:szCs w:val="18"/>
                <w:b w:val="1"/>
                <w:bCs w:val="1"/>
                <w:color w:val="auto"/>
                <w:w w:val="90"/>
              </w:rPr>
              <w:t>Common stock, par value $.01</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9"/>
              </w:rPr>
              <w:t>ANGO</w:t>
            </w:r>
          </w:p>
        </w:tc>
        <w:tc>
          <w:tcPr>
            <w:tcW w:w="3440" w:type="dxa"/>
            <w:vAlign w:val="bottom"/>
          </w:tcPr>
          <w:p>
            <w:pPr>
              <w:jc w:val="center"/>
              <w:ind w:left="67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70"/>
        </w:trPr>
        <w:tc>
          <w:tcPr>
            <w:tcW w:w="3320" w:type="dxa"/>
            <w:vAlign w:val="bottom"/>
          </w:tcPr>
          <w:p>
            <w:pPr>
              <w:jc w:val="center"/>
              <w:ind w:right="736"/>
              <w:spacing w:after="0"/>
              <w:rPr>
                <w:sz w:val="20"/>
                <w:szCs w:val="20"/>
                <w:color w:val="auto"/>
              </w:rPr>
            </w:pPr>
            <w:r>
              <w:rPr>
                <w:rFonts w:ascii="Arial" w:cs="Arial" w:eastAsia="Arial" w:hAnsi="Arial"/>
                <w:sz w:val="18"/>
                <w:szCs w:val="18"/>
                <w:b w:val="1"/>
                <w:bCs w:val="1"/>
                <w:color w:val="auto"/>
                <w:w w:val="88"/>
              </w:rPr>
              <w:t>Preferred Stock Purchase Rights</w:t>
            </w:r>
          </w:p>
        </w:tc>
        <w:tc>
          <w:tcPr>
            <w:tcW w:w="2560" w:type="dxa"/>
            <w:vAlign w:val="bottom"/>
          </w:tcPr>
          <w:p>
            <w:pPr>
              <w:spacing w:after="0"/>
              <w:rPr>
                <w:sz w:val="23"/>
                <w:szCs w:val="23"/>
                <w:color w:val="auto"/>
              </w:rPr>
            </w:pPr>
          </w:p>
        </w:tc>
        <w:tc>
          <w:tcPr>
            <w:tcW w:w="3440" w:type="dxa"/>
            <w:vAlign w:val="bottom"/>
          </w:tcPr>
          <w:p>
            <w:pPr>
              <w:jc w:val="center"/>
              <w:ind w:left="676"/>
              <w:spacing w:after="0"/>
              <w:rPr>
                <w:sz w:val="20"/>
                <w:szCs w:val="20"/>
                <w:color w:val="auto"/>
              </w:rPr>
            </w:pPr>
            <w:r>
              <w:rPr>
                <w:rFonts w:ascii="Arial" w:cs="Arial" w:eastAsia="Arial" w:hAnsi="Arial"/>
                <w:sz w:val="18"/>
                <w:szCs w:val="18"/>
                <w:b w:val="1"/>
                <w:bCs w:val="1"/>
                <w:color w:val="auto"/>
                <w:w w:val="93"/>
              </w:rPr>
              <w:t>NASDAQ Global Select Market</w:t>
            </w:r>
          </w:p>
        </w:tc>
      </w:tr>
    </w:tbl>
    <w:p>
      <w:pPr>
        <w:sectPr>
          <w:pgSz w:w="11900" w:h="16838" w:orient="portrait"/>
          <w:cols w:equalWidth="0" w:num="1">
            <w:col w:w="11240"/>
          </w:cols>
          <w:pgMar w:left="240" w:top="229" w:right="41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330835</wp:posOffset>
            </wp:positionV>
            <wp:extent cx="3147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0"/>
          <w:szCs w:val="20"/>
          <w:color w:val="auto"/>
        </w:rPr>
      </w:pPr>
    </w:p>
    <w:p>
      <w:pPr>
        <w:sectPr>
          <w:pgSz w:w="11900" w:h="16838" w:orient="portrait"/>
          <w:cols w:equalWidth="0" w:num="4">
            <w:col w:w="8900" w:space="160"/>
            <w:col w:w="260" w:space="100"/>
            <w:col w:w="160" w:space="180"/>
            <w:col w:w="1660"/>
          </w:cols>
          <w:pgMar w:left="240" w:top="121" w:right="239" w:bottom="1440" w:gutter="0" w:footer="0" w:header="0"/>
          <w:type w:val="continuous"/>
        </w:sectPr>
      </w:pPr>
    </w:p>
    <w:p>
      <w:pPr>
        <w:spacing w:after="0" w:line="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8460" w:space="180"/>
            <w:col w:w="260" w:space="100"/>
            <w:col w:w="160" w:space="180"/>
            <w:col w:w="220" w:space="80"/>
            <w:col w:w="1780"/>
          </w:cols>
          <w:pgMar w:left="240" w:top="121" w:right="239" w:bottom="1440" w:gutter="0" w:footer="0" w:header="0"/>
          <w:type w:val="continuous"/>
        </w:sectPr>
      </w:pPr>
    </w:p>
    <w:p>
      <w:pPr>
        <w:spacing w:after="0" w:line="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0"/>
          <w:szCs w:val="20"/>
          <w:color w:val="auto"/>
        </w:rPr>
      </w:pPr>
    </w:p>
    <w:p>
      <w:pPr>
        <w:ind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ind w:right="100" w:firstLine="432"/>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339"/>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560"/>
              <w:spacing w:after="0" w:line="221" w:lineRule="exact"/>
              <w:rPr>
                <w:sz w:val="20"/>
                <w:szCs w:val="20"/>
                <w:color w:val="auto"/>
              </w:rPr>
            </w:pPr>
            <w:r>
              <w:rPr>
                <w:rFonts w:ascii="MS PGothic" w:cs="MS PGothic" w:eastAsia="MS PGothic" w:hAnsi="MS PGothic"/>
                <w:sz w:val="22"/>
                <w:szCs w:val="22"/>
                <w:color w:val="auto"/>
              </w:rPr>
              <w:t>☒</w:t>
            </w:r>
          </w:p>
        </w:tc>
        <w:tc>
          <w:tcPr>
            <w:tcW w:w="488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560"/>
              <w:spacing w:after="0" w:line="221" w:lineRule="exact"/>
              <w:rPr>
                <w:sz w:val="20"/>
                <w:szCs w:val="20"/>
                <w:color w:val="auto"/>
              </w:rPr>
            </w:pPr>
            <w:r>
              <w:rPr>
                <w:rFonts w:ascii="MS PGothic" w:cs="MS PGothic" w:eastAsia="MS PGothic" w:hAnsi="MS PGothic"/>
                <w:sz w:val="22"/>
                <w:szCs w:val="22"/>
                <w:color w:val="auto"/>
              </w:rPr>
              <w:t>☐</w:t>
            </w:r>
          </w:p>
        </w:tc>
        <w:tc>
          <w:tcPr>
            <w:tcW w:w="488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00" w:type="dxa"/>
            <w:vAlign w:val="bottom"/>
          </w:tcPr>
          <w:p>
            <w:pPr>
              <w:ind w:left="560"/>
              <w:spacing w:after="0" w:line="221" w:lineRule="exact"/>
              <w:rPr>
                <w:sz w:val="20"/>
                <w:szCs w:val="20"/>
                <w:color w:val="auto"/>
              </w:rPr>
            </w:pPr>
            <w:r>
              <w:rPr>
                <w:rFonts w:ascii="MS PGothic" w:cs="MS PGothic" w:eastAsia="MS PGothic" w:hAnsi="MS PGothic"/>
                <w:sz w:val="22"/>
                <w:szCs w:val="22"/>
                <w:color w:val="auto"/>
              </w:rPr>
              <w:t>☐</w:t>
            </w:r>
          </w:p>
        </w:tc>
        <w:tc>
          <w:tcPr>
            <w:tcW w:w="48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62" w:lineRule="exact"/>
        <w:rPr>
          <w:sz w:val="20"/>
          <w:szCs w:val="20"/>
          <w:color w:val="auto"/>
        </w:rPr>
      </w:pPr>
    </w:p>
    <w:p>
      <w:pPr>
        <w:ind w:left="440"/>
        <w:spacing w:after="0" w:line="207" w:lineRule="exact"/>
        <w:tabs>
          <w:tab w:leader="none" w:pos="878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2840" w:type="dxa"/>
            <w:vAlign w:val="bottom"/>
          </w:tcPr>
          <w:p>
            <w:pPr>
              <w:spacing w:after="0"/>
              <w:rPr>
                <w:sz w:val="14"/>
                <w:szCs w:val="14"/>
                <w:color w:val="auto"/>
              </w:rPr>
            </w:pPr>
          </w:p>
        </w:tc>
        <w:tc>
          <w:tcPr>
            <w:tcW w:w="560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92"/>
              </w:rPr>
              <w:t>Outstanding as of October 2, 2019</w:t>
            </w:r>
          </w:p>
        </w:tc>
      </w:tr>
      <w:tr>
        <w:trPr>
          <w:trHeight w:val="20"/>
        </w:trPr>
        <w:tc>
          <w:tcPr>
            <w:tcW w:w="2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64"/>
        </w:trPr>
        <w:tc>
          <w:tcPr>
            <w:tcW w:w="58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Common Stock, par value $.01</w:t>
            </w:r>
          </w:p>
        </w:tc>
        <w:tc>
          <w:tcPr>
            <w:tcW w:w="39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37,619,875</w:t>
            </w:r>
          </w:p>
        </w:tc>
        <w:tc>
          <w:tcPr>
            <w:tcW w:w="1680" w:type="dxa"/>
            <w:vAlign w:val="bottom"/>
          </w:tcPr>
          <w:p>
            <w:pPr>
              <w:spacing w:after="0"/>
              <w:rPr>
                <w:sz w:val="22"/>
                <w:szCs w:val="22"/>
                <w:color w:val="auto"/>
              </w:rPr>
            </w:pPr>
          </w:p>
        </w:tc>
      </w:tr>
      <w:tr>
        <w:trPr>
          <w:trHeight w:val="459"/>
        </w:trPr>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115"/>
        </w:trPr>
        <w:tc>
          <w:tcPr>
            <w:tcW w:w="2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80" w:type="dxa"/>
            <w:vAlign w:val="bottom"/>
            <w:tcBorders>
              <w:bottom w:val="single" w:sz="8" w:color="0000EE"/>
            </w:tcBorders>
            <w:gridSpan w:val="9"/>
          </w:tcPr>
          <w:p>
            <w:pPr>
              <w:jc w:val="center"/>
              <w:spacing w:after="0" w:line="189" w:lineRule="exact"/>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Financial Information</w:t>
              </w:r>
            </w:hyperlink>
          </w:p>
        </w:tc>
        <w:tc>
          <w:tcPr>
            <w:tcW w:w="360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4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Loss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372"/>
        </w:trPr>
        <w:tc>
          <w:tcPr>
            <w:tcW w:w="1040" w:type="dxa"/>
            <w:vAlign w:val="bottom"/>
          </w:tcPr>
          <w:p>
            <w:pPr>
              <w:spacing w:after="0"/>
              <w:rPr>
                <w:sz w:val="24"/>
                <w:szCs w:val="24"/>
                <w:color w:val="auto"/>
              </w:rPr>
            </w:pPr>
          </w:p>
        </w:tc>
        <w:tc>
          <w:tcPr>
            <w:tcW w:w="29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Balance Sheets (unaudited)</w:t>
              </w:r>
            </w:hyperlink>
          </w:p>
        </w:tc>
        <w:tc>
          <w:tcPr>
            <w:tcW w:w="1440" w:type="dxa"/>
            <w:vAlign w:val="bottom"/>
            <w:tcBorders>
              <w:top w:val="single" w:sz="8" w:color="0000EE"/>
            </w:tcBorders>
            <w:gridSpan w:val="5"/>
          </w:tcPr>
          <w:p>
            <w:pPr>
              <w:spacing w:after="0"/>
              <w:rPr>
                <w:sz w:val="24"/>
                <w:szCs w:val="24"/>
                <w:color w:val="auto"/>
              </w:rPr>
            </w:pPr>
          </w:p>
        </w:tc>
        <w:tc>
          <w:tcPr>
            <w:tcW w:w="5040" w:type="dxa"/>
            <w:vAlign w:val="bottom"/>
            <w:gridSpan w:val="7"/>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37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(unaudited)</w:t>
              </w:r>
            </w:hyperlink>
          </w:p>
        </w:tc>
        <w:tc>
          <w:tcPr>
            <w:tcW w:w="5700" w:type="dxa"/>
            <w:vAlign w:val="bottom"/>
            <w:gridSpan w:val="9"/>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44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Stockholders’ Equity (unaudited)</w:t>
              </w:r>
            </w:hyperlink>
          </w:p>
        </w:tc>
        <w:tc>
          <w:tcPr>
            <w:tcW w:w="5020" w:type="dxa"/>
            <w:vAlign w:val="bottom"/>
            <w:gridSpan w:val="6"/>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40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Consolidated Financial Statements (unaudited)</w:t>
              </w:r>
            </w:hyperlink>
          </w:p>
        </w:tc>
        <w:tc>
          <w:tcPr>
            <w:tcW w:w="5420" w:type="dxa"/>
            <w:vAlign w:val="bottom"/>
            <w:gridSpan w:val="8"/>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9</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3"/>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20"/>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Quantitative and Qualitative Disclosures About Market Risk</w:t>
              </w:r>
            </w:hyperlink>
          </w:p>
        </w:tc>
        <w:tc>
          <w:tcPr>
            <w:tcW w:w="262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3"/>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7"/>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Controls and Procedures</w:t>
              </w:r>
            </w:hyperlink>
          </w:p>
        </w:tc>
        <w:tc>
          <w:tcPr>
            <w:tcW w:w="47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6"/>
              </w:rPr>
            </w:pPr>
            <w:hyperlink w:anchor="page38">
              <w:r>
                <w:rPr>
                  <w:rFonts w:ascii="Arial" w:cs="Arial" w:eastAsia="Arial" w:hAnsi="Arial"/>
                  <w:sz w:val="18"/>
                  <w:szCs w:val="18"/>
                  <w:b w:val="1"/>
                  <w:bCs w:val="1"/>
                  <w:color w:val="0000EE"/>
                  <w:w w:val="96"/>
                </w:rPr>
                <w:t>Part II: Other Information</w:t>
              </w:r>
            </w:hyperlink>
          </w:p>
        </w:tc>
        <w:tc>
          <w:tcPr>
            <w:tcW w:w="370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EE"/>
                <w:w w:val="86"/>
              </w:rPr>
            </w:pPr>
            <w:hyperlink w:anchor="page38">
              <w:r>
                <w:rPr>
                  <w:rFonts w:ascii="Arial" w:cs="Arial" w:eastAsia="Arial" w:hAnsi="Arial"/>
                  <w:sz w:val="18"/>
                  <w:szCs w:val="18"/>
                  <w:b w:val="1"/>
                  <w:bCs w:val="1"/>
                  <w:color w:val="0000EE"/>
                  <w:w w:val="86"/>
                </w:rPr>
                <w:t>Legal Proceedings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Risk Factors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Unregistered Sales of Equity Securities and Use of Proceeds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360" w:type="dxa"/>
            <w:vAlign w:val="bottom"/>
            <w:gridSpan w:val="8"/>
            <w:shd w:val="clear" w:color="auto" w:fill="0000EE"/>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gridSpan w:val="16"/>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Defaults on Senior Securities</w:t>
              </w:r>
            </w:hyperlink>
          </w:p>
        </w:tc>
        <w:tc>
          <w:tcPr>
            <w:tcW w:w="488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4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6"/>
          </w:tcPr>
          <w:p>
            <w:pPr>
              <w:spacing w:after="0"/>
              <w:rPr>
                <w:rFonts w:ascii="Arial" w:cs="Arial" w:eastAsia="Arial" w:hAnsi="Arial"/>
                <w:sz w:val="18"/>
                <w:szCs w:val="18"/>
                <w:b w:val="1"/>
                <w:bCs w:val="1"/>
                <w:color w:val="0000EE"/>
                <w:w w:val="87"/>
              </w:rPr>
            </w:pPr>
            <w:hyperlink w:anchor="page41">
              <w:r>
                <w:rPr>
                  <w:rFonts w:ascii="Arial" w:cs="Arial" w:eastAsia="Arial" w:hAnsi="Arial"/>
                  <w:sz w:val="18"/>
                  <w:szCs w:val="18"/>
                  <w:b w:val="1"/>
                  <w:bCs w:val="1"/>
                  <w:color w:val="0000EE"/>
                  <w:w w:val="87"/>
                </w:rPr>
                <w:t>Mine Safety Disclosures</w:t>
              </w:r>
            </w:hyperlink>
          </w:p>
        </w:tc>
        <w:tc>
          <w:tcPr>
            <w:tcW w:w="360" w:type="dxa"/>
            <w:vAlign w:val="bottom"/>
            <w:gridSpan w:val="2"/>
          </w:tcPr>
          <w:p>
            <w:pPr>
              <w:spacing w:after="0"/>
              <w:rPr>
                <w:sz w:val="24"/>
                <w:szCs w:val="24"/>
                <w:color w:val="auto"/>
              </w:rPr>
            </w:pPr>
          </w:p>
        </w:tc>
        <w:tc>
          <w:tcPr>
            <w:tcW w:w="7240" w:type="dxa"/>
            <w:vAlign w:val="bottom"/>
            <w:gridSpan w:val="1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EE"/>
                <w:w w:val="93"/>
              </w:rPr>
            </w:pPr>
            <w:hyperlink w:anchor="page41">
              <w:r>
                <w:rPr>
                  <w:rFonts w:ascii="Arial" w:cs="Arial" w:eastAsia="Arial" w:hAnsi="Arial"/>
                  <w:sz w:val="18"/>
                  <w:szCs w:val="18"/>
                  <w:b w:val="1"/>
                  <w:bCs w:val="1"/>
                  <w:color w:val="0000EE"/>
                  <w:w w:val="93"/>
                </w:rPr>
                <w:t>Other Information</w:t>
              </w:r>
            </w:hyperlink>
          </w:p>
        </w:tc>
        <w:tc>
          <w:tcPr>
            <w:tcW w:w="400" w:type="dxa"/>
            <w:vAlign w:val="bottom"/>
            <w:gridSpan w:val="2"/>
          </w:tcPr>
          <w:p>
            <w:pPr>
              <w:spacing w:after="0"/>
              <w:rPr>
                <w:sz w:val="24"/>
                <w:szCs w:val="24"/>
                <w:color w:val="auto"/>
              </w:rPr>
            </w:pPr>
          </w:p>
        </w:tc>
        <w:tc>
          <w:tcPr>
            <w:tcW w:w="7600" w:type="dxa"/>
            <w:vAlign w:val="bottom"/>
            <w:gridSpan w:val="1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EE"/>
                <w:w w:val="88"/>
              </w:rPr>
            </w:pPr>
            <w:hyperlink w:anchor="page42">
              <w:r>
                <w:rPr>
                  <w:rFonts w:ascii="Arial" w:cs="Arial" w:eastAsia="Arial" w:hAnsi="Arial"/>
                  <w:sz w:val="18"/>
                  <w:szCs w:val="18"/>
                  <w:b w:val="1"/>
                  <w:bCs w:val="1"/>
                  <w:color w:val="0000EE"/>
                  <w:w w:val="88"/>
                </w:rPr>
                <w:t>Exhibits</w:t>
              </w:r>
            </w:hyperlink>
          </w:p>
        </w:tc>
        <w:tc>
          <w:tcPr>
            <w:tcW w:w="800" w:type="dxa"/>
            <w:vAlign w:val="bottom"/>
            <w:gridSpan w:val="3"/>
          </w:tcPr>
          <w:p>
            <w:pPr>
              <w:spacing w:after="0"/>
              <w:rPr>
                <w:sz w:val="24"/>
                <w:szCs w:val="24"/>
                <w:color w:val="auto"/>
              </w:rPr>
            </w:pPr>
          </w:p>
        </w:tc>
        <w:tc>
          <w:tcPr>
            <w:tcW w:w="8000" w:type="dxa"/>
            <w:vAlign w:val="bottom"/>
            <w:gridSpan w:val="17"/>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507"/>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100" w:type="dxa"/>
            <w:vAlign w:val="bottom"/>
            <w:gridSpan w:val="17"/>
          </w:tcPr>
          <w:p>
            <w:pPr>
              <w:jc w:val="right"/>
              <w:ind w:right="10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00" w:lineRule="exact"/>
        <w:rPr>
          <w:sz w:val="20"/>
          <w:szCs w:val="20"/>
          <w:color w:val="auto"/>
        </w:rPr>
      </w:pPr>
    </w:p>
    <w:p>
      <w:pPr>
        <w:spacing w:after="0" w:line="277"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20955</wp:posOffset>
            </wp:positionV>
            <wp:extent cx="1586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Cost of sales (exclusive of intangible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Gross profit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expenses: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140"/>
        <w:spacing w:after="0"/>
        <w:tabs>
          <w:tab w:leader="none" w:pos="1360" w:val="left"/>
        </w:tabs>
        <w:rPr>
          <w:sz w:val="20"/>
          <w:szCs w:val="20"/>
          <w:color w:val="auto"/>
        </w:rPr>
      </w:pPr>
      <w:r>
        <w:rPr>
          <w:rFonts w:ascii="Arial" w:cs="Arial" w:eastAsia="Arial" w:hAnsi="Arial"/>
          <w:sz w:val="14"/>
          <w:szCs w:val="14"/>
          <w:color w:val="auto"/>
        </w:rPr>
        <w:t>Aug 31, 2019</w:t>
      </w:r>
      <w:r>
        <w:rPr>
          <w:sz w:val="20"/>
          <w:szCs w:val="20"/>
          <w:color w:val="auto"/>
        </w:rPr>
        <w:tab/>
      </w:r>
      <w:r>
        <w:rPr>
          <w:rFonts w:ascii="Arial" w:cs="Arial" w:eastAsia="Arial" w:hAnsi="Arial"/>
          <w:sz w:val="13"/>
          <w:szCs w:val="13"/>
          <w:color w:val="auto"/>
        </w:rPr>
        <w:t>Aug 31, 2018</w:t>
      </w:r>
    </w:p>
    <w:p>
      <w:pPr>
        <w:spacing w:after="0" w:line="59" w:lineRule="exact"/>
        <w:rPr>
          <w:sz w:val="20"/>
          <w:szCs w:val="20"/>
          <w:color w:val="auto"/>
        </w:rPr>
      </w:pPr>
    </w:p>
    <w:p>
      <w:pPr>
        <w:spacing w:after="0"/>
        <w:tabs>
          <w:tab w:leader="none" w:pos="480" w:val="left"/>
          <w:tab w:leader="none" w:pos="1220" w:val="left"/>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66,042</w:t>
        <w:tab/>
        <w:t>$</w:t>
      </w:r>
      <w:r>
        <w:rPr>
          <w:sz w:val="20"/>
          <w:szCs w:val="20"/>
          <w:color w:val="auto"/>
        </w:rPr>
        <w:tab/>
      </w:r>
      <w:r>
        <w:rPr>
          <w:rFonts w:ascii="Arial" w:cs="Arial" w:eastAsia="Arial" w:hAnsi="Arial"/>
          <w:sz w:val="16"/>
          <w:szCs w:val="16"/>
          <w:color w:val="auto"/>
        </w:rPr>
        <w:t>63,943</w:t>
      </w:r>
    </w:p>
    <w:p>
      <w:pPr>
        <w:spacing w:after="0" w:line="63" w:lineRule="exact"/>
        <w:rPr>
          <w:sz w:val="20"/>
          <w:szCs w:val="20"/>
          <w:color w:val="auto"/>
        </w:rPr>
      </w:pPr>
    </w:p>
    <w:p>
      <w:pPr>
        <w:jc w:val="both"/>
        <w:ind w:left="500"/>
        <w:spacing w:after="0"/>
        <w:tabs>
          <w:tab w:leader="none" w:pos="1720" w:val="left"/>
        </w:tabs>
        <w:rPr>
          <w:sz w:val="20"/>
          <w:szCs w:val="20"/>
          <w:color w:val="auto"/>
        </w:rPr>
      </w:pPr>
      <w:r>
        <w:rPr>
          <w:rFonts w:ascii="Arial" w:cs="Arial" w:eastAsia="Arial" w:hAnsi="Arial"/>
          <w:sz w:val="18"/>
          <w:szCs w:val="18"/>
          <w:color w:val="auto"/>
        </w:rPr>
        <w:t>27,825</w:t>
      </w:r>
      <w:r>
        <w:rPr>
          <w:sz w:val="20"/>
          <w:szCs w:val="20"/>
          <w:color w:val="auto"/>
        </w:rPr>
        <w:tab/>
      </w:r>
      <w:r>
        <w:rPr>
          <w:rFonts w:ascii="Arial" w:cs="Arial" w:eastAsia="Arial" w:hAnsi="Arial"/>
          <w:sz w:val="18"/>
          <w:szCs w:val="18"/>
          <w:color w:val="auto"/>
        </w:rPr>
        <w:t>27,990</w:t>
      </w:r>
    </w:p>
    <w:p>
      <w:pPr>
        <w:spacing w:after="0" w:line="77" w:lineRule="exact"/>
        <w:rPr>
          <w:sz w:val="20"/>
          <w:szCs w:val="20"/>
          <w:color w:val="auto"/>
        </w:rPr>
      </w:pPr>
    </w:p>
    <w:p>
      <w:pPr>
        <w:jc w:val="both"/>
        <w:ind w:left="500"/>
        <w:spacing w:after="0"/>
        <w:tabs>
          <w:tab w:leader="none" w:pos="1720" w:val="left"/>
        </w:tabs>
        <w:rPr>
          <w:sz w:val="20"/>
          <w:szCs w:val="20"/>
          <w:color w:val="auto"/>
        </w:rPr>
      </w:pPr>
      <w:r>
        <w:rPr>
          <w:rFonts w:ascii="Arial" w:cs="Arial" w:eastAsia="Arial" w:hAnsi="Arial"/>
          <w:sz w:val="18"/>
          <w:szCs w:val="18"/>
          <w:color w:val="auto"/>
        </w:rPr>
        <w:t>38,217</w:t>
      </w:r>
      <w:r>
        <w:rPr>
          <w:sz w:val="20"/>
          <w:szCs w:val="20"/>
          <w:color w:val="auto"/>
        </w:rPr>
        <w:tab/>
      </w:r>
      <w:r>
        <w:rPr>
          <w:rFonts w:ascii="Arial" w:cs="Arial" w:eastAsia="Arial" w:hAnsi="Arial"/>
          <w:sz w:val="18"/>
          <w:szCs w:val="18"/>
          <w:color w:val="auto"/>
        </w:rPr>
        <w:t>35,953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15093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8360" w:space="720"/>
            <w:col w:w="234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9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6,292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7,374</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19,380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18,405</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Acquisition, restructuring and other items, net</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42,082</w:t>
            </w:r>
          </w:p>
        </w:tc>
        <w:tc>
          <w:tcPr>
            <w:tcW w:w="0" w:type="dxa"/>
            <w:vAlign w:val="bottom"/>
          </w:tcPr>
          <w:p>
            <w:pPr>
              <w:spacing w:after="0"/>
              <w:rPr>
                <w:sz w:val="1"/>
                <w:szCs w:val="1"/>
                <w:color w:val="auto"/>
              </w:rPr>
            </w:pPr>
          </w:p>
        </w:tc>
      </w:tr>
      <w:tr>
        <w:trPr>
          <w:trHeight w:val="237"/>
        </w:trPr>
        <w:tc>
          <w:tcPr>
            <w:tcW w:w="9040" w:type="dxa"/>
            <w:vAlign w:val="bottom"/>
          </w:tcPr>
          <w:p>
            <w:pPr>
              <w:ind w:left="720"/>
              <w:spacing w:after="0"/>
              <w:rPr>
                <w:sz w:val="20"/>
                <w:szCs w:val="20"/>
                <w:color w:val="auto"/>
              </w:rPr>
            </w:pPr>
            <w:r>
              <w:rPr>
                <w:rFonts w:ascii="Arial" w:cs="Arial" w:eastAsia="Arial" w:hAnsi="Arial"/>
                <w:sz w:val="18"/>
                <w:szCs w:val="18"/>
                <w:color w:val="auto"/>
              </w:rPr>
              <w:t>Operating loss</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(expenses) income:</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9040" w:type="dxa"/>
            <w:vAlign w:val="bottom"/>
          </w:tcPr>
          <w:p>
            <w:pPr>
              <w:ind w:left="720"/>
              <w:spacing w:after="0"/>
              <w:rPr>
                <w:sz w:val="20"/>
                <w:szCs w:val="20"/>
                <w:color w:val="auto"/>
              </w:rPr>
            </w:pPr>
            <w:r>
              <w:rPr>
                <w:rFonts w:ascii="Arial" w:cs="Arial" w:eastAsia="Arial" w:hAnsi="Arial"/>
                <w:sz w:val="18"/>
                <w:szCs w:val="18"/>
                <w:color w:val="auto"/>
              </w:rPr>
              <w:t>Total other expenses, net</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 before income tax benefit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Income tax benefit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loss from continuing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37"/>
        </w:trPr>
        <w:tc>
          <w:tcPr>
            <w:tcW w:w="9040" w:type="dxa"/>
            <w:vAlign w:val="bottom"/>
          </w:tcPr>
          <w:p>
            <w:pPr>
              <w:ind w:left="720"/>
              <w:spacing w:after="0"/>
              <w:rPr>
                <w:sz w:val="20"/>
                <w:szCs w:val="20"/>
                <w:color w:val="auto"/>
              </w:rPr>
            </w:pPr>
            <w:r>
              <w:rPr>
                <w:rFonts w:ascii="Arial" w:cs="Arial" w:eastAsia="Arial" w:hAnsi="Arial"/>
                <w:sz w:val="18"/>
                <w:szCs w:val="18"/>
                <w:color w:val="auto"/>
              </w:rPr>
              <w:t>Income from discontinued operations, net of income tax</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Loss per share - continuing operations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9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4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67"/>
        </w:trPr>
        <w:tc>
          <w:tcPr>
            <w:tcW w:w="90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9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Income per share - discontinued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67"/>
        </w:trPr>
        <w:tc>
          <w:tcPr>
            <w:tcW w:w="90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90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Loss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9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4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67"/>
        </w:trPr>
        <w:tc>
          <w:tcPr>
            <w:tcW w:w="90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9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37,783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37,323</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37,783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37,323</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color w:val="auto"/>
              </w:rPr>
              <w:t>Three Months Ended</w:t>
            </w:r>
          </w:p>
        </w:tc>
      </w:tr>
      <w:tr>
        <w:trPr>
          <w:trHeight w:val="264"/>
        </w:trPr>
        <w:tc>
          <w:tcPr>
            <w:tcW w:w="8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Aug 31, 2019</w:t>
            </w:r>
          </w:p>
        </w:tc>
        <w:tc>
          <w:tcPr>
            <w:tcW w:w="220" w:type="dxa"/>
            <w:vAlign w:val="bottom"/>
          </w:tcPr>
          <w:p>
            <w:pPr>
              <w:spacing w:after="0"/>
              <w:rPr>
                <w:sz w:val="22"/>
                <w:szCs w:val="22"/>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color w:val="auto"/>
              </w:rPr>
              <w:t>Aug 31, 2018</w:t>
            </w: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Other comprehensive loss, before tax:</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on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8320" w:type="dxa"/>
            <w:vAlign w:val="bottom"/>
          </w:tcPr>
          <w:p>
            <w:pPr>
              <w:ind w:left="72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before tax</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8320" w:type="dxa"/>
            <w:vAlign w:val="bottom"/>
          </w:tcPr>
          <w:p>
            <w:pPr>
              <w:ind w:left="720"/>
              <w:spacing w:after="0"/>
              <w:rPr>
                <w:sz w:val="20"/>
                <w:szCs w:val="20"/>
                <w:color w:val="auto"/>
              </w:rPr>
            </w:pPr>
            <w:r>
              <w:rPr>
                <w:rFonts w:ascii="Arial" w:cs="Arial" w:eastAsia="Arial" w:hAnsi="Arial"/>
                <w:sz w:val="18"/>
                <w:szCs w:val="18"/>
                <w:color w:val="auto"/>
              </w:rPr>
              <w:t>Income tax expense related to items of other comprehensive income</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loss, net of tax</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r>
      <w:tr>
        <w:trPr>
          <w:trHeight w:val="27"/>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22" w:right="29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Aug 31, 2019</w:t>
            </w:r>
          </w:p>
        </w:tc>
        <w:tc>
          <w:tcPr>
            <w:tcW w:w="2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Arial" w:cs="Arial" w:eastAsia="Arial" w:hAnsi="Arial"/>
                <w:sz w:val="14"/>
                <w:szCs w:val="14"/>
                <w:color w:val="auto"/>
              </w:rPr>
              <w:t>May 31, 2019</w:t>
            </w:r>
          </w:p>
        </w:tc>
        <w:tc>
          <w:tcPr>
            <w:tcW w:w="0" w:type="dxa"/>
            <w:vAlign w:val="bottom"/>
          </w:tcPr>
          <w:p>
            <w:pPr>
              <w:spacing w:after="0"/>
              <w:rPr>
                <w:sz w:val="1"/>
                <w:szCs w:val="1"/>
                <w:color w:val="auto"/>
              </w:rPr>
            </w:pPr>
          </w:p>
        </w:tc>
      </w:tr>
      <w:tr>
        <w:trPr>
          <w:trHeight w:val="25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227,641</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Accounts receivable, net of allowances of $1,434 and $1,906 respectively</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32,540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43,577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40,071</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4,003</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166,357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315,292</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24,258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3,835</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141,655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145,387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347,666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347,666</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690,364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836,438</w:t>
            </w:r>
          </w:p>
        </w:tc>
        <w:tc>
          <w:tcPr>
            <w:tcW w:w="0" w:type="dxa"/>
            <w:vAlign w:val="bottom"/>
          </w:tcPr>
          <w:p>
            <w:pPr>
              <w:spacing w:after="0"/>
              <w:rPr>
                <w:sz w:val="1"/>
                <w:szCs w:val="1"/>
                <w:color w:val="auto"/>
              </w:rPr>
            </w:pPr>
          </w:p>
        </w:tc>
      </w:tr>
      <w:tr>
        <w:trPr>
          <w:trHeight w:val="67"/>
        </w:trPr>
        <w:tc>
          <w:tcPr>
            <w:tcW w:w="87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22,829</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22,693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38,338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Current portion of contingent consideration</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4,635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47,172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73,302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124,407</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Contingent consideration, net of current portion</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10,952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8,851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14,542</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221,623</w:t>
            </w:r>
          </w:p>
        </w:tc>
        <w:tc>
          <w:tcPr>
            <w:tcW w:w="0" w:type="dxa"/>
            <w:vAlign w:val="bottom"/>
          </w:tcPr>
          <w:p>
            <w:pPr>
              <w:spacing w:after="0"/>
              <w:rPr>
                <w:sz w:val="1"/>
                <w:szCs w:val="1"/>
                <w:color w:val="auto"/>
              </w:rPr>
            </w:pPr>
          </w:p>
        </w:tc>
      </w:tr>
      <w:tr>
        <w:trPr>
          <w:trHeight w:val="223"/>
        </w:trPr>
        <w:tc>
          <w:tcPr>
            <w:tcW w:w="8700" w:type="dxa"/>
            <w:vAlign w:val="bottom"/>
          </w:tcPr>
          <w:p>
            <w:pPr>
              <w:ind w:left="40"/>
              <w:spacing w:after="0"/>
              <w:rPr>
                <w:sz w:val="20"/>
                <w:szCs w:val="20"/>
                <w:color w:val="auto"/>
              </w:rPr>
            </w:pPr>
            <w:r>
              <w:rPr>
                <w:rFonts w:ascii="Arial" w:cs="Arial" w:eastAsia="Arial" w:hAnsi="Arial"/>
                <w:sz w:val="18"/>
                <w:szCs w:val="18"/>
                <w:color w:val="auto"/>
              </w:rPr>
              <w:t>Commitments and contingencies (Note 15)</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w w:val="98"/>
              </w:rPr>
              <w:t>Preferred stock, par value $.01 per share, 5,000,000 shares authorized; no shares issued and outstanding</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par value $.01 per share, 75,000,000 shares authorized; 38,359,875 and 37,984,382 shares issued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37,989,875 and 37,614,382 shares outstanding at August 31, 2019 and May 31, 2019,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555,723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555,040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66,469</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Treasury stock, 370,000 shares at August 31, 2019 and May 31, 2019, respectively</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(5,714)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614,073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614,815</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690,364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836,438</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2580"/>
              <w:spacing w:after="0"/>
              <w:rPr>
                <w:sz w:val="20"/>
                <w:szCs w:val="20"/>
                <w:color w:val="auto"/>
              </w:rPr>
            </w:pPr>
            <w:r>
              <w:rPr>
                <w:rFonts w:ascii="Arial" w:cs="Arial" w:eastAsia="Arial" w:hAnsi="Arial"/>
                <w:sz w:val="18"/>
                <w:szCs w:val="18"/>
                <w:color w:val="auto"/>
                <w:w w:val="86"/>
              </w:rPr>
              <w:t>The accompanying notes are an integral part of these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8700" w:type="dxa"/>
            <w:vAlign w:val="bottom"/>
          </w:tcPr>
          <w:p>
            <w:pPr>
              <w:ind w:left="56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color w:val="auto"/>
              </w:rPr>
              <w:t>Three Months Ended</w:t>
            </w:r>
          </w:p>
        </w:tc>
      </w:tr>
      <w:tr>
        <w:trPr>
          <w:trHeight w:val="264"/>
        </w:trPr>
        <w:tc>
          <w:tcPr>
            <w:tcW w:w="8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Aug 31, 2019</w:t>
            </w:r>
          </w:p>
        </w:tc>
        <w:tc>
          <w:tcPr>
            <w:tcW w:w="200" w:type="dxa"/>
            <w:vAlign w:val="bottom"/>
          </w:tcPr>
          <w:p>
            <w:pPr>
              <w:spacing w:after="0"/>
              <w:rPr>
                <w:sz w:val="22"/>
                <w:szCs w:val="22"/>
                <w:color w:val="auto"/>
              </w:rPr>
            </w:pPr>
          </w:p>
        </w:tc>
        <w:tc>
          <w:tcPr>
            <w:tcW w:w="1160" w:type="dxa"/>
            <w:vAlign w:val="bottom"/>
          </w:tcPr>
          <w:p>
            <w:pPr>
              <w:jc w:val="right"/>
              <w:ind w:right="191"/>
              <w:spacing w:after="0"/>
              <w:rPr>
                <w:sz w:val="20"/>
                <w:szCs w:val="20"/>
                <w:color w:val="auto"/>
              </w:rPr>
            </w:pPr>
            <w:r>
              <w:rPr>
                <w:rFonts w:ascii="Arial" w:cs="Arial" w:eastAsia="Arial" w:hAnsi="Arial"/>
                <w:sz w:val="14"/>
                <w:szCs w:val="14"/>
                <w:color w:val="auto"/>
              </w:rPr>
              <w:t>Aug 31, 2018</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5,207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5,599</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accounts receivable allowances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and intangible asset impairments and disposals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660"/>
              <w:spacing w:after="0"/>
              <w:rPr>
                <w:sz w:val="20"/>
                <w:szCs w:val="20"/>
                <w:color w:val="auto"/>
              </w:rPr>
            </w:pPr>
            <w:r>
              <w:rPr>
                <w:rFonts w:ascii="Arial" w:cs="Arial" w:eastAsia="Arial" w:hAnsi="Arial"/>
                <w:sz w:val="18"/>
                <w:szCs w:val="18"/>
                <w:color w:val="auto"/>
              </w:rPr>
              <w:t>Write-off of other assets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Accounts payable, accrued and other liabilities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(13,429)</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(8,873)</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 of intangibles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acquisitions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(37,682)</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long-term debt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 on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Payment of acquisition related contingent consideration</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(outlays) from exercise of stock options and employee stock purchase plan</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(135,749)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(2,645)</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color w:val="auto"/>
              </w:rPr>
              <w:t>Decrease in cash and cash equivalents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(49,334)</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74,096</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83,649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24,762</w:t>
            </w:r>
          </w:p>
        </w:tc>
      </w:tr>
      <w:tr>
        <w:trPr>
          <w:trHeight w:val="67"/>
        </w:trPr>
        <w:tc>
          <w:tcPr>
            <w:tcW w:w="85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305"/>
        </w:trPr>
        <w:tc>
          <w:tcPr>
            <w:tcW w:w="8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Accrual for capital expenditures incurred during the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200" w:type="dxa"/>
            <w:vAlign w:val="bottom"/>
            <w:gridSpan w:val="5"/>
            <w:vMerge w:val="restart"/>
          </w:tcPr>
          <w:p>
            <w:pPr>
              <w:ind w:left="60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Accumulated</w:t>
            </w:r>
          </w:p>
        </w:tc>
        <w:tc>
          <w:tcPr>
            <w:tcW w:w="2000" w:type="dxa"/>
            <w:vAlign w:val="bottom"/>
            <w:gridSpan w:val="5"/>
            <w:vMerge w:val="restart"/>
          </w:tcPr>
          <w:p>
            <w:pPr>
              <w:ind w:left="520"/>
              <w:spacing w:after="0"/>
              <w:rPr>
                <w:sz w:val="20"/>
                <w:szCs w:val="20"/>
                <w:color w:val="auto"/>
              </w:rPr>
            </w:pPr>
            <w:r>
              <w:rPr>
                <w:rFonts w:ascii="Arial" w:cs="Arial" w:eastAsia="Arial" w:hAnsi="Arial"/>
                <w:sz w:val="14"/>
                <w:szCs w:val="14"/>
                <w:color w:val="auto"/>
              </w:rPr>
              <w:t>Treasury Stock</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220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3"/>
              </w:rPr>
              <w:t>other</w:t>
            </w:r>
          </w:p>
        </w:tc>
        <w:tc>
          <w:tcPr>
            <w:tcW w:w="200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8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2"/>
              </w:rPr>
              <w:t>paid in</w:t>
            </w:r>
          </w:p>
        </w:tc>
        <w:tc>
          <w:tcPr>
            <w:tcW w:w="120" w:type="dxa"/>
            <w:vAlign w:val="bottom"/>
          </w:tcPr>
          <w:p>
            <w:pPr>
              <w:spacing w:after="0"/>
              <w:rPr>
                <w:sz w:val="10"/>
                <w:szCs w:val="10"/>
                <w:color w:val="auto"/>
              </w:rPr>
            </w:pPr>
          </w:p>
        </w:tc>
        <w:tc>
          <w:tcPr>
            <w:tcW w:w="78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0"/>
                <w:szCs w:val="10"/>
                <w:color w:val="auto"/>
              </w:rPr>
            </w:pPr>
          </w:p>
        </w:tc>
        <w:tc>
          <w:tcPr>
            <w:tcW w:w="12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0"/>
              </w:rPr>
              <w:t>comprehensive</w:t>
            </w:r>
          </w:p>
        </w:tc>
        <w:tc>
          <w:tcPr>
            <w:tcW w:w="10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capital</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loss</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6"/>
                <w:szCs w:val="16"/>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6"/>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May 31, 2019</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37,984,382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555,040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66,469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6"/>
              </w:rPr>
              <w:t>(370,000)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614,815</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48,136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w w:val="98"/>
              </w:rPr>
              <w:t>Issuance/Cancellation of restricted stock</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units</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287,087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(2,459)</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Purchases of common stock under ESPP</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40,270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1,984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1,984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Balance at August 31, 2019</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38,359,875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555,723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65,194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18"/>
                <w:szCs w:val="18"/>
                <w:color w:val="auto"/>
              </w:rPr>
            </w:pPr>
          </w:p>
        </w:tc>
        <w:tc>
          <w:tcPr>
            <w:tcW w:w="100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w w:val="96"/>
              </w:rPr>
              <w:t>(370,000)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614,073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CONSOLIDATED STATEMENTS OF STOCKHOLDERS’ EQUITY - continued</w:t>
      </w:r>
    </w:p>
    <w:p>
      <w:pPr>
        <w:spacing w:after="0" w:line="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dollars, except share data)</w:t>
      </w:r>
    </w:p>
    <w:p>
      <w:pPr>
        <w:sectPr>
          <w:pgSz w:w="11900" w:h="16838" w:orient="portrait"/>
          <w:cols w:equalWidth="0" w:num="1">
            <w:col w:w="11300"/>
          </w:cols>
          <w:pgMar w:left="24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Balance at May 31, 2018</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Exercise of stock options</w:t>
      </w:r>
    </w:p>
    <w:p>
      <w:pPr>
        <w:spacing w:after="0" w:line="86" w:lineRule="exact"/>
        <w:rPr>
          <w:sz w:val="20"/>
          <w:szCs w:val="20"/>
          <w:color w:val="auto"/>
        </w:rPr>
      </w:pPr>
    </w:p>
    <w:p>
      <w:pPr>
        <w:ind w:left="100" w:right="20"/>
        <w:spacing w:after="0" w:line="293" w:lineRule="auto"/>
        <w:rPr>
          <w:sz w:val="20"/>
          <w:szCs w:val="20"/>
          <w:color w:val="auto"/>
        </w:rPr>
      </w:pPr>
      <w:r>
        <w:rPr>
          <w:rFonts w:ascii="Arial" w:cs="Arial" w:eastAsia="Arial" w:hAnsi="Arial"/>
          <w:sz w:val="16"/>
          <w:szCs w:val="16"/>
          <w:color w:val="auto"/>
        </w:rPr>
        <w:t>Issuance/Cancellation of restricted stock units</w:t>
      </w:r>
    </w:p>
    <w:p>
      <w:pPr>
        <w:spacing w:after="0" w:line="10" w:lineRule="exact"/>
        <w:rPr>
          <w:sz w:val="20"/>
          <w:szCs w:val="20"/>
          <w:color w:val="auto"/>
        </w:rPr>
      </w:pPr>
    </w:p>
    <w:p>
      <w:pPr>
        <w:ind w:left="100" w:right="180"/>
        <w:spacing w:after="0" w:line="293" w:lineRule="auto"/>
        <w:rPr>
          <w:sz w:val="20"/>
          <w:szCs w:val="20"/>
          <w:color w:val="auto"/>
        </w:rPr>
      </w:pPr>
      <w:r>
        <w:rPr>
          <w:rFonts w:ascii="Arial" w:cs="Arial" w:eastAsia="Arial" w:hAnsi="Arial"/>
          <w:sz w:val="16"/>
          <w:szCs w:val="16"/>
          <w:color w:val="auto"/>
        </w:rPr>
        <w:t>Issuance/Cancellation of performance share units</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Purchases of common stock under ESPP</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Stock-based compensation</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Other comprehensive loss, net of tax</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Balance at August 31, 2018</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4"/>
            <w:vMerge w:val="restart"/>
          </w:tcPr>
          <w:p>
            <w:pPr>
              <w:jc w:val="right"/>
              <w:ind w:right="482"/>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86"/>
              <w:spacing w:after="0"/>
              <w:rPr>
                <w:sz w:val="20"/>
                <w:szCs w:val="20"/>
                <w:color w:val="auto"/>
              </w:rPr>
            </w:pPr>
            <w:r>
              <w:rPr>
                <w:rFonts w:ascii="Arial" w:cs="Arial" w:eastAsia="Arial" w:hAnsi="Arial"/>
                <w:sz w:val="14"/>
                <w:szCs w:val="14"/>
                <w:color w:val="auto"/>
                <w:w w:val="93"/>
              </w:rPr>
              <w:t>Accumulated</w:t>
            </w:r>
          </w:p>
        </w:tc>
        <w:tc>
          <w:tcPr>
            <w:tcW w:w="0" w:type="dxa"/>
            <w:vAlign w:val="bottom"/>
          </w:tcPr>
          <w:p>
            <w:pPr>
              <w:spacing w:after="0"/>
              <w:rPr>
                <w:sz w:val="1"/>
                <w:szCs w:val="1"/>
                <w:color w:val="auto"/>
              </w:rPr>
            </w:pPr>
          </w:p>
        </w:tc>
      </w:tr>
      <w:tr>
        <w:trPr>
          <w:trHeight w:val="159"/>
        </w:trPr>
        <w:tc>
          <w:tcPr>
            <w:tcW w:w="2060" w:type="dxa"/>
            <w:vAlign w:val="bottom"/>
            <w:tcBorders>
              <w:bottom w:val="single" w:sz="8" w:color="auto"/>
            </w:tcBorders>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40"/>
              <w:spacing w:after="0" w:line="154"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2"/>
              </w:rPr>
              <w:t>Retained</w:t>
            </w:r>
          </w:p>
        </w:tc>
        <w:tc>
          <w:tcPr>
            <w:tcW w:w="140" w:type="dxa"/>
            <w:vAlign w:val="bottom"/>
          </w:tcPr>
          <w:p>
            <w:pPr>
              <w:spacing w:after="0"/>
              <w:rPr>
                <w:sz w:val="13"/>
                <w:szCs w:val="13"/>
                <w:color w:val="auto"/>
              </w:rPr>
            </w:pPr>
          </w:p>
        </w:tc>
        <w:tc>
          <w:tcPr>
            <w:tcW w:w="1080" w:type="dxa"/>
            <w:vAlign w:val="bottom"/>
          </w:tcPr>
          <w:p>
            <w:pPr>
              <w:jc w:val="center"/>
              <w:ind w:right="66"/>
              <w:spacing w:after="0" w:line="154" w:lineRule="exact"/>
              <w:rPr>
                <w:sz w:val="20"/>
                <w:szCs w:val="20"/>
                <w:color w:val="auto"/>
              </w:rPr>
            </w:pPr>
            <w:r>
              <w:rPr>
                <w:rFonts w:ascii="Arial" w:cs="Arial" w:eastAsia="Arial" w:hAnsi="Arial"/>
                <w:sz w:val="14"/>
                <w:szCs w:val="14"/>
                <w:color w:val="auto"/>
                <w:w w:val="93"/>
              </w:rPr>
              <w:t>other</w:t>
            </w:r>
          </w:p>
        </w:tc>
        <w:tc>
          <w:tcPr>
            <w:tcW w:w="0" w:type="dxa"/>
            <w:vAlign w:val="bottom"/>
          </w:tcPr>
          <w:p>
            <w:pPr>
              <w:spacing w:after="0"/>
              <w:rPr>
                <w:sz w:val="1"/>
                <w:szCs w:val="1"/>
                <w:color w:val="auto"/>
              </w:rPr>
            </w:pPr>
          </w:p>
        </w:tc>
      </w:tr>
      <w:tr>
        <w:trPr>
          <w:trHeight w:val="123"/>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20"/>
              <w:spacing w:after="0" w:line="123" w:lineRule="exact"/>
              <w:rPr>
                <w:sz w:val="20"/>
                <w:szCs w:val="20"/>
                <w:color w:val="auto"/>
              </w:rPr>
            </w:pPr>
            <w:r>
              <w:rPr>
                <w:rFonts w:ascii="Arial" w:cs="Arial" w:eastAsia="Arial" w:hAnsi="Arial"/>
                <w:sz w:val="14"/>
                <w:szCs w:val="14"/>
                <w:color w:val="auto"/>
                <w:w w:val="96"/>
              </w:rPr>
              <w:t>paid in</w:t>
            </w:r>
          </w:p>
        </w:tc>
        <w:tc>
          <w:tcPr>
            <w:tcW w:w="140" w:type="dxa"/>
            <w:vAlign w:val="bottom"/>
          </w:tcPr>
          <w:p>
            <w:pPr>
              <w:spacing w:after="0"/>
              <w:rPr>
                <w:sz w:val="10"/>
                <w:szCs w:val="10"/>
                <w:color w:val="auto"/>
              </w:rPr>
            </w:pPr>
          </w:p>
        </w:tc>
        <w:tc>
          <w:tcPr>
            <w:tcW w:w="86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89"/>
              </w:rPr>
              <w:t>earnings</w:t>
            </w:r>
          </w:p>
        </w:tc>
        <w:tc>
          <w:tcPr>
            <w:tcW w:w="140" w:type="dxa"/>
            <w:vAlign w:val="bottom"/>
          </w:tcPr>
          <w:p>
            <w:pPr>
              <w:spacing w:after="0"/>
              <w:rPr>
                <w:sz w:val="10"/>
                <w:szCs w:val="10"/>
                <w:color w:val="auto"/>
              </w:rPr>
            </w:pPr>
          </w:p>
        </w:tc>
        <w:tc>
          <w:tcPr>
            <w:tcW w:w="1080" w:type="dxa"/>
            <w:vAlign w:val="bottom"/>
          </w:tcPr>
          <w:p>
            <w:pPr>
              <w:jc w:val="center"/>
              <w:ind w:right="86"/>
              <w:spacing w:after="0" w:line="123" w:lineRule="exact"/>
              <w:rPr>
                <w:sz w:val="20"/>
                <w:szCs w:val="20"/>
                <w:color w:val="auto"/>
              </w:rPr>
            </w:pPr>
            <w:r>
              <w:rPr>
                <w:rFonts w:ascii="Arial" w:cs="Arial" w:eastAsia="Arial" w:hAnsi="Arial"/>
                <w:sz w:val="14"/>
                <w:szCs w:val="14"/>
                <w:color w:val="auto"/>
                <w:w w:val="92"/>
              </w:rPr>
              <w:t>comprehensive</w:t>
            </w:r>
          </w:p>
        </w:tc>
        <w:tc>
          <w:tcPr>
            <w:tcW w:w="0" w:type="dxa"/>
            <w:vAlign w:val="bottom"/>
          </w:tcPr>
          <w:p>
            <w:pPr>
              <w:spacing w:after="0"/>
              <w:rPr>
                <w:sz w:val="1"/>
                <w:szCs w:val="1"/>
                <w:color w:val="auto"/>
              </w:rPr>
            </w:pPr>
          </w:p>
        </w:tc>
      </w:tr>
      <w:tr>
        <w:trPr>
          <w:trHeight w:val="188"/>
        </w:trPr>
        <w:tc>
          <w:tcPr>
            <w:tcW w:w="11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color w:val="auto"/>
                <w:w w:val="88"/>
              </w:rPr>
              <w:t>loss</w:t>
            </w:r>
          </w:p>
        </w:tc>
        <w:tc>
          <w:tcPr>
            <w:tcW w:w="0" w:type="dxa"/>
            <w:vAlign w:val="bottom"/>
          </w:tcPr>
          <w:p>
            <w:pPr>
              <w:spacing w:after="0"/>
              <w:rPr>
                <w:sz w:val="1"/>
                <w:szCs w:val="1"/>
                <w:color w:val="auto"/>
              </w:rPr>
            </w:pPr>
          </w:p>
        </w:tc>
      </w:tr>
      <w:tr>
        <w:trPr>
          <w:trHeight w:val="223"/>
        </w:trPr>
        <w:tc>
          <w:tcPr>
            <w:tcW w:w="1140" w:type="dxa"/>
            <w:vAlign w:val="bottom"/>
          </w:tcPr>
          <w:p>
            <w:pPr>
              <w:jc w:val="right"/>
              <w:ind w:right="43"/>
              <w:spacing w:after="0"/>
              <w:rPr>
                <w:sz w:val="20"/>
                <w:szCs w:val="20"/>
                <w:color w:val="auto"/>
              </w:rPr>
            </w:pPr>
            <w:r>
              <w:rPr>
                <w:rFonts w:ascii="Arial" w:cs="Arial" w:eastAsia="Arial" w:hAnsi="Arial"/>
                <w:sz w:val="16"/>
                <w:szCs w:val="16"/>
                <w:color w:val="auto"/>
              </w:rPr>
              <w:t>37,594,493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370</w:t>
            </w:r>
          </w:p>
        </w:tc>
        <w:tc>
          <w:tcPr>
            <w:tcW w:w="1060" w:type="dxa"/>
            <w:vAlign w:val="bottom"/>
            <w:gridSpan w:val="2"/>
          </w:tcPr>
          <w:p>
            <w:pPr>
              <w:jc w:val="right"/>
              <w:ind w:right="48"/>
              <w:spacing w:after="0"/>
              <w:rPr>
                <w:sz w:val="20"/>
                <w:szCs w:val="20"/>
                <w:color w:val="auto"/>
              </w:rPr>
            </w:pPr>
            <w:r>
              <w:rPr>
                <w:rFonts w:ascii="Arial" w:cs="Arial" w:eastAsia="Arial" w:hAnsi="Arial"/>
                <w:sz w:val="16"/>
                <w:szCs w:val="16"/>
                <w:color w:val="auto"/>
              </w:rPr>
              <w:t>$  543,762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5,129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jc w:val="right"/>
              <w:ind w:right="43"/>
              <w:spacing w:after="0"/>
              <w:rPr>
                <w:sz w:val="20"/>
                <w:szCs w:val="20"/>
                <w:color w:val="auto"/>
              </w:rPr>
            </w:pPr>
            <w:r>
              <w:rPr>
                <w:rFonts w:ascii="Arial" w:cs="Arial" w:eastAsia="Arial" w:hAnsi="Arial"/>
                <w:sz w:val="16"/>
                <w:szCs w:val="16"/>
                <w:color w:val="auto"/>
              </w:rPr>
              <w:t>71,336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60" w:type="dxa"/>
            <w:vAlign w:val="bottom"/>
            <w:gridSpan w:val="2"/>
          </w:tcPr>
          <w:p>
            <w:pPr>
              <w:jc w:val="right"/>
              <w:ind w:right="48"/>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-149860</wp:posOffset>
            </wp:positionV>
            <wp:extent cx="716089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-492760</wp:posOffset>
            </wp:positionV>
            <wp:extent cx="71608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233" w:lineRule="exact"/>
        <w:rPr>
          <w:sz w:val="20"/>
          <w:szCs w:val="20"/>
          <w:color w:val="auto"/>
        </w:rPr>
      </w:pPr>
    </w:p>
    <w:p>
      <w:pPr>
        <w:ind w:left="480"/>
        <w:spacing w:after="0"/>
        <w:tabs>
          <w:tab w:leader="none" w:pos="2680" w:val="left"/>
        </w:tabs>
        <w:rPr>
          <w:sz w:val="20"/>
          <w:szCs w:val="20"/>
          <w:color w:val="auto"/>
        </w:rPr>
      </w:pPr>
      <w:r>
        <w:rPr>
          <w:rFonts w:ascii="Arial" w:cs="Arial" w:eastAsia="Arial" w:hAnsi="Arial"/>
          <w:sz w:val="16"/>
          <w:szCs w:val="16"/>
          <w:color w:val="auto"/>
        </w:rPr>
        <w:t>149,446</w:t>
      </w:r>
      <w:r>
        <w:rPr>
          <w:sz w:val="20"/>
          <w:szCs w:val="20"/>
          <w:color w:val="auto"/>
        </w:rPr>
        <w:tab/>
      </w:r>
      <w:r>
        <w:rPr>
          <w:rFonts w:ascii="Arial" w:cs="Arial" w:eastAsia="Arial" w:hAnsi="Arial"/>
          <w:sz w:val="16"/>
          <w:szCs w:val="16"/>
          <w:color w:val="auto"/>
        </w:rPr>
        <w:t>(460)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34925</wp:posOffset>
            </wp:positionV>
            <wp:extent cx="7160895"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291465"/>
                    </a:xfrm>
                    <a:prstGeom prst="rect">
                      <a:avLst/>
                    </a:prstGeom>
                    <a:noFill/>
                  </pic:spPr>
                </pic:pic>
              </a:graphicData>
            </a:graphic>
          </wp:anchor>
        </w:drawing>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5,235</w:t>
      </w:r>
    </w:p>
    <w:p>
      <w:pPr>
        <w:spacing w:after="0" w:line="86" w:lineRule="exact"/>
        <w:rPr>
          <w:sz w:val="20"/>
          <w:szCs w:val="20"/>
          <w:color w:val="auto"/>
        </w:rPr>
      </w:pPr>
    </w:p>
    <w:p>
      <w:pPr>
        <w:ind w:left="580"/>
        <w:spacing w:after="0"/>
        <w:tabs>
          <w:tab w:leader="none" w:pos="1840" w:val="left"/>
          <w:tab w:leader="none" w:pos="2740" w:val="left"/>
        </w:tabs>
        <w:rPr>
          <w:sz w:val="20"/>
          <w:szCs w:val="20"/>
          <w:color w:val="auto"/>
        </w:rPr>
      </w:pPr>
      <w:r>
        <w:rPr>
          <w:rFonts w:ascii="Arial" w:cs="Arial" w:eastAsia="Arial" w:hAnsi="Arial"/>
          <w:sz w:val="16"/>
          <w:szCs w:val="16"/>
          <w:color w:val="auto"/>
        </w:rPr>
        <w:t>40,547</w:t>
      </w:r>
      <w:r>
        <w:rPr>
          <w:sz w:val="20"/>
          <w:szCs w:val="20"/>
          <w:color w:val="auto"/>
        </w:rPr>
        <w:tab/>
      </w: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34925</wp:posOffset>
            </wp:positionV>
            <wp:extent cx="716089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jc w:val="center"/>
        <w:ind w:left="-179"/>
        <w:spacing w:after="0"/>
        <w:rPr>
          <w:sz w:val="20"/>
          <w:szCs w:val="20"/>
          <w:color w:val="auto"/>
        </w:rPr>
      </w:pPr>
      <w:r>
        <w:rPr>
          <w:rFonts w:ascii="Arial" w:cs="Arial" w:eastAsia="Arial" w:hAnsi="Arial"/>
          <w:sz w:val="16"/>
          <w:szCs w:val="16"/>
          <w:color w:val="auto"/>
        </w:rPr>
        <w:t>2,150</w:t>
      </w:r>
    </w:p>
    <w:p>
      <w:pPr>
        <w:spacing w:after="0" w:line="86"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34925</wp:posOffset>
            </wp:positionV>
            <wp:extent cx="71608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280"/>
        <w:spacing w:after="0"/>
        <w:tabs>
          <w:tab w:leader="none" w:pos="1260" w:val="left"/>
          <w:tab w:leader="none" w:pos="1680" w:val="left"/>
          <w:tab w:leader="none" w:pos="2200" w:val="left"/>
          <w:tab w:leader="none" w:pos="2460" w:val="left"/>
          <w:tab w:leader="none" w:pos="3240" w:val="left"/>
          <w:tab w:leader="none" w:pos="3640" w:val="left"/>
          <w:tab w:leader="none" w:pos="4240" w:val="left"/>
          <w:tab w:leader="none" w:pos="4920" w:val="left"/>
        </w:tabs>
        <w:rPr>
          <w:sz w:val="20"/>
          <w:szCs w:val="20"/>
          <w:color w:val="auto"/>
        </w:rPr>
      </w:pPr>
      <w:r>
        <w:rPr>
          <w:rFonts w:ascii="Arial" w:cs="Arial" w:eastAsia="Arial" w:hAnsi="Arial"/>
          <w:sz w:val="16"/>
          <w:szCs w:val="16"/>
          <w:color w:val="auto"/>
        </w:rPr>
        <w:t>37,861,057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372</w:t>
      </w:r>
      <w:r>
        <w:rPr>
          <w:sz w:val="20"/>
          <w:szCs w:val="20"/>
          <w:color w:val="auto"/>
        </w:rPr>
        <w:tab/>
      </w:r>
      <w:r>
        <w:rPr>
          <w:rFonts w:ascii="Arial" w:cs="Arial" w:eastAsia="Arial" w:hAnsi="Arial"/>
          <w:sz w:val="16"/>
          <w:szCs w:val="16"/>
          <w:color w:val="auto"/>
        </w:rPr>
        <w:t>$</w:t>
        <w:tab/>
        <w:t>546,615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4,660</w:t>
        <w:tab/>
        <w:t>$</w:t>
      </w:r>
      <w:r>
        <w:rPr>
          <w:sz w:val="20"/>
          <w:szCs w:val="20"/>
          <w:color w:val="auto"/>
        </w:rPr>
        <w:tab/>
      </w:r>
      <w:r>
        <w:rPr>
          <w:rFonts w:ascii="Arial" w:cs="Arial" w:eastAsia="Arial" w:hAnsi="Arial"/>
          <w:sz w:val="14"/>
          <w:szCs w:val="14"/>
          <w:color w:val="auto"/>
        </w:rPr>
        <w:t>(1,044)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20955</wp:posOffset>
            </wp:positionV>
            <wp:extent cx="1191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157" w:lineRule="exact"/>
        <w:rPr>
          <w:sz w:val="20"/>
          <w:szCs w:val="20"/>
          <w:color w:val="auto"/>
        </w:rPr>
      </w:pPr>
    </w:p>
    <w:p>
      <w:pPr>
        <w:spacing w:after="0"/>
        <w:tabs>
          <w:tab w:leader="none" w:pos="920" w:val="left"/>
          <w:tab w:leader="none" w:pos="2000" w:val="left"/>
        </w:tabs>
        <w:rPr>
          <w:sz w:val="20"/>
          <w:szCs w:val="20"/>
          <w:color w:val="auto"/>
        </w:rPr>
      </w:pPr>
      <w:r>
        <w:rPr>
          <w:rFonts w:ascii="Arial" w:cs="Arial" w:eastAsia="Arial" w:hAnsi="Arial"/>
          <w:sz w:val="14"/>
          <w:szCs w:val="14"/>
          <w:color w:val="auto"/>
        </w:rPr>
        <w:t>Shares</w:t>
      </w:r>
      <w:r>
        <w:rPr>
          <w:sz w:val="20"/>
          <w:szCs w:val="20"/>
          <w:color w:val="auto"/>
        </w:rPr>
        <w:tab/>
      </w:r>
      <w:r>
        <w:rPr>
          <w:rFonts w:ascii="Arial" w:cs="Arial" w:eastAsia="Arial" w:hAnsi="Arial"/>
          <w:sz w:val="14"/>
          <w:szCs w:val="14"/>
          <w:color w:val="auto"/>
        </w:rPr>
        <w:t>Amount</w:t>
      </w:r>
      <w:r>
        <w:rPr>
          <w:sz w:val="20"/>
          <w:szCs w:val="20"/>
          <w:color w:val="auto"/>
        </w:rPr>
        <w:tab/>
      </w:r>
      <w:r>
        <w:rPr>
          <w:rFonts w:ascii="Arial" w:cs="Arial" w:eastAsia="Arial" w:hAnsi="Arial"/>
          <w:sz w:val="13"/>
          <w:szCs w:val="13"/>
          <w:color w:val="auto"/>
        </w:rPr>
        <w:t>Total</w:t>
      </w:r>
    </w:p>
    <w:p>
      <w:pPr>
        <w:spacing w:after="0" w:line="64" w:lineRule="exact"/>
        <w:rPr>
          <w:sz w:val="20"/>
          <w:szCs w:val="20"/>
          <w:color w:val="auto"/>
        </w:rPr>
      </w:pPr>
    </w:p>
    <w:p>
      <w:pPr>
        <w:jc w:val="both"/>
        <w:spacing w:after="0"/>
        <w:tabs>
          <w:tab w:leader="none" w:pos="800" w:val="left"/>
          <w:tab w:leader="none" w:pos="1020" w:val="left"/>
          <w:tab w:leader="none" w:pos="1680" w:val="left"/>
          <w:tab w:leader="none" w:pos="2020" w:val="left"/>
        </w:tabs>
        <w:rPr>
          <w:sz w:val="20"/>
          <w:szCs w:val="20"/>
          <w:color w:val="auto"/>
        </w:rPr>
      </w:pPr>
      <w:r>
        <w:rPr>
          <w:rFonts w:ascii="Arial" w:cs="Arial" w:eastAsia="Arial" w:hAnsi="Arial"/>
          <w:sz w:val="16"/>
          <w:szCs w:val="16"/>
          <w:color w:val="auto"/>
        </w:rPr>
        <w:t>(370,000)</w:t>
        <w:tab/>
        <w:t>$</w:t>
        <w:tab/>
        <w:t>(5,714)</w:t>
        <w:tab/>
        <w:t>$</w:t>
      </w:r>
      <w:r>
        <w:rPr>
          <w:sz w:val="20"/>
          <w:szCs w:val="20"/>
          <w:color w:val="auto"/>
        </w:rPr>
        <w:tab/>
      </w:r>
      <w:r>
        <w:rPr>
          <w:rFonts w:ascii="Arial" w:cs="Arial" w:eastAsia="Arial" w:hAnsi="Arial"/>
          <w:sz w:val="14"/>
          <w:szCs w:val="14"/>
          <w:color w:val="auto"/>
        </w:rPr>
        <w:t>542,595</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(469)</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608</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(460)</w:t>
      </w:r>
    </w:p>
    <w:p>
      <w:pPr>
        <w:spacing w:after="0" w:line="27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557</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2,150</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(92)</w:t>
      </w:r>
    </w:p>
    <w:p>
      <w:pPr>
        <w:spacing w:after="0" w:line="86" w:lineRule="exact"/>
        <w:rPr>
          <w:sz w:val="20"/>
          <w:szCs w:val="20"/>
          <w:color w:val="auto"/>
        </w:rPr>
      </w:pPr>
    </w:p>
    <w:p>
      <w:pPr>
        <w:jc w:val="both"/>
        <w:spacing w:after="0"/>
        <w:tabs>
          <w:tab w:leader="none" w:pos="800" w:val="left"/>
          <w:tab w:leader="none" w:pos="1020" w:val="left"/>
          <w:tab w:leader="none" w:pos="1680" w:val="left"/>
          <w:tab w:leader="none" w:pos="2020" w:val="left"/>
        </w:tabs>
        <w:rPr>
          <w:sz w:val="20"/>
          <w:szCs w:val="20"/>
          <w:color w:val="auto"/>
        </w:rPr>
      </w:pPr>
      <w:r>
        <w:rPr>
          <w:rFonts w:ascii="Arial" w:cs="Arial" w:eastAsia="Arial" w:hAnsi="Arial"/>
          <w:sz w:val="16"/>
          <w:szCs w:val="16"/>
          <w:color w:val="auto"/>
        </w:rPr>
        <w:t>(370,000)</w:t>
        <w:tab/>
        <w:t>$</w:t>
        <w:tab/>
        <w:t>(5,714)</w:t>
        <w:tab/>
        <w:t>$</w:t>
      </w:r>
      <w:r>
        <w:rPr>
          <w:sz w:val="20"/>
          <w:szCs w:val="20"/>
          <w:color w:val="auto"/>
        </w:rPr>
        <w:tab/>
      </w:r>
      <w:r>
        <w:rPr>
          <w:rFonts w:ascii="Arial" w:cs="Arial" w:eastAsia="Arial" w:hAnsi="Arial"/>
          <w:sz w:val="14"/>
          <w:szCs w:val="14"/>
          <w:color w:val="auto"/>
        </w:rPr>
        <w:t>544,889</w:t>
      </w:r>
    </w:p>
    <w:p>
      <w:pPr>
        <w:spacing w:after="0" w:line="200" w:lineRule="exact"/>
        <w:rPr>
          <w:sz w:val="20"/>
          <w:szCs w:val="20"/>
          <w:color w:val="auto"/>
        </w:rPr>
      </w:pPr>
    </w:p>
    <w:p>
      <w:pPr>
        <w:sectPr>
          <w:pgSz w:w="11900" w:h="16838" w:orient="portrait"/>
          <w:cols w:equalWidth="0" w:num="3">
            <w:col w:w="2740" w:space="60"/>
            <w:col w:w="5460" w:space="420"/>
            <w:col w:w="2620"/>
          </w:cols>
          <w:pgMar w:left="240" w:top="121" w:right="359" w:bottom="1440" w:gutter="0" w:footer="0" w:header="0"/>
          <w:type w:val="continuous"/>
        </w:sectPr>
      </w:pP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121" w:right="35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2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 Consolidated Balance Sheet as of August 31, 2019, the Consolidated Statements of Operations, Consolidated Statements of Comprehensive Loss, Consolidated Statements of Cash Flows, and the Consolidated Statements of Stockholders’ Equity for the three months ended August 31, 2019 and 2018, have been prepared by us and are unaudited. The Consolidated Balance Sheet as of May 31, 2019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August 31, 2019 (and for all periods presented) have been made.</w:t>
      </w:r>
    </w:p>
    <w:p>
      <w:pPr>
        <w:spacing w:after="0" w:line="57"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unaudited interim consolidated financial statements for the three months ended August 31, 2019 and 2018 include the accounts of AngioDynamics, Inc. and its wholly owned subsidiaries, collectively, the “Company”. All intercompany balances and transactions have been eliminated.</w:t>
      </w:r>
    </w:p>
    <w:p>
      <w:pPr>
        <w:spacing w:after="0" w:line="38"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On May 31, 2019, the Company completed the sale of the Fluid Management business and all of the assets used primarily in connection with the Fluid Management business (Note 3). As the disposal of this business represents a strategic shift with a major effect on the Company's operations, for all periods presented in our Consolidated Statements of Operations and Comprehensive Loss, all sales, costs, expenses, gains and income taxes attributable to Fluid Management have been reported under the captions, “Income from Discontinued Operations, Net of Income Tax.” Cash flows used in or provided by Fluid Management have been reported in the Consolidated Statements of Cash Flows under operating and investing activities.</w:t>
      </w:r>
    </w:p>
    <w:p>
      <w:pPr>
        <w:spacing w:after="0" w:line="154" w:lineRule="exact"/>
        <w:rPr>
          <w:sz w:val="20"/>
          <w:szCs w:val="20"/>
          <w:color w:val="auto"/>
        </w:rPr>
      </w:pPr>
    </w:p>
    <w:p>
      <w:pPr>
        <w:ind w:right="9580" w:firstLine="8"/>
        <w:spacing w:after="0" w:line="566" w:lineRule="auto"/>
        <w:tabs>
          <w:tab w:leader="none" w:pos="1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RadiaDyne Acquisition</w:t>
      </w:r>
    </w:p>
    <w:p>
      <w:pPr>
        <w:spacing w:after="0" w:line="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On September 21, 2018, the Company acquired RadiaDyne, a privately held medical diagnostic and device company that designs and develops patient dose monitoring technology to improve cancer treatment outcomes. The aggregate purchase price of $75.0 million included an upfront payment of $47.9 million, contingent consideration with an estimated fair value of $22.3 million, an indemnification holdback of $4.6 million and a purchase price holdback of $0.2 million. The fair value of $22.3 million in contingent consideration is comprised of $16.5 million for the revenue milestones and $5.8 million for the technical milestones. The $4.6 million indemnification holdback is recorded in accrued liabilities at August 31, 2019 and the $0.2 million purchase price holdback was initially recorded in accrued liabilities, and was paid during the third quarter of fiscal year 2019.</w:t>
      </w:r>
    </w:p>
    <w:p>
      <w:pPr>
        <w:spacing w:after="0" w:line="97"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This acquisition expands the Company’s growing Oncology business by adding RadiaDyne’s early-stage, proprietary OARtrac® real-time radiation dose monitoring platform and other market-leading oncology solutions, including the IsoLoc®/ImmobiLoc® and Alatus® balloon stabilizing technologies.</w:t>
      </w:r>
    </w:p>
    <w:p>
      <w:pPr>
        <w:spacing w:after="0" w:line="4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accounted for the RadiaDyne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84"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The Company has not disclosed the amount of revenue and earnings for sales of RadiaDyne products since acquisition, nor proforma information, because these amounts are not significant to the Company's financial statements. Acquisition-related costs associated with the RadiaDyne acquisition, which are included in "acquisition, restructuring and other expenses, net" in the accompanying Consolidated Statements of Operations, were approximately $1.6 million in fiscal year 2019. The following table summarizes the preliminary and final aggregate purchase price allocated to the net assets acquired:</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1" w:right="2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960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798"/>
        </w:trPr>
        <w:tc>
          <w:tcPr>
            <w:tcW w:w="1020" w:type="dxa"/>
            <w:vAlign w:val="bottom"/>
            <w:tcBorders>
              <w:top w:val="single" w:sz="8" w:color="0000EE"/>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85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Final allocation</w:t>
            </w: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732</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gridSpan w:val="2"/>
          </w:tcPr>
          <w:p>
            <w:pPr>
              <w:ind w:left="280"/>
              <w:spacing w:after="0"/>
              <w:rPr>
                <w:sz w:val="20"/>
                <w:szCs w:val="20"/>
                <w:color w:val="auto"/>
              </w:rPr>
            </w:pPr>
            <w:r>
              <w:rPr>
                <w:rFonts w:ascii="Arial" w:cs="Arial" w:eastAsia="Arial" w:hAnsi="Arial"/>
                <w:sz w:val="18"/>
                <w:szCs w:val="18"/>
                <w:color w:val="auto"/>
              </w:rPr>
              <w:t>RadiaDyne trademark</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OARtrac trademark</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43"/>
        </w:trPr>
        <w:tc>
          <w:tcPr>
            <w:tcW w:w="9600" w:type="dxa"/>
            <w:vAlign w:val="bottom"/>
            <w:gridSpan w:val="2"/>
          </w:tcPr>
          <w:p>
            <w:pPr>
              <w:ind w:left="280"/>
              <w:spacing w:after="0"/>
              <w:rPr>
                <w:sz w:val="20"/>
                <w:szCs w:val="20"/>
                <w:color w:val="auto"/>
              </w:rPr>
            </w:pPr>
            <w:r>
              <w:rPr>
                <w:rFonts w:ascii="Arial" w:cs="Arial" w:eastAsia="Arial" w:hAnsi="Arial"/>
                <w:sz w:val="18"/>
                <w:szCs w:val="18"/>
                <w:color w:val="auto"/>
              </w:rPr>
              <w:t>RadiaDyne legacy product technology</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OARtrac product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18,900</w:t>
            </w:r>
          </w:p>
        </w:tc>
      </w:tr>
      <w:tr>
        <w:trPr>
          <w:trHeight w:val="243"/>
        </w:trPr>
        <w:tc>
          <w:tcPr>
            <w:tcW w:w="9600" w:type="dxa"/>
            <w:vAlign w:val="bottom"/>
            <w:gridSpan w:val="2"/>
          </w:tcPr>
          <w:p>
            <w:pPr>
              <w:ind w:left="280"/>
              <w:spacing w:after="0"/>
              <w:rPr>
                <w:sz w:val="20"/>
                <w:szCs w:val="20"/>
                <w:color w:val="auto"/>
              </w:rPr>
            </w:pPr>
            <w:r>
              <w:rPr>
                <w:rFonts w:ascii="Arial" w:cs="Arial" w:eastAsia="Arial" w:hAnsi="Arial"/>
                <w:sz w:val="18"/>
                <w:szCs w:val="18"/>
                <w:color w:val="auto"/>
              </w:rPr>
              <w:t>RadiaDyne customer relationships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4,600</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47,982</w:t>
            </w:r>
          </w:p>
        </w:tc>
      </w:tr>
      <w:tr>
        <w:trPr>
          <w:trHeight w:val="237"/>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75,445</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352</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r>
      <w:tr>
        <w:trPr>
          <w:trHeight w:val="237"/>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 liabilities assumed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w:t>
            </w:r>
          </w:p>
        </w:tc>
      </w:tr>
      <w:tr>
        <w:trPr>
          <w:trHeight w:val="27"/>
        </w:trPr>
        <w:tc>
          <w:tcPr>
            <w:tcW w:w="1020" w:type="dxa"/>
            <w:vAlign w:val="bottom"/>
            <w:tcBorders>
              <w:bottom w:val="single" w:sz="8" w:color="CCEEFF"/>
            </w:tcBorders>
          </w:tcPr>
          <w:p>
            <w:pPr>
              <w:spacing w:after="0"/>
              <w:rPr>
                <w:sz w:val="2"/>
                <w:szCs w:val="2"/>
                <w:color w:val="auto"/>
              </w:rPr>
            </w:pPr>
          </w:p>
        </w:tc>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74,987</w:t>
            </w:r>
          </w:p>
        </w:tc>
      </w:tr>
      <w:tr>
        <w:trPr>
          <w:trHeight w:val="20"/>
        </w:trPr>
        <w:tc>
          <w:tcPr>
            <w:tcW w:w="10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finalized the allocation of the purchase price to the assets acquired and liabilities assumed in the fourth quarter of FY19.</w:t>
      </w:r>
    </w:p>
    <w:p>
      <w:pPr>
        <w:spacing w:after="0" w:line="144"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values assigned to the RadiaDyne and OARtrac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 remaining economic life of the intangible asset and discounted to present value. The trademarks are deemed to have a useful life of five to seven years and the product technologies are deemed to have a useful life of seven to ten years. Both are amortized on a straight-line basis over their useful life.</w:t>
      </w:r>
    </w:p>
    <w:p>
      <w:pPr>
        <w:spacing w:after="0" w:line="112"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fifteen years.</w:t>
      </w:r>
    </w:p>
    <w:p>
      <w:pPr>
        <w:spacing w:after="0" w:line="10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BioSentry Acquisition</w:t>
      </w:r>
    </w:p>
    <w:p>
      <w:pPr>
        <w:spacing w:after="0" w:line="14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On August 14, 2018, the Company acquired the BioSentry product from Surgical Specialties, LLC (“SSC”), for an aggregate purchase price of $39.8 million of which $37.0 million was paid on August 14, 2018 and $2.8 million was recorded as contingent consideration. The contingent consideration liability was recorded at fair value and was paid in the fourth quarter of fiscal year 2019 upon fulfillment of hydrogel orders by SSC.</w:t>
      </w:r>
    </w:p>
    <w:p>
      <w:pPr>
        <w:spacing w:after="0" w:line="8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Company accounted for the BioSentry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84"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Company has not disclosed the amount of revenue and earnings for sales of BioSentry products since acquisition, nor proforma information, because these amounts are not significant to the Company's financial statements. Acquisition-related costs associated with the BioSentry acquisition, which are included in "acquisition, restructuring and other expenses, net" in the accompanying Consolidated Statements of Operations, were approximately $1.0 million in fiscal year 2019. The following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table summarizes the preliminary and revised final purchase price allocated to the net assets acquired: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Final allocation</w:t>
            </w: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9160" w:type="dxa"/>
            <w:vAlign w:val="bottom"/>
          </w:tcPr>
          <w:p>
            <w:pPr>
              <w:ind w:left="220"/>
              <w:spacing w:after="0"/>
              <w:rPr>
                <w:sz w:val="20"/>
                <w:szCs w:val="20"/>
                <w:color w:val="auto"/>
              </w:rPr>
            </w:pPr>
            <w:r>
              <w:rPr>
                <w:rFonts w:ascii="Arial" w:cs="Arial" w:eastAsia="Arial" w:hAnsi="Arial"/>
                <w:sz w:val="18"/>
                <w:szCs w:val="18"/>
                <w:color w:val="auto"/>
              </w:rPr>
              <w:t>BioSentry trademark</w:t>
            </w:r>
          </w:p>
        </w:tc>
        <w:tc>
          <w:tcPr>
            <w:tcW w:w="2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2,500</w:t>
            </w: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BioSentry product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20,900</w:t>
            </w:r>
          </w:p>
        </w:tc>
      </w:tr>
      <w:tr>
        <w:trPr>
          <w:trHeight w:val="243"/>
        </w:trPr>
        <w:tc>
          <w:tcPr>
            <w:tcW w:w="916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2,600</w:t>
            </w: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13,740</w:t>
            </w:r>
          </w:p>
        </w:tc>
      </w:tr>
      <w:tr>
        <w:trPr>
          <w:trHeight w:val="257"/>
        </w:trPr>
        <w:tc>
          <w:tcPr>
            <w:tcW w:w="916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39,800</w:t>
            </w:r>
          </w:p>
        </w:tc>
      </w:tr>
      <w:tr>
        <w:trPr>
          <w:trHeight w:val="20"/>
        </w:trPr>
        <w:tc>
          <w:tcPr>
            <w:tcW w:w="9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finalized the allocation of the purchase price to the assets acquired and liabilities assumed in the fourth quarter of FY19.</w:t>
      </w:r>
    </w:p>
    <w:p>
      <w:pPr>
        <w:spacing w:after="0" w:line="144" w:lineRule="exact"/>
        <w:rPr>
          <w:sz w:val="20"/>
          <w:szCs w:val="20"/>
          <w:color w:val="auto"/>
        </w:rPr>
      </w:pPr>
    </w:p>
    <w:p>
      <w:pPr>
        <w:ind w:right="240" w:firstLine="405"/>
        <w:spacing w:after="0" w:line="276" w:lineRule="auto"/>
        <w:rPr>
          <w:sz w:val="20"/>
          <w:szCs w:val="20"/>
          <w:color w:val="auto"/>
        </w:rPr>
      </w:pPr>
      <w:r>
        <w:rPr>
          <w:rFonts w:ascii="Arial" w:cs="Arial" w:eastAsia="Arial" w:hAnsi="Arial"/>
          <w:sz w:val="17"/>
          <w:szCs w:val="17"/>
          <w:color w:val="auto"/>
        </w:rPr>
        <w:t>The values assigned to the BioSentry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 remaining economic life of the intangible asset and discounted to present value. The trademark and product technologies are deemed to have a fifteen year useful life and are amortized on a straight-line basis over their useful life.</w:t>
      </w:r>
    </w:p>
    <w:p>
      <w:pPr>
        <w:spacing w:after="0" w:line="91"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ten years.</w:t>
      </w:r>
    </w:p>
    <w:p>
      <w:pPr>
        <w:spacing w:after="0" w:line="10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 Management</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May 31, 2019, the Company completed the sale of the NAMIC Fluid Management business (the “Divestiture”) and all of the assets used primarily in connection with the Fluid Management business to Medline Industries, Inc. (“Medline”) pursuant to an asset purchase agreement dated April 17, 2019 (the “Asset Purchase Agreement”). Total consideration received by the Company for the Divestiture in the fourth quarter of fiscal year 2019 was $169.2 million in cash and resulted in a gain of $46.6 million after working capital adjustments of $0.6 million. The gain was recorded in discontinued operations. On June 3, 2019, a portion of the net proceeds were used to retire the outstanding balance on the Term Loan and Revolving Facility and the remaining net proceeds will continue to be invested in the business.</w:t>
      </w:r>
    </w:p>
    <w:p>
      <w:pPr>
        <w:spacing w:after="0" w:line="8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Pursuant to a transition services agreement entered into and effective on the closing of the transaction, the Company will supply certain services to Medline. Medline will receive certain legal, human resource, tax, accounting and information technology services from the Company for a period generally not to exceed 24 months.</w:t>
      </w:r>
    </w:p>
    <w:p>
      <w:pPr>
        <w:spacing w:after="0" w:line="73"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As a result of the Divestiture, the results of operations from the Fluid Management business are reported in the accompanying Consolidated Statements of Operations as “Income from discontinued operations, net of income tax” for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August 31, 2018. The following table summarizes the financial results of our discontinued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153"/>
              <w:spacing w:after="0"/>
              <w:rPr>
                <w:sz w:val="20"/>
                <w:szCs w:val="20"/>
                <w:color w:val="auto"/>
              </w:rPr>
            </w:pPr>
            <w:r>
              <w:rPr>
                <w:rFonts w:ascii="Arial" w:cs="Arial" w:eastAsia="Arial" w:hAnsi="Arial"/>
                <w:sz w:val="14"/>
                <w:szCs w:val="14"/>
                <w:color w:val="auto"/>
                <w:w w:val="96"/>
              </w:rPr>
              <w:t>Three Months Ended</w:t>
            </w:r>
          </w:p>
        </w:tc>
      </w:tr>
      <w:tr>
        <w:trPr>
          <w:trHeight w:val="209"/>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Aug 31, 2018</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21,397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Cost of sales (exclusive of amortization)</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12,882</w:t>
            </w:r>
          </w:p>
        </w:tc>
      </w:tr>
      <w:tr>
        <w:trPr>
          <w:trHeight w:val="27"/>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8,515</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w:t>
            </w:r>
          </w:p>
        </w:tc>
      </w:tr>
      <w:tr>
        <w:trPr>
          <w:trHeight w:val="243"/>
        </w:trPr>
        <w:tc>
          <w:tcPr>
            <w:tcW w:w="97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1,028</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r>
      <w:tr>
        <w:trPr>
          <w:trHeight w:val="243"/>
        </w:trPr>
        <w:tc>
          <w:tcPr>
            <w:tcW w:w="9720" w:type="dxa"/>
            <w:vAlign w:val="bottom"/>
          </w:tcPr>
          <w:p>
            <w:pPr>
              <w:ind w:left="50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682</w:t>
            </w:r>
          </w:p>
        </w:tc>
      </w:tr>
      <w:tr>
        <w:trPr>
          <w:trHeight w:val="27"/>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6,455</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97"/>
        </w:trPr>
        <w:tc>
          <w:tcPr>
            <w:tcW w:w="9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Income from discontinued operations before income taxes</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6,455</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1,220</w:t>
            </w:r>
          </w:p>
        </w:tc>
      </w:tr>
      <w:tr>
        <w:trPr>
          <w:trHeight w:val="237"/>
        </w:trPr>
        <w:tc>
          <w:tcPr>
            <w:tcW w:w="972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5,235</w:t>
            </w:r>
          </w:p>
        </w:tc>
      </w:tr>
      <w:tr>
        <w:trPr>
          <w:trHeight w:val="27"/>
        </w:trPr>
        <w:tc>
          <w:tcPr>
            <w:tcW w:w="9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0" w:firstLine="405"/>
        <w:spacing w:after="0" w:line="312" w:lineRule="auto"/>
        <w:rPr>
          <w:sz w:val="20"/>
          <w:szCs w:val="20"/>
          <w:color w:val="auto"/>
        </w:rPr>
      </w:pPr>
      <w:r>
        <w:rPr>
          <w:rFonts w:ascii="Arial" w:cs="Arial" w:eastAsia="Arial" w:hAnsi="Arial"/>
          <w:sz w:val="16"/>
          <w:szCs w:val="16"/>
          <w:color w:val="auto"/>
        </w:rPr>
        <w:t>In accordance with accounting principles generally accepted in the United States (“GAAP”), only expenses specifically identifiable and related to a business to be disposed may be allocated to discontinued operations. As such, the selling and marketing, research and development and general and administrative expenses recorded in discontinued operations include corporate costs incurred directly in support of the Fluid Management portfolio.</w:t>
      </w:r>
    </w:p>
    <w:p>
      <w:pPr>
        <w:spacing w:after="0" w:line="14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Total operating and investing cash flows of discontinued operations for the three months ended August 31, 2018 is comprised of the following, which excludes the effect of income taxes: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159"/>
              <w:spacing w:after="0"/>
              <w:rPr>
                <w:sz w:val="20"/>
                <w:szCs w:val="20"/>
                <w:color w:val="auto"/>
              </w:rPr>
            </w:pPr>
            <w:r>
              <w:rPr>
                <w:rFonts w:ascii="Arial" w:cs="Arial" w:eastAsia="Arial" w:hAnsi="Arial"/>
                <w:sz w:val="14"/>
                <w:szCs w:val="14"/>
                <w:color w:val="auto"/>
                <w:w w:val="96"/>
              </w:rPr>
              <w:t>Three Months Ended</w:t>
            </w:r>
          </w:p>
        </w:tc>
      </w:tr>
      <w:tr>
        <w:trPr>
          <w:trHeight w:val="209"/>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Aug 31, 2018</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8"/>
                <w:szCs w:val="18"/>
                <w:color w:val="auto"/>
              </w:rPr>
              <w:t>224</w:t>
            </w:r>
          </w:p>
        </w:tc>
      </w:tr>
    </w:tbl>
    <w:p>
      <w:pPr>
        <w:spacing w:after="0" w:line="200" w:lineRule="exact"/>
        <w:rPr>
          <w:sz w:val="20"/>
          <w:szCs w:val="20"/>
          <w:color w:val="auto"/>
        </w:rPr>
      </w:pPr>
    </w:p>
    <w:p>
      <w:pPr>
        <w:spacing w:after="0" w:line="241" w:lineRule="exact"/>
        <w:rPr>
          <w:sz w:val="20"/>
          <w:szCs w:val="20"/>
          <w:color w:val="auto"/>
        </w:rPr>
      </w:pPr>
    </w:p>
    <w:p>
      <w:pPr>
        <w:ind w:right="684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Revenue Recognition</w:t>
      </w:r>
    </w:p>
    <w:p>
      <w:pPr>
        <w:spacing w:after="0" w:line="1"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following tables summarize net product revenue by Global Business Unit ("GBU") and geography for the three months ended August 31, 2019 and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778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6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516"/>
              <w:spacing w:after="0"/>
              <w:rPr>
                <w:sz w:val="20"/>
                <w:szCs w:val="20"/>
                <w:color w:val="auto"/>
              </w:rPr>
            </w:pPr>
            <w:r>
              <w:rPr>
                <w:rFonts w:ascii="Arial" w:cs="Arial" w:eastAsia="Arial" w:hAnsi="Arial"/>
                <w:sz w:val="14"/>
                <w:szCs w:val="14"/>
                <w:color w:val="auto"/>
                <w:w w:val="92"/>
              </w:rPr>
              <w:t>Three months ended August 31, 2019</w:t>
            </w:r>
          </w:p>
        </w:tc>
        <w:tc>
          <w:tcPr>
            <w:tcW w:w="720" w:type="dxa"/>
            <w:vAlign w:val="bottom"/>
            <w:tcBorders>
              <w:bottom w:val="single" w:sz="8" w:color="auto"/>
            </w:tcBorders>
          </w:tcPr>
          <w:p>
            <w:pPr>
              <w:spacing w:after="0"/>
              <w:rPr>
                <w:sz w:val="24"/>
                <w:szCs w:val="24"/>
                <w:color w:val="auto"/>
              </w:rPr>
            </w:pP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International</w:t>
            </w:r>
          </w:p>
        </w:tc>
        <w:tc>
          <w:tcPr>
            <w:tcW w:w="420" w:type="dxa"/>
            <w:vAlign w:val="bottom"/>
          </w:tcPr>
          <w:p>
            <w:pPr>
              <w:spacing w:after="0"/>
              <w:rPr>
                <w:sz w:val="22"/>
                <w:szCs w:val="22"/>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color w:val="auto"/>
                <w:w w:val="89"/>
              </w:rPr>
              <w:t>Total</w:t>
            </w:r>
          </w:p>
        </w:tc>
      </w:tr>
      <w:tr>
        <w:trPr>
          <w:trHeight w:val="250"/>
        </w:trPr>
        <w:tc>
          <w:tcPr>
            <w:tcW w:w="77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380"/>
              <w:spacing w:after="0"/>
              <w:rPr>
                <w:sz w:val="20"/>
                <w:szCs w:val="20"/>
                <w:color w:val="auto"/>
              </w:rPr>
            </w:pPr>
            <w:r>
              <w:rPr>
                <w:rFonts w:ascii="Arial" w:cs="Arial" w:eastAsia="Arial" w:hAnsi="Arial"/>
                <w:sz w:val="18"/>
                <w:szCs w:val="18"/>
                <w:color w:val="auto"/>
              </w:rPr>
              <w:t>Vascular Interventions &amp; Therapies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25,676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28,913</w:t>
            </w:r>
          </w:p>
        </w:tc>
      </w:tr>
      <w:tr>
        <w:trPr>
          <w:trHeight w:val="27"/>
        </w:trPr>
        <w:tc>
          <w:tcPr>
            <w:tcW w:w="10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23,159</w:t>
            </w:r>
          </w:p>
        </w:tc>
      </w:tr>
      <w:tr>
        <w:trPr>
          <w:trHeight w:val="243"/>
        </w:trPr>
        <w:tc>
          <w:tcPr>
            <w:tcW w:w="7780" w:type="dxa"/>
            <w:vAlign w:val="bottom"/>
            <w:gridSpan w:val="2"/>
          </w:tcPr>
          <w:p>
            <w:pPr>
              <w:ind w:left="380"/>
              <w:spacing w:after="0"/>
              <w:rPr>
                <w:sz w:val="20"/>
                <w:szCs w:val="20"/>
                <w:color w:val="auto"/>
              </w:rPr>
            </w:pPr>
            <w:r>
              <w:rPr>
                <w:rFonts w:ascii="Arial" w:cs="Arial" w:eastAsia="Arial" w:hAnsi="Arial"/>
                <w:sz w:val="18"/>
                <w:szCs w:val="18"/>
                <w:color w:val="auto"/>
              </w:rPr>
              <w:t>Oncology</w:t>
            </w: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7,977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5,993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13,970</w:t>
            </w:r>
          </w:p>
        </w:tc>
      </w:tr>
      <w:tr>
        <w:trPr>
          <w:trHeight w:val="27"/>
        </w:trPr>
        <w:tc>
          <w:tcPr>
            <w:tcW w:w="102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52,937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66,042</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380"/>
        </w:trPr>
        <w:tc>
          <w:tcPr>
            <w:tcW w:w="10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516"/>
              <w:spacing w:after="0"/>
              <w:rPr>
                <w:sz w:val="20"/>
                <w:szCs w:val="20"/>
                <w:color w:val="auto"/>
              </w:rPr>
            </w:pPr>
            <w:r>
              <w:rPr>
                <w:rFonts w:ascii="Arial" w:cs="Arial" w:eastAsia="Arial" w:hAnsi="Arial"/>
                <w:sz w:val="14"/>
                <w:szCs w:val="14"/>
                <w:color w:val="auto"/>
                <w:w w:val="92"/>
              </w:rPr>
              <w:t>Three months ended August 31, 2018</w:t>
            </w:r>
          </w:p>
        </w:tc>
        <w:tc>
          <w:tcPr>
            <w:tcW w:w="720" w:type="dxa"/>
            <w:vAlign w:val="bottom"/>
            <w:tcBorders>
              <w:bottom w:val="single" w:sz="8" w:color="auto"/>
            </w:tcBorders>
          </w:tcPr>
          <w:p>
            <w:pPr>
              <w:spacing w:after="0"/>
              <w:rPr>
                <w:sz w:val="24"/>
                <w:szCs w:val="24"/>
                <w:color w:val="auto"/>
              </w:rPr>
            </w:pP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International</w:t>
            </w:r>
          </w:p>
        </w:tc>
        <w:tc>
          <w:tcPr>
            <w:tcW w:w="420" w:type="dxa"/>
            <w:vAlign w:val="bottom"/>
          </w:tcPr>
          <w:p>
            <w:pPr>
              <w:spacing w:after="0"/>
              <w:rPr>
                <w:sz w:val="22"/>
                <w:szCs w:val="22"/>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color w:val="auto"/>
                <w:w w:val="89"/>
              </w:rPr>
              <w:t>Total</w:t>
            </w:r>
          </w:p>
        </w:tc>
      </w:tr>
      <w:tr>
        <w:trPr>
          <w:trHeight w:val="250"/>
        </w:trPr>
        <w:tc>
          <w:tcPr>
            <w:tcW w:w="77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380"/>
              <w:spacing w:after="0"/>
              <w:rPr>
                <w:sz w:val="20"/>
                <w:szCs w:val="20"/>
                <w:color w:val="auto"/>
              </w:rPr>
            </w:pPr>
            <w:r>
              <w:rPr>
                <w:rFonts w:ascii="Arial" w:cs="Arial" w:eastAsia="Arial" w:hAnsi="Arial"/>
                <w:sz w:val="18"/>
                <w:szCs w:val="18"/>
                <w:color w:val="auto"/>
              </w:rPr>
              <w:t>Vascular Interventions &amp; Therapies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25,851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28,598</w:t>
            </w:r>
          </w:p>
        </w:tc>
      </w:tr>
      <w:tr>
        <w:trPr>
          <w:trHeight w:val="27"/>
        </w:trPr>
        <w:tc>
          <w:tcPr>
            <w:tcW w:w="10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23,790</w:t>
            </w:r>
          </w:p>
        </w:tc>
      </w:tr>
      <w:tr>
        <w:trPr>
          <w:trHeight w:val="243"/>
        </w:trPr>
        <w:tc>
          <w:tcPr>
            <w:tcW w:w="7780" w:type="dxa"/>
            <w:vAlign w:val="bottom"/>
            <w:gridSpan w:val="2"/>
          </w:tcPr>
          <w:p>
            <w:pPr>
              <w:ind w:left="380"/>
              <w:spacing w:after="0"/>
              <w:rPr>
                <w:sz w:val="20"/>
                <w:szCs w:val="20"/>
                <w:color w:val="auto"/>
              </w:rPr>
            </w:pPr>
            <w:r>
              <w:rPr>
                <w:rFonts w:ascii="Arial" w:cs="Arial" w:eastAsia="Arial" w:hAnsi="Arial"/>
                <w:sz w:val="18"/>
                <w:szCs w:val="18"/>
                <w:color w:val="auto"/>
              </w:rPr>
              <w:t>Oncology</w:t>
            </w: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6,357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11,555</w:t>
            </w:r>
          </w:p>
        </w:tc>
      </w:tr>
      <w:tr>
        <w:trPr>
          <w:trHeight w:val="27"/>
        </w:trPr>
        <w:tc>
          <w:tcPr>
            <w:tcW w:w="102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51,496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12,447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63,943</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48"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implanted for short or long term use. The Company sells its products to its distribution partners and to end users, such as interventional radiologists, interventional cardiologists, vascular surgeons, urologists, interventional and surgical oncologists and critical care nurses.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and Performance Obligations</w:t>
      </w:r>
    </w:p>
    <w:p>
      <w:pPr>
        <w:spacing w:after="0" w:line="171"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and Allocation to Performance Obligations</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Transaction prices of products are typically based on contracted rates. Product revenue is measured as the amount of consideration the Company expects to receive in exchange for transferring products to a customer. To the extent the transaction price includes variable consideration, the Company estimates the amount of variable consideration that should be included in the transaction price utilizing the expected value method. As such, revenue is recorded net of rebates, returns and other deductions.</w:t>
      </w:r>
    </w:p>
    <w:p>
      <w:pPr>
        <w:spacing w:after="0" w:line="133" w:lineRule="exact"/>
        <w:rPr>
          <w:sz w:val="20"/>
          <w:szCs w:val="20"/>
          <w:color w:val="auto"/>
        </w:rPr>
      </w:pPr>
    </w:p>
    <w:p>
      <w:pPr>
        <w:ind w:right="460" w:firstLine="405"/>
        <w:spacing w:after="0" w:line="259" w:lineRule="auto"/>
        <w:rPr>
          <w:sz w:val="20"/>
          <w:szCs w:val="20"/>
          <w:color w:val="auto"/>
        </w:rPr>
      </w:pPr>
      <w:r>
        <w:rPr>
          <w:rFonts w:ascii="Arial" w:cs="Arial" w:eastAsia="Arial" w:hAnsi="Arial"/>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2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7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w:t>
      </w:r>
    </w:p>
    <w:p>
      <w:pPr>
        <w:spacing w:after="0" w:line="127" w:lineRule="exact"/>
        <w:rPr>
          <w:sz w:val="20"/>
          <w:szCs w:val="20"/>
          <w:color w:val="auto"/>
        </w:rPr>
      </w:pPr>
    </w:p>
    <w:p>
      <w:pPr>
        <w:ind w:firstLine="392"/>
        <w:spacing w:after="0" w:line="302" w:lineRule="auto"/>
        <w:rPr>
          <w:sz w:val="20"/>
          <w:szCs w:val="20"/>
          <w:color w:val="auto"/>
        </w:rPr>
      </w:pPr>
      <w:r>
        <w:rPr>
          <w:rFonts w:ascii="Arial" w:cs="Arial" w:eastAsia="Arial" w:hAnsi="Arial"/>
          <w:sz w:val="16"/>
          <w:szCs w:val="16"/>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a liability for such amounts, which is included in accrued expenses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w:t>
      </w:r>
    </w:p>
    <w:p>
      <w:pPr>
        <w:spacing w:after="0" w:line="10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three months ended August 31, 2019, such product returns were not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with Customers</w:t>
      </w:r>
    </w:p>
    <w:p>
      <w:pPr>
        <w:spacing w:after="0" w:line="148"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 receivable is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changes in the Company’s receivables, contract assets and contract liabilities with customers: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6"/>
                <w:szCs w:val="16"/>
                <w:color w:val="auto"/>
              </w:rPr>
            </w:pPr>
          </w:p>
        </w:tc>
        <w:tc>
          <w:tcPr>
            <w:tcW w:w="1800" w:type="dxa"/>
            <w:vAlign w:val="bottom"/>
            <w:gridSpan w:val="2"/>
          </w:tcPr>
          <w:p>
            <w:pPr>
              <w:ind w:left="260"/>
              <w:spacing w:after="0"/>
              <w:rPr>
                <w:sz w:val="20"/>
                <w:szCs w:val="20"/>
                <w:color w:val="auto"/>
              </w:rPr>
            </w:pPr>
            <w:r>
              <w:rPr>
                <w:rFonts w:ascii="Arial" w:cs="Arial" w:eastAsia="Arial" w:hAnsi="Arial"/>
                <w:sz w:val="14"/>
                <w:szCs w:val="14"/>
                <w:color w:val="auto"/>
              </w:rPr>
              <w:t>Aug 31, 2019</w:t>
            </w:r>
          </w:p>
        </w:tc>
        <w:tc>
          <w:tcPr>
            <w:tcW w:w="400" w:type="dxa"/>
            <w:vAlign w:val="bottom"/>
          </w:tcPr>
          <w:p>
            <w:pPr>
              <w:spacing w:after="0"/>
              <w:rPr>
                <w:sz w:val="16"/>
                <w:szCs w:val="16"/>
                <w:color w:val="auto"/>
              </w:rPr>
            </w:pPr>
          </w:p>
        </w:tc>
        <w:tc>
          <w:tcPr>
            <w:tcW w:w="1780" w:type="dxa"/>
            <w:vAlign w:val="bottom"/>
          </w:tcPr>
          <w:p>
            <w:pPr>
              <w:jc w:val="right"/>
              <w:ind w:right="594"/>
              <w:spacing w:after="0"/>
              <w:rPr>
                <w:sz w:val="20"/>
                <w:szCs w:val="20"/>
                <w:color w:val="auto"/>
              </w:rPr>
            </w:pPr>
            <w:r>
              <w:rPr>
                <w:rFonts w:ascii="Arial" w:cs="Arial" w:eastAsia="Arial" w:hAnsi="Arial"/>
                <w:sz w:val="14"/>
                <w:szCs w:val="14"/>
                <w:color w:val="auto"/>
              </w:rPr>
              <w:t>May 31, 2019</w:t>
            </w: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32,540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43,577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Contract assets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681</w:t>
            </w:r>
          </w:p>
        </w:tc>
      </w:tr>
      <w:tr>
        <w:trPr>
          <w:trHeight w:val="27"/>
        </w:trPr>
        <w:tc>
          <w:tcPr>
            <w:tcW w:w="6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During the three months ended August 31, 2019, the Company recognized $0.2 million in revenue that was included in contract liabilities as of the beginning of the period. This was offset by additions to contract liabilities of $0.1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to Obtain or Fulfill a Customer Contract</w:t>
      </w:r>
    </w:p>
    <w:p>
      <w:pPr>
        <w:spacing w:after="0" w:line="14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Under ASC 606, 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33"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are stated at lower of cost and net realizable value (using the first-in, first-out method). Inventories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Aug 31, 2019</w:t>
            </w:r>
          </w:p>
        </w:tc>
        <w:tc>
          <w:tcPr>
            <w:tcW w:w="240" w:type="dxa"/>
            <w:vAlign w:val="bottom"/>
          </w:tcPr>
          <w:p>
            <w:pPr>
              <w:spacing w:after="0"/>
              <w:rPr>
                <w:sz w:val="16"/>
                <w:szCs w:val="16"/>
                <w:color w:val="auto"/>
              </w:rPr>
            </w:pPr>
          </w:p>
        </w:tc>
        <w:tc>
          <w:tcPr>
            <w:tcW w:w="1240" w:type="dxa"/>
            <w:vAlign w:val="bottom"/>
          </w:tcPr>
          <w:p>
            <w:pPr>
              <w:jc w:val="right"/>
              <w:ind w:right="254"/>
              <w:spacing w:after="0"/>
              <w:rPr>
                <w:sz w:val="20"/>
                <w:szCs w:val="20"/>
                <w:color w:val="auto"/>
              </w:rPr>
            </w:pPr>
            <w:r>
              <w:rPr>
                <w:rFonts w:ascii="Arial" w:cs="Arial" w:eastAsia="Arial" w:hAnsi="Arial"/>
                <w:sz w:val="14"/>
                <w:szCs w:val="14"/>
                <w:color w:val="auto"/>
              </w:rPr>
              <w:t>May 31, 2019</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8,539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6,786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17,240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45,229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40,071</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firstLine="405"/>
        <w:spacing w:after="0" w:line="255" w:lineRule="auto"/>
        <w:rPr>
          <w:sz w:val="20"/>
          <w:szCs w:val="20"/>
          <w:color w:val="auto"/>
        </w:rPr>
      </w:pPr>
      <w:r>
        <w:rPr>
          <w:rFonts w:ascii="Arial" w:cs="Arial" w:eastAsia="Arial" w:hAnsi="Arial"/>
          <w:sz w:val="18"/>
          <w:szCs w:val="18"/>
          <w:color w:val="auto"/>
        </w:rPr>
        <w:t>The Company periodically reviews for both obsolescence and loss of value. The Company makes assumptions about the future demand for and market value of the inventory. Based on these assumptions, the Company estimates the amount of obsolete, expiring and slow moving inventory. The total inventory reserve at August 31, 2019 and May 31, 2019 was $4.1 million and $4.2 million, respectively. Of the $4.1 million reserve as of August 31, 2019 and the $4.2 million reserve as of May 31, 2019, $0.4 million relates to the inventory reserve for Acculis inventory as a result of the recall announced in the fourth quarter of fiscal year 2017 and $0.7 million relates to a specific reserve related to the termination of an agreement with a Japanese distributor in the second quarter of fiscal year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Intangible assets other than goodwill are amortized over their estimated useful lives on either a straight-line basis or proportionately to the benefit being realized. Useful lives range from two to eighteen years. The Company periodically reviews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88"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4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Company's annual testing for impairment of goodwill was completed as of December 31, 2018.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18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Even though the Company determined that there was no goodwill impairment as of December 31, 2018,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2019. There were no adjustments to goodwill for the three months ended August 31, 2019.</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3"/>
              </w:rPr>
              <w:t>Aug 31, 2019</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center"/>
              <w:ind w:right="400"/>
              <w:spacing w:after="0" w:line="157" w:lineRule="exact"/>
              <w:rPr>
                <w:sz w:val="20"/>
                <w:szCs w:val="20"/>
                <w:color w:val="auto"/>
              </w:rPr>
            </w:pPr>
            <w:r>
              <w:rPr>
                <w:rFonts w:ascii="Arial" w:cs="Arial" w:eastAsia="Arial" w:hAnsi="Arial"/>
                <w:sz w:val="14"/>
                <w:szCs w:val="14"/>
                <w:color w:val="auto"/>
                <w:w w:val="85"/>
              </w:rPr>
              <w:t>Gross</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carrying</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Accumulated</w:t>
            </w:r>
          </w:p>
        </w:tc>
        <w:tc>
          <w:tcPr>
            <w:tcW w:w="220" w:type="dxa"/>
            <w:vAlign w:val="bottom"/>
          </w:tcPr>
          <w:p>
            <w:pPr>
              <w:spacing w:after="0"/>
              <w:rPr>
                <w:sz w:val="12"/>
                <w:szCs w:val="12"/>
                <w:color w:val="auto"/>
              </w:rPr>
            </w:pPr>
          </w:p>
        </w:tc>
        <w:tc>
          <w:tcPr>
            <w:tcW w:w="1120" w:type="dxa"/>
            <w:vAlign w:val="bottom"/>
          </w:tcPr>
          <w:p>
            <w:pPr>
              <w:jc w:val="right"/>
              <w:ind w:right="215"/>
              <w:spacing w:after="0" w:line="149" w:lineRule="exact"/>
              <w:rPr>
                <w:sz w:val="20"/>
                <w:szCs w:val="20"/>
                <w:color w:val="auto"/>
              </w:rPr>
            </w:pPr>
            <w:r>
              <w:rPr>
                <w:rFonts w:ascii="Arial" w:cs="Arial" w:eastAsia="Arial" w:hAnsi="Arial"/>
                <w:sz w:val="14"/>
                <w:szCs w:val="14"/>
                <w:color w:val="auto"/>
              </w:rPr>
              <w:t>Net carrying</w:t>
            </w:r>
          </w:p>
        </w:tc>
        <w:tc>
          <w:tcPr>
            <w:tcW w:w="0" w:type="dxa"/>
            <w:vAlign w:val="bottom"/>
          </w:tcPr>
          <w:p>
            <w:pPr>
              <w:spacing w:after="0"/>
              <w:rPr>
                <w:sz w:val="1"/>
                <w:szCs w:val="1"/>
                <w:color w:val="auto"/>
              </w:rPr>
            </w:pPr>
          </w:p>
        </w:tc>
      </w:tr>
      <w:tr>
        <w:trPr>
          <w:trHeight w:val="188"/>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color w:val="auto"/>
                <w:w w:val="95"/>
              </w:rPr>
              <w:t>value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96"/>
              </w:rPr>
              <w:t>amortization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3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182,968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105,001</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60,147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33,152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3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Licenses</w:t>
            </w:r>
          </w:p>
        </w:tc>
        <w:tc>
          <w:tcPr>
            <w:tcW w:w="3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5,887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258,302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141,655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bottom w:val="single" w:sz="8" w:color="CCEEFF"/>
            </w:tcBorders>
            <w:vMerge w:val="restart"/>
          </w:tcPr>
          <w:p>
            <w:pPr>
              <w:jc w:val="right"/>
              <w:ind w:right="1150"/>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4"/>
              </w:rPr>
              <w:t>May 31, 2019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center"/>
              <w:ind w:right="400"/>
              <w:spacing w:after="0" w:line="157" w:lineRule="exact"/>
              <w:rPr>
                <w:sz w:val="20"/>
                <w:szCs w:val="20"/>
                <w:color w:val="auto"/>
              </w:rPr>
            </w:pPr>
            <w:r>
              <w:rPr>
                <w:rFonts w:ascii="Arial" w:cs="Arial" w:eastAsia="Arial" w:hAnsi="Arial"/>
                <w:sz w:val="14"/>
                <w:szCs w:val="14"/>
                <w:color w:val="auto"/>
                <w:w w:val="85"/>
              </w:rPr>
              <w:t>Gross</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9"/>
        </w:trPr>
        <w:tc>
          <w:tcPr>
            <w:tcW w:w="10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carrying</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12"/>
                <w:szCs w:val="12"/>
                <w:color w:val="auto"/>
              </w:rPr>
            </w:pPr>
          </w:p>
        </w:tc>
        <w:tc>
          <w:tcPr>
            <w:tcW w:w="1140" w:type="dxa"/>
            <w:vAlign w:val="bottom"/>
          </w:tcPr>
          <w:p>
            <w:pPr>
              <w:jc w:val="right"/>
              <w:ind w:right="235"/>
              <w:spacing w:after="0" w:line="149" w:lineRule="exact"/>
              <w:rPr>
                <w:sz w:val="20"/>
                <w:szCs w:val="20"/>
                <w:color w:val="auto"/>
              </w:rPr>
            </w:pPr>
            <w:r>
              <w:rPr>
                <w:rFonts w:ascii="Arial" w:cs="Arial" w:eastAsia="Arial" w:hAnsi="Arial"/>
                <w:sz w:val="14"/>
                <w:szCs w:val="14"/>
                <w:color w:val="auto"/>
              </w:rPr>
              <w:t>Net carrying</w:t>
            </w:r>
          </w:p>
        </w:tc>
      </w:tr>
      <w:tr>
        <w:trPr>
          <w:trHeight w:val="188"/>
        </w:trPr>
        <w:tc>
          <w:tcPr>
            <w:tcW w:w="708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value</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amortization</w:t>
            </w:r>
          </w:p>
        </w:tc>
        <w:tc>
          <w:tcPr>
            <w:tcW w:w="22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Arial" w:cs="Arial" w:eastAsia="Arial" w:hAnsi="Arial"/>
                <w:sz w:val="14"/>
                <w:szCs w:val="14"/>
                <w:color w:val="auto"/>
              </w:rPr>
              <w:t>value</w:t>
            </w:r>
          </w:p>
        </w:tc>
      </w:tr>
      <w:tr>
        <w:trPr>
          <w:trHeight w:val="250"/>
        </w:trPr>
        <w:tc>
          <w:tcPr>
            <w:tcW w:w="70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182,971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107,559</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60,166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34,216</w:t>
            </w:r>
          </w:p>
        </w:tc>
      </w:tr>
      <w:tr>
        <w:trPr>
          <w:trHeight w:val="27"/>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2,896</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Licenses</w:t>
            </w:r>
          </w:p>
        </w:tc>
        <w:tc>
          <w:tcPr>
            <w:tcW w:w="30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716</w:t>
            </w:r>
          </w:p>
        </w:tc>
      </w:tr>
      <w:tr>
        <w:trPr>
          <w:trHeight w:val="27"/>
        </w:trPr>
        <w:tc>
          <w:tcPr>
            <w:tcW w:w="102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258,189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145,387</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expense for the three months ended August 31, 2019 and 2018 was $3.9 million and $3.4 million, respectively.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Expected future amortization expense related to the intangible assets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6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6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11,308</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2021</w:t>
            </w:r>
          </w:p>
        </w:tc>
        <w:tc>
          <w:tcPr>
            <w:tcW w:w="6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14,022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13,406</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2023</w:t>
            </w:r>
          </w:p>
        </w:tc>
        <w:tc>
          <w:tcPr>
            <w:tcW w:w="6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13,369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6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11,813</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2025 and thereafter</w:t>
            </w:r>
          </w:p>
        </w:tc>
        <w:tc>
          <w:tcPr>
            <w:tcW w:w="6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77,737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spacing w:after="0"/>
              <w:rPr>
                <w:sz w:val="22"/>
                <w:szCs w:val="22"/>
                <w:color w:val="auto"/>
              </w:rPr>
            </w:pPr>
          </w:p>
        </w:tc>
        <w:tc>
          <w:tcPr>
            <w:tcW w:w="6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141,655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bottom w:val="single" w:sz="8" w:color="CCEEFF"/>
            </w:tcBorders>
            <w:vMerge w:val="restart"/>
          </w:tcPr>
          <w:p>
            <w:pPr>
              <w:jc w:val="right"/>
              <w:ind w:right="4170"/>
              <w:spacing w:after="0"/>
              <w:rPr>
                <w:sz w:val="20"/>
                <w:szCs w:val="20"/>
                <w:color w:val="auto"/>
              </w:rPr>
            </w:pPr>
            <w:r>
              <w:rPr>
                <w:rFonts w:ascii="Arial" w:cs="Arial" w:eastAsia="Arial" w:hAnsi="Arial"/>
                <w:sz w:val="18"/>
                <w:szCs w:val="18"/>
                <w:color w:val="auto"/>
              </w:rPr>
              <w:t>16</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52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LIABILITIES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Aug 31, 2019</w:t>
            </w:r>
          </w:p>
        </w:tc>
        <w:tc>
          <w:tcPr>
            <w:tcW w:w="180" w:type="dxa"/>
            <w:vAlign w:val="bottom"/>
          </w:tcPr>
          <w:p>
            <w:pPr>
              <w:spacing w:after="0"/>
              <w:rPr>
                <w:sz w:val="16"/>
                <w:szCs w:val="16"/>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color w:val="auto"/>
                <w:w w:val="98"/>
              </w:rPr>
              <w:t>May 31, 2019</w:t>
            </w:r>
          </w:p>
        </w:tc>
      </w:tr>
      <w:tr>
        <w:trPr>
          <w:trHeight w:val="250"/>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expenses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14,987</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Royalties</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2,088</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Sales and franchise taxes</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807</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services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3,514</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Litigation matters</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2,700</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Indemnification holdback</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4,807</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8,931</w:t>
            </w:r>
          </w:p>
        </w:tc>
      </w:tr>
      <w:tr>
        <w:trPr>
          <w:trHeight w:val="27"/>
        </w:trPr>
        <w:tc>
          <w:tcPr>
            <w:tcW w:w="8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38,338</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 TERM DEBT</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On June 3, 2019 and in connection with the completion of the Fluid Management divestiture, the Company repaid all amounts outstanding under its existing Credit Agreement and entered into a new Credit Agreement with the lenders party thereto, JPMorgan Chase Bank, N.A., as administrative agent, and Bank of America, N.A. and KeyBank National Association, as co-syndication agents.</w:t>
      </w:r>
    </w:p>
    <w:p>
      <w:pPr>
        <w:spacing w:after="0" w:line="343"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Credit Agreement provides for a $125.0 million secured revolving credit facility (the “Revolving Facility”), which includes an uncommitted expansion feature that allows the Company to increase the total revolving commitments and/or add new tranches of term loans in an aggregate amount not to exceed $75.0 million. The proceeds may be used to refinance certain existing indebtedness of the Company and its subsidiaries, to finance the working capital needs, and for general corporate purposes (including permitted acquisitions), of the Company and its subsidiaries.</w:t>
      </w:r>
    </w:p>
    <w:p>
      <w:pPr>
        <w:spacing w:after="0" w:line="17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Credit Agreement has a five year maturity. Interest on the facility will be based, at the Company’s option, on a base rate of LIBOR plus an applicable margin tied to the Company’s total leverage ratio and having ranges between 0.25% and 0.75% for base rate loans and between 1.25% and 1.75% for LIBOR loans. After default, the interest rate may be increased by 2.0%. The facility will also carry a commitment fee of 0.20% to 0.25% per annum on the unused portion.</w:t>
      </w:r>
    </w:p>
    <w:p>
      <w:pPr>
        <w:spacing w:after="0" w:line="18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Company's obligations under the Revolving Facility are unconditionally guaranteed, jointly and severally, by the Company's material direct and indirect domestic subsidiaries (the “Guarantors”). All obligations of the Company and the Guarantors under the Revolving Facility are secured by first priority security interests in substantially all of the assets of the Company and the Guarantors.</w:t>
      </w:r>
    </w:p>
    <w:p>
      <w:pPr>
        <w:spacing w:after="0" w:line="18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70" w:lineRule="exact"/>
        <w:rPr>
          <w:sz w:val="20"/>
          <w:szCs w:val="20"/>
          <w:color w:val="auto"/>
        </w:rPr>
      </w:pPr>
    </w:p>
    <w:p>
      <w:pPr>
        <w:ind w:left="820" w:right="380" w:hanging="326"/>
        <w:spacing w:after="0" w:line="277"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maximum leverage ratio of consolidated total indebtedness* to consolidated EBITDA* of not greater than 3.00 to 1.00 (during certain periods following material acquisitions the ratio shall be increased to 3.50 to 1.00).</w:t>
      </w:r>
    </w:p>
    <w:p>
      <w:pPr>
        <w:spacing w:after="0" w:line="170" w:lineRule="exact"/>
        <w:rPr>
          <w:rFonts w:ascii="Arial" w:cs="Arial" w:eastAsia="Arial" w:hAnsi="Arial"/>
          <w:sz w:val="18"/>
          <w:szCs w:val="18"/>
          <w:color w:val="auto"/>
        </w:rPr>
      </w:pPr>
    </w:p>
    <w:p>
      <w:pPr>
        <w:ind w:left="820" w:right="180" w:hanging="326"/>
        <w:spacing w:after="0" w:line="308" w:lineRule="auto"/>
        <w:tabs>
          <w:tab w:leader="none" w:pos="8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1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4"/>
          <w:szCs w:val="14"/>
          <w:color w:val="auto"/>
        </w:rPr>
        <w:t>* The definitions of consolidated total indebtedness and consolidated EBITDA are maintained in the credit agreement included as an exhibit to Form 8-k filed on June 6, 2019.</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was in compliance with the Credit Agreement covenants as of August 31, 2019.</w:t>
      </w:r>
    </w:p>
    <w:p>
      <w:pPr>
        <w:spacing w:after="0" w:line="225"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As of August 31, 2019, there was no outstanding balance on the Revolving Facility. As of May 31, 2019 the carrying value of long-term debt approximates its fair market value.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16"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8.3% in the first quarter of fiscal 2020, as compared to 17.8% for the same period in fiscal 2019. In fiscal 2020, the Company’s effective tax rate differs from the U.S. statutory rate primarily due to the impact of the valuation allowance, foreign taxes, and other non-deductible permanent items (such as non-deductible meals and entertainment, Section 162(m) excess compensation and non-deductible stock based compensation).</w:t>
      </w:r>
    </w:p>
    <w:p>
      <w:pPr>
        <w:spacing w:after="0" w:line="173"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that the Company considered included its history of net operating losses, which resulted in the Company recording a full valuation allowance for its deferred tax assets in fiscal 2016, except the naked credit deferred tax liability.</w:t>
      </w:r>
    </w:p>
    <w:p>
      <w:pPr>
        <w:spacing w:after="0" w:line="15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August 31, 2019.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has two stock-based compensation plans that provide for the issuance of up to approximately 11.3 million shares of common stock. The</w:t>
      </w:r>
    </w:p>
    <w:p>
      <w:pPr>
        <w:spacing w:after="0" w:line="4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2004 Stock and Incentive Award Plan (the "2004 Plan") provides for the grant of incentive options to the Company's employees and for the grant of non-statutory stock options, restricted stock, stock appreciation rights, performance units, performance shares and other incentive awards to the Company's employees, directors and other service providers. The Company also has an employee stock purchase plan.</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the three months ended August 31, 2019 and 2018, share-based compensation expense was $1.9 million and $2.2 million, respectively.</w:t>
      </w:r>
    </w:p>
    <w:p>
      <w:pPr>
        <w:spacing w:after="0" w:line="237"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During the three months ended August 31, 2019 and 2018, the Company granted stock options and restricted stock units under the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shares on the date of grant and then amortized on a straight-line basis over the requisite service period of the award.</w:t>
      </w:r>
    </w:p>
    <w:p>
      <w:pPr>
        <w:spacing w:after="0" w:line="171"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As of August 31, 2019, there was $16.6 million of unrecognized compensation expense related to share-based payment arrangements. These costs are expected to be recognized over a weighted-average period of approximately four years. The Company has sufficient shares to satisfy expected share-based payment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2" w:right="27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The following table reconciles basic to diluted weighted-average shares outstanding for the three months ended August 31, 2019 and 2018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color w:val="auto"/>
              </w:rPr>
              <w:t>Three Months Ended</w:t>
            </w:r>
          </w:p>
        </w:tc>
      </w:tr>
      <w:tr>
        <w:trPr>
          <w:trHeight w:val="250"/>
        </w:trPr>
        <w:tc>
          <w:tcPr>
            <w:tcW w:w="89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Aug 31, 2019</w:t>
            </w:r>
          </w:p>
        </w:tc>
        <w:tc>
          <w:tcPr>
            <w:tcW w:w="1240" w:type="dxa"/>
            <w:vAlign w:val="bottom"/>
          </w:tcPr>
          <w:p>
            <w:pPr>
              <w:jc w:val="right"/>
              <w:ind w:right="134"/>
              <w:spacing w:after="0"/>
              <w:rPr>
                <w:sz w:val="20"/>
                <w:szCs w:val="20"/>
                <w:color w:val="auto"/>
              </w:rPr>
            </w:pPr>
            <w:r>
              <w:rPr>
                <w:rFonts w:ascii="Arial" w:cs="Arial" w:eastAsia="Arial" w:hAnsi="Arial"/>
                <w:sz w:val="14"/>
                <w:szCs w:val="14"/>
                <w:color w:val="auto"/>
              </w:rPr>
              <w:t>Aug 31, 2018</w:t>
            </w:r>
          </w:p>
        </w:tc>
      </w:tr>
      <w:tr>
        <w:trPr>
          <w:trHeight w:val="250"/>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1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37,783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37,323</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9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37,783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37,323</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excluded as their inclusion would be anti-dilutive</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2,309</w:t>
            </w:r>
          </w:p>
        </w:tc>
      </w:tr>
      <w:tr>
        <w:trPr>
          <w:trHeight w:val="20"/>
        </w:trPr>
        <w:tc>
          <w:tcPr>
            <w:tcW w:w="8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229"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The Company considers the business to be a single operating segment engaged in the development, manufacture and sale of medical devices for vascular access, peripheral vascular disease and oncology on a global basis. The Company's chief operating decision maker, the President and Chief Executive Officer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net sales by Global Business Unit: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Aug 31, 2019</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3"/>
              </w:rPr>
              <w:t>Aug 31, 2018</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Vascular Interventions &amp; Therapies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28,913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28,598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23,790</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Oncology</w:t>
            </w:r>
          </w:p>
        </w:tc>
        <w:tc>
          <w:tcPr>
            <w:tcW w:w="16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13,970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11,555</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66,042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63,943</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The table below presents net sales by geographic area based on external customer location: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Aug 31, 2019</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3"/>
              </w:rPr>
              <w:t>Aug 31, 2018</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52,937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51,496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13,105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12,447</w:t>
            </w:r>
          </w:p>
        </w:tc>
        <w:tc>
          <w:tcPr>
            <w:tcW w:w="0" w:type="dxa"/>
            <w:vAlign w:val="bottom"/>
          </w:tcPr>
          <w:p>
            <w:pPr>
              <w:spacing w:after="0"/>
              <w:rPr>
                <w:sz w:val="1"/>
                <w:szCs w:val="1"/>
                <w:color w:val="auto"/>
              </w:rPr>
            </w:pPr>
          </w:p>
        </w:tc>
      </w:tr>
      <w:tr>
        <w:trPr>
          <w:trHeight w:val="237"/>
        </w:trPr>
        <w:tc>
          <w:tcPr>
            <w:tcW w:w="9020" w:type="dxa"/>
            <w:vAlign w:val="bottom"/>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66,042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63,943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w:t>
      </w:r>
    </w:p>
    <w:p>
      <w:pPr>
        <w:spacing w:after="0" w:line="229"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7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20" w:firstLine="405"/>
        <w:spacing w:after="0" w:line="288" w:lineRule="auto"/>
        <w:rPr>
          <w:sz w:val="20"/>
          <w:szCs w:val="20"/>
          <w:color w:val="auto"/>
        </w:rPr>
      </w:pPr>
      <w:r>
        <w:rPr>
          <w:rFonts w:ascii="Arial" w:cs="Arial" w:eastAsia="Arial" w:hAnsi="Arial"/>
          <w:sz w:val="16"/>
          <w:szCs w:val="16"/>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 immediate or short-term maturities. The Company's recurring fair value measurements using significant unobservable inputs (Level 3) relate to contingent consideration liabilities.</w:t>
      </w:r>
    </w:p>
    <w:p>
      <w:pPr>
        <w:ind w:left="420"/>
        <w:spacing w:after="0"/>
        <w:rPr>
          <w:sz w:val="20"/>
          <w:szCs w:val="20"/>
          <w:color w:val="auto"/>
        </w:rPr>
      </w:pPr>
      <w:r>
        <w:rPr>
          <w:rFonts w:ascii="Arial" w:cs="Arial" w:eastAsia="Arial" w:hAnsi="Arial"/>
          <w:sz w:val="16"/>
          <w:szCs w:val="16"/>
          <w:color w:val="auto"/>
        </w:rPr>
        <w:t>The following tables provide information by level for assets and liabilities that are measured at fair value on a recurring basis as of August 31, 2019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31, 2019:</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6"/>
          </w:tcPr>
          <w:p>
            <w:pPr>
              <w:jc w:val="center"/>
              <w:ind w:right="150"/>
              <w:spacing w:after="0"/>
              <w:rPr>
                <w:sz w:val="20"/>
                <w:szCs w:val="20"/>
                <w:color w:val="auto"/>
              </w:rPr>
            </w:pPr>
            <w:r>
              <w:rPr>
                <w:rFonts w:ascii="Arial" w:cs="Arial" w:eastAsia="Arial" w:hAnsi="Arial"/>
                <w:sz w:val="14"/>
                <w:szCs w:val="14"/>
                <w:color w:val="auto"/>
                <w:w w:val="92"/>
              </w:rPr>
              <w:t>Fair Value Measurements using</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color w:val="auto"/>
                <w:w w:val="94"/>
              </w:rPr>
              <w:t>Fair Value at August 31,</w:t>
            </w:r>
          </w:p>
        </w:tc>
      </w:tr>
      <w:tr>
        <w:trPr>
          <w:trHeight w:val="188"/>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2"/>
              </w:rPr>
              <w:t>inputs considered as: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2019</w:t>
            </w:r>
          </w:p>
        </w:tc>
      </w:tr>
      <w:tr>
        <w:trPr>
          <w:trHeight w:val="264"/>
        </w:trPr>
        <w:tc>
          <w:tcPr>
            <w:tcW w:w="516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c>
          <w:tcPr>
            <w:tcW w:w="1080" w:type="dxa"/>
            <w:vAlign w:val="bottom"/>
          </w:tcPr>
          <w:p>
            <w:pPr>
              <w:jc w:val="right"/>
              <w:ind w:right="36"/>
              <w:spacing w:after="0"/>
              <w:rPr>
                <w:sz w:val="20"/>
                <w:szCs w:val="20"/>
                <w:color w:val="auto"/>
              </w:rPr>
            </w:pPr>
            <w:r>
              <w:rPr>
                <w:rFonts w:ascii="Arial" w:cs="Arial" w:eastAsia="Arial" w:hAnsi="Arial"/>
                <w:sz w:val="14"/>
                <w:szCs w:val="14"/>
                <w:color w:val="auto"/>
              </w:rPr>
              <w:t>Level 1</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Level 2</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Level 3</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89"/>
        </w:trPr>
        <w:tc>
          <w:tcPr>
            <w:tcW w:w="516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Liabilities</w:t>
            </w:r>
          </w:p>
        </w:tc>
        <w:tc>
          <w:tcPr>
            <w:tcW w:w="10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auto"/>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Contingent consideration for acquisition earn outs</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11,830</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11,830</w:t>
            </w: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11,830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434"/>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6"/>
          </w:tcPr>
          <w:p>
            <w:pPr>
              <w:jc w:val="center"/>
              <w:ind w:right="150"/>
              <w:spacing w:after="0"/>
              <w:rPr>
                <w:sz w:val="20"/>
                <w:szCs w:val="20"/>
                <w:color w:val="auto"/>
              </w:rPr>
            </w:pPr>
            <w:r>
              <w:rPr>
                <w:rFonts w:ascii="Arial" w:cs="Arial" w:eastAsia="Arial" w:hAnsi="Arial"/>
                <w:sz w:val="14"/>
                <w:szCs w:val="14"/>
                <w:color w:val="auto"/>
                <w:w w:val="92"/>
              </w:rPr>
              <w:t>Fair Value Measurements using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36"/>
              <w:spacing w:after="0"/>
              <w:rPr>
                <w:sz w:val="20"/>
                <w:szCs w:val="20"/>
                <w:color w:val="auto"/>
              </w:rPr>
            </w:pPr>
            <w:r>
              <w:rPr>
                <w:rFonts w:ascii="Arial" w:cs="Arial" w:eastAsia="Arial" w:hAnsi="Arial"/>
                <w:sz w:val="14"/>
                <w:szCs w:val="14"/>
                <w:color w:val="auto"/>
              </w:rPr>
              <w:t>Fair Value at May 31,</w:t>
            </w:r>
          </w:p>
        </w:tc>
      </w:tr>
      <w:tr>
        <w:trPr>
          <w:trHeight w:val="188"/>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2"/>
              </w:rPr>
              <w:t>inputs considered as: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2019</w:t>
            </w:r>
          </w:p>
        </w:tc>
      </w:tr>
      <w:tr>
        <w:trPr>
          <w:trHeight w:val="264"/>
        </w:trPr>
        <w:tc>
          <w:tcPr>
            <w:tcW w:w="516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c>
          <w:tcPr>
            <w:tcW w:w="1080" w:type="dxa"/>
            <w:vAlign w:val="bottom"/>
          </w:tcPr>
          <w:p>
            <w:pPr>
              <w:jc w:val="right"/>
              <w:ind w:right="36"/>
              <w:spacing w:after="0"/>
              <w:rPr>
                <w:sz w:val="20"/>
                <w:szCs w:val="20"/>
                <w:color w:val="auto"/>
              </w:rPr>
            </w:pPr>
            <w:r>
              <w:rPr>
                <w:rFonts w:ascii="Arial" w:cs="Arial" w:eastAsia="Arial" w:hAnsi="Arial"/>
                <w:sz w:val="14"/>
                <w:szCs w:val="14"/>
                <w:color w:val="auto"/>
              </w:rPr>
              <w:t>Level 1</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Level 2</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Level 3</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89"/>
        </w:trPr>
        <w:tc>
          <w:tcPr>
            <w:tcW w:w="516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Liabilities</w:t>
            </w:r>
          </w:p>
        </w:tc>
        <w:tc>
          <w:tcPr>
            <w:tcW w:w="10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auto"/>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Contingent consideration for acquisition earn outs</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13,486</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13,486</w:t>
            </w: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13,486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2 and 3 for the three months ended August 31, 2019.</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changes in fair value components of Level 3 instruments in the three months ended August 31,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41"/>
              <w:spacing w:after="0"/>
              <w:rPr>
                <w:sz w:val="20"/>
                <w:szCs w:val="20"/>
                <w:color w:val="auto"/>
              </w:rPr>
            </w:pPr>
            <w:r>
              <w:rPr>
                <w:rFonts w:ascii="Arial" w:cs="Arial" w:eastAsia="Arial" w:hAnsi="Arial"/>
                <w:sz w:val="14"/>
                <w:szCs w:val="14"/>
                <w:color w:val="auto"/>
                <w:w w:val="93"/>
              </w:rPr>
              <w:t>Three Months Ended August</w:t>
            </w:r>
          </w:p>
        </w:tc>
      </w:tr>
      <w:tr>
        <w:trPr>
          <w:trHeight w:val="188"/>
        </w:trPr>
        <w:tc>
          <w:tcPr>
            <w:tcW w:w="9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1"/>
              </w:rPr>
              <w:t>31, 2019</w:t>
            </w:r>
          </w:p>
        </w:tc>
      </w:tr>
      <w:tr>
        <w:trPr>
          <w:trHeight w:val="156"/>
        </w:trPr>
        <w:tc>
          <w:tcPr>
            <w:tcW w:w="9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41"/>
              <w:spacing w:after="0" w:line="157" w:lineRule="exact"/>
              <w:rPr>
                <w:sz w:val="20"/>
                <w:szCs w:val="20"/>
                <w:color w:val="auto"/>
              </w:rPr>
            </w:pPr>
            <w:r>
              <w:rPr>
                <w:rFonts w:ascii="Arial" w:cs="Arial" w:eastAsia="Arial" w:hAnsi="Arial"/>
                <w:sz w:val="14"/>
                <w:szCs w:val="14"/>
                <w:color w:val="auto"/>
                <w:w w:val="91"/>
              </w:rPr>
              <w:t>Fair Value Measurements</w:t>
            </w:r>
          </w:p>
        </w:tc>
      </w:tr>
      <w:tr>
        <w:trPr>
          <w:trHeight w:val="149"/>
        </w:trPr>
        <w:tc>
          <w:tcPr>
            <w:tcW w:w="9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97"/>
              </w:rPr>
              <w:t>Using Significant</w:t>
            </w:r>
          </w:p>
        </w:tc>
      </w:tr>
      <w:tr>
        <w:trPr>
          <w:trHeight w:val="149"/>
        </w:trPr>
        <w:tc>
          <w:tcPr>
            <w:tcW w:w="9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3"/>
              </w:rPr>
              <w:t>Unobservable Inputs</w:t>
            </w:r>
          </w:p>
        </w:tc>
      </w:tr>
      <w:tr>
        <w:trPr>
          <w:trHeight w:val="188"/>
        </w:trPr>
        <w:tc>
          <w:tcPr>
            <w:tcW w:w="9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9"/>
              </w:rPr>
              <w:t>(Level 3)</w:t>
            </w: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May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13,486</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Total gains or losses (realized/unrealized):</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9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Change in present value of contingent consideration </w:t>
            </w: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43"/>
        </w:trPr>
        <w:tc>
          <w:tcPr>
            <w:tcW w:w="9460" w:type="dxa"/>
            <w:vAlign w:val="bottom"/>
          </w:tcPr>
          <w:p>
            <w:pPr>
              <w:ind w:left="380"/>
              <w:spacing w:after="0"/>
              <w:rPr>
                <w:sz w:val="20"/>
                <w:szCs w:val="20"/>
                <w:color w:val="auto"/>
              </w:rPr>
            </w:pPr>
            <w:r>
              <w:rPr>
                <w:rFonts w:ascii="Arial" w:cs="Arial" w:eastAsia="Arial" w:hAnsi="Arial"/>
                <w:sz w:val="18"/>
                <w:szCs w:val="18"/>
                <w:color w:val="auto"/>
              </w:rPr>
              <w:t>Contingent consideration payments</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7"/>
        </w:trPr>
        <w:tc>
          <w:tcPr>
            <w:tcW w:w="9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August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11,830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300" w:firstLine="8"/>
        <w:spacing w:after="0" w:line="275" w:lineRule="auto"/>
        <w:tabs>
          <w:tab w:leader="none" w:pos="23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for Acquisition Earn Outs</w:t>
      </w:r>
    </w:p>
    <w:p>
      <w:pPr>
        <w:spacing w:after="0" w:line="17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19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measures the initial liability and remeasures the liability on a recurring basis using Level 3 inputs as defined under authoritative guidance for fair value measurements. The fair value is determined using a discounted cash flow model applied to projected net sales, using probabilities of achieving projected net sales and projected payment dates. Projected net sales are based on the Company's internal projections and extensive analysis of the target market and the sales potential. Increases or decreases in any valuation inputs in isolation may result in a significantly lower or higher fair value measurement in the future.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Fair Value</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Valuation Technique</w:t>
            </w:r>
          </w:p>
        </w:tc>
        <w:tc>
          <w:tcPr>
            <w:tcW w:w="12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Unobservable Input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Range</w:t>
            </w: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based payments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8,533</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 - 5%</w:t>
            </w:r>
          </w:p>
        </w:tc>
      </w:tr>
      <w:tr>
        <w:trPr>
          <w:trHeight w:val="243"/>
        </w:trPr>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Probability of payment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66% - 100%</w:t>
            </w:r>
          </w:p>
        </w:tc>
      </w:tr>
      <w:tr>
        <w:trPr>
          <w:trHeight w:val="270"/>
        </w:trPr>
        <w:tc>
          <w:tcPr>
            <w:tcW w:w="2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Projected fiscal year of payment</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Technical milestones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3,297</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probability</w:t>
            </w: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Estimated probability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90%</w:t>
            </w:r>
          </w:p>
        </w:tc>
      </w:tr>
      <w:tr>
        <w:trPr>
          <w:trHeight w:val="243"/>
        </w:trPr>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Projected year of payment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2020 - 2022</w:t>
            </w:r>
          </w:p>
        </w:tc>
      </w:tr>
      <w:tr>
        <w:trPr>
          <w:trHeight w:val="27"/>
        </w:trPr>
        <w:tc>
          <w:tcPr>
            <w:tcW w:w="2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11,830</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At August 31, 2019, the range of estimated potential undiscounted future contingent consideration that the Company expects to pay as a result of all completed acquisitions is $14.0 million to $34.0 million. The milestones, including revenue projections and technical milestones, associated with the contingent consideration must be reached in future periods ranging from fiscal years 2020 to 2023 in order for the associated consideration to be paid.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Adoption of ASU No. 2016-02, </w:t>
      </w: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 xml:space="preserve"> (Topic 842)</w:t>
      </w:r>
    </w:p>
    <w:p>
      <w:pPr>
        <w:spacing w:after="0" w:line="148" w:lineRule="exact"/>
        <w:rPr>
          <w:sz w:val="20"/>
          <w:szCs w:val="20"/>
          <w:color w:val="auto"/>
        </w:rPr>
      </w:pPr>
    </w:p>
    <w:p>
      <w:pPr>
        <w:ind w:right="20" w:firstLine="392"/>
        <w:spacing w:after="0" w:line="264" w:lineRule="auto"/>
        <w:rPr>
          <w:sz w:val="20"/>
          <w:szCs w:val="20"/>
          <w:color w:val="auto"/>
        </w:rPr>
      </w:pPr>
      <w:r>
        <w:rPr>
          <w:rFonts w:ascii="Arial" w:cs="Arial" w:eastAsia="Arial" w:hAnsi="Arial"/>
          <w:sz w:val="18"/>
          <w:szCs w:val="18"/>
          <w:color w:val="auto"/>
        </w:rPr>
        <w:t>On June 1, 2019, the Company adopted ASU No. 2016-02 using the modified retrospective approach. This ASU increases transparency and comparability among organizations by recognizing lease assets and liabilities on the balance sheet and disclosing key information about leasing arrangements. Comparative periods prior to adoption have not been retrospectively adjusted.</w:t>
      </w:r>
    </w:p>
    <w:p>
      <w:pPr>
        <w:spacing w:after="0" w:line="181" w:lineRule="exact"/>
        <w:rPr>
          <w:sz w:val="20"/>
          <w:szCs w:val="20"/>
          <w:color w:val="auto"/>
        </w:rPr>
      </w:pPr>
    </w:p>
    <w:p>
      <w:pPr>
        <w:jc w:val="both"/>
        <w:ind w:right="240" w:firstLine="392"/>
        <w:spacing w:after="0" w:line="279" w:lineRule="auto"/>
        <w:rPr>
          <w:sz w:val="20"/>
          <w:szCs w:val="20"/>
          <w:color w:val="auto"/>
        </w:rPr>
      </w:pPr>
      <w:r>
        <w:rPr>
          <w:rFonts w:ascii="Arial" w:cs="Arial" w:eastAsia="Arial" w:hAnsi="Arial"/>
          <w:sz w:val="17"/>
          <w:szCs w:val="17"/>
          <w:color w:val="auto"/>
        </w:rPr>
        <w:t>The Company elected the three practical expedients that permit an entity to a) not reassess whether expired or existing contracts contain leases, b) not reassess lease classification for existing or expired leases, and c) not consider whether previously capitalized initial direct costs would be appropriate under the new standard. Further, the Company has elected to not recognize leases with terms of 12 months or less on the balance sheet, and elected to account for lease and non-lease components as a single component for certain classes of assets.</w:t>
      </w:r>
    </w:p>
    <w:p>
      <w:pPr>
        <w:spacing w:after="0" w:line="171" w:lineRule="exact"/>
        <w:rPr>
          <w:sz w:val="20"/>
          <w:szCs w:val="20"/>
          <w:color w:val="auto"/>
        </w:rPr>
      </w:pPr>
    </w:p>
    <w:p>
      <w:pPr>
        <w:ind w:right="40" w:firstLine="392"/>
        <w:spacing w:after="0" w:line="277" w:lineRule="auto"/>
        <w:rPr>
          <w:sz w:val="20"/>
          <w:szCs w:val="20"/>
          <w:color w:val="auto"/>
        </w:rPr>
      </w:pPr>
      <w:r>
        <w:rPr>
          <w:rFonts w:ascii="Arial" w:cs="Arial" w:eastAsia="Arial" w:hAnsi="Arial"/>
          <w:sz w:val="18"/>
          <w:szCs w:val="18"/>
          <w:color w:val="auto"/>
        </w:rPr>
        <w:t>The adoption of this standard resulted in the recording of an additional lease asset and lease liability of approximately $5.6 million. The standard did not have a material impact on the Company's Consolidated Statement of Operations, Stockholders Equity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ind w:right="140" w:firstLine="392"/>
        <w:spacing w:after="0" w:line="277" w:lineRule="auto"/>
        <w:rPr>
          <w:sz w:val="20"/>
          <w:szCs w:val="20"/>
          <w:color w:val="auto"/>
        </w:rPr>
      </w:pPr>
      <w:r>
        <w:rPr>
          <w:rFonts w:ascii="Arial" w:cs="Arial" w:eastAsia="Arial" w:hAnsi="Arial"/>
          <w:sz w:val="18"/>
          <w:szCs w:val="18"/>
          <w:color w:val="auto"/>
        </w:rPr>
        <w:t>The Company determines if an arrangement is a lease at inception of the contract. The Company has operating leases for buildings, primarily for office space, R&amp;D, manufacturing and warehousing.</w:t>
      </w:r>
    </w:p>
    <w:p>
      <w:pPr>
        <w:spacing w:after="0" w:line="170"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supplemental balance sheet information related to our leases: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200" w:type="dxa"/>
            <w:vAlign w:val="bottom"/>
            <w:vMerge w:val="restart"/>
          </w:tcPr>
          <w:p>
            <w:pPr>
              <w:ind w:left="920"/>
              <w:spacing w:after="0"/>
              <w:rPr>
                <w:sz w:val="20"/>
                <w:szCs w:val="20"/>
                <w:color w:val="auto"/>
              </w:rPr>
            </w:pPr>
            <w:r>
              <w:rPr>
                <w:rFonts w:ascii="Arial" w:cs="Arial" w:eastAsia="Arial" w:hAnsi="Arial"/>
                <w:sz w:val="14"/>
                <w:szCs w:val="14"/>
                <w:color w:val="auto"/>
              </w:rPr>
              <w:t>Balance Sheet Location</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restart"/>
          </w:tcPr>
          <w:p>
            <w:pPr>
              <w:jc w:val="right"/>
              <w:ind w:right="314"/>
              <w:spacing w:after="0"/>
              <w:rPr>
                <w:sz w:val="20"/>
                <w:szCs w:val="20"/>
                <w:color w:val="auto"/>
              </w:rPr>
            </w:pPr>
            <w:r>
              <w:rPr>
                <w:rFonts w:ascii="Arial" w:cs="Arial" w:eastAsia="Arial" w:hAnsi="Arial"/>
                <w:sz w:val="14"/>
                <w:szCs w:val="14"/>
                <w:color w:val="auto"/>
              </w:rPr>
              <w:t>Aug 31, 2019</w:t>
            </w:r>
          </w:p>
        </w:tc>
        <w:tc>
          <w:tcPr>
            <w:tcW w:w="0" w:type="dxa"/>
            <w:vAlign w:val="bottom"/>
          </w:tcPr>
          <w:p>
            <w:pPr>
              <w:spacing w:after="0"/>
              <w:rPr>
                <w:sz w:val="1"/>
                <w:szCs w:val="1"/>
                <w:color w:val="auto"/>
              </w:rPr>
            </w:pPr>
          </w:p>
        </w:tc>
      </w:tr>
      <w:tr>
        <w:trPr>
          <w:trHeight w:val="74"/>
        </w:trPr>
        <w:tc>
          <w:tcPr>
            <w:tcW w:w="6520" w:type="dxa"/>
            <w:vAlign w:val="bottom"/>
            <w:tcBorders>
              <w:bottom w:val="single" w:sz="8" w:color="CCEEFF"/>
            </w:tcBorders>
          </w:tcPr>
          <w:p>
            <w:pPr>
              <w:spacing w:after="0"/>
              <w:rPr>
                <w:sz w:val="6"/>
                <w:szCs w:val="6"/>
                <w:color w:val="auto"/>
              </w:rPr>
            </w:pPr>
          </w:p>
        </w:tc>
        <w:tc>
          <w:tcPr>
            <w:tcW w:w="3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Operating lease ROU asset</w:t>
            </w:r>
          </w:p>
        </w:tc>
        <w:tc>
          <w:tcPr>
            <w:tcW w:w="32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Current operating lease liabilities</w:t>
            </w:r>
          </w:p>
        </w:tc>
        <w:tc>
          <w:tcPr>
            <w:tcW w:w="32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operating lease liabilities</w:t>
            </w:r>
          </w:p>
        </w:tc>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lease liabilities</w:t>
            </w:r>
          </w:p>
        </w:tc>
        <w:tc>
          <w:tcPr>
            <w:tcW w:w="320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20" w:firstLine="392"/>
        <w:spacing w:after="0" w:line="264"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collateralized basis, considering factors such as length of lease term. The following table presents the weighted average remaining lease term and discount rate: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Aug 31, 2019</w:t>
            </w: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term (in years)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3.7</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w w:val="97"/>
              </w:rPr>
              <w:t>4.3%</w:t>
            </w:r>
          </w:p>
        </w:tc>
      </w:tr>
      <w:tr>
        <w:trPr>
          <w:trHeight w:val="567"/>
        </w:trPr>
        <w:tc>
          <w:tcPr>
            <w:tcW w:w="9860" w:type="dxa"/>
            <w:vAlign w:val="bottom"/>
          </w:tcPr>
          <w:p>
            <w:pPr>
              <w:ind w:left="400"/>
              <w:spacing w:after="0"/>
              <w:rPr>
                <w:sz w:val="20"/>
                <w:szCs w:val="20"/>
                <w:color w:val="auto"/>
              </w:rPr>
            </w:pPr>
            <w:r>
              <w:rPr>
                <w:rFonts w:ascii="Arial" w:cs="Arial" w:eastAsia="Arial" w:hAnsi="Arial"/>
                <w:sz w:val="18"/>
                <w:szCs w:val="18"/>
                <w:color w:val="auto"/>
              </w:rPr>
              <w:t>The following table presents the maturities of the lease liabilities: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2"/>
        </w:trPr>
        <w:tc>
          <w:tcPr>
            <w:tcW w:w="98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Aug 31, 2019</w:t>
            </w: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1,142</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1,251</w:t>
            </w:r>
          </w:p>
        </w:tc>
      </w:tr>
      <w:tr>
        <w:trPr>
          <w:trHeight w:val="27"/>
        </w:trPr>
        <w:tc>
          <w:tcPr>
            <w:tcW w:w="9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1,138</w:t>
            </w:r>
          </w:p>
        </w:tc>
      </w:tr>
      <w:tr>
        <w:trPr>
          <w:trHeight w:val="27"/>
        </w:trPr>
        <w:tc>
          <w:tcPr>
            <w:tcW w:w="9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2025 and thereafter</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5,225</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130</w:t>
            </w:r>
          </w:p>
        </w:tc>
      </w:tr>
      <w:tr>
        <w:trPr>
          <w:trHeight w:val="27"/>
        </w:trPr>
        <w:tc>
          <w:tcPr>
            <w:tcW w:w="9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obligations</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5,095</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Less: Current portion of lease obligations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1,606</w:t>
            </w:r>
          </w:p>
        </w:tc>
      </w:tr>
      <w:tr>
        <w:trPr>
          <w:trHeight w:val="27"/>
        </w:trPr>
        <w:tc>
          <w:tcPr>
            <w:tcW w:w="9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lease obligations</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3,489</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color w:val="auto"/>
        </w:rPr>
        <w:t>The Company recognized $0.7 million of operating lease expense during the three months ended August 31, 2019, which includes immaterial short-term leases. Within the accompanying Consolidated Statements of Operations, $0.3 million is classified in cost of sales and $0.4 million is classified as general and administrative.</w:t>
      </w:r>
    </w:p>
    <w:p>
      <w:pPr>
        <w:spacing w:after="0" w:line="181"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color w:val="auto"/>
        </w:rPr>
        <w:t>In addition to the total lease obligations presented in the table above, we have a 7-year building operating lease with undiscounted payment obligations of $6.5 million and a 2-year building operating lease with undiscounted payment obligations of $0.4 million that are expected to commence during fiscal year 2020.</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Future annual payments under non-cancelable operating leases in the aggregate at May 31, 2019, are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May 31, 2019</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2,338</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2,131</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and 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3,227</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12,749</w:t>
            </w:r>
          </w:p>
        </w:tc>
      </w:tr>
    </w:tbl>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supplemental cash flow and other information related to our leases: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41"/>
              <w:spacing w:after="0"/>
              <w:rPr>
                <w:sz w:val="20"/>
                <w:szCs w:val="20"/>
                <w:color w:val="auto"/>
              </w:rPr>
            </w:pPr>
            <w:r>
              <w:rPr>
                <w:rFonts w:ascii="Arial" w:cs="Arial" w:eastAsia="Arial" w:hAnsi="Arial"/>
                <w:sz w:val="14"/>
                <w:szCs w:val="14"/>
                <w:color w:val="auto"/>
                <w:w w:val="93"/>
              </w:rPr>
              <w:t>Three Months Ended</w:t>
            </w:r>
          </w:p>
        </w:tc>
      </w:tr>
      <w:tr>
        <w:trPr>
          <w:trHeight w:val="188"/>
        </w:trPr>
        <w:tc>
          <w:tcPr>
            <w:tcW w:w="53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4"/>
              </w:rPr>
              <w:t>August 31, 2019</w:t>
            </w:r>
          </w:p>
        </w:tc>
      </w:tr>
      <w:tr>
        <w:trPr>
          <w:trHeight w:val="197"/>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4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3"/>
              </w:rPr>
              <w:t>Aug 31, 2019</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4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563</w:t>
            </w:r>
          </w:p>
        </w:tc>
      </w:tr>
      <w:tr>
        <w:trPr>
          <w:trHeight w:val="27"/>
        </w:trPr>
        <w:tc>
          <w:tcPr>
            <w:tcW w:w="53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 assets obtained in exchange for lease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4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w:t>
            </w:r>
          </w:p>
        </w:tc>
      </w:tr>
      <w:tr>
        <w:trPr>
          <w:trHeight w:val="702"/>
        </w:trPr>
        <w:tc>
          <w:tcPr>
            <w:tcW w:w="5360" w:type="dxa"/>
            <w:vAlign w:val="bottom"/>
          </w:tcPr>
          <w:p>
            <w:pPr>
              <w:spacing w:after="0"/>
              <w:rPr>
                <w:sz w:val="24"/>
                <w:szCs w:val="24"/>
                <w:color w:val="auto"/>
              </w:rPr>
            </w:pPr>
          </w:p>
        </w:tc>
        <w:tc>
          <w:tcPr>
            <w:tcW w:w="4580" w:type="dxa"/>
            <w:vAlign w:val="bottom"/>
          </w:tcPr>
          <w:p>
            <w:pPr>
              <w:jc w:val="right"/>
              <w:ind w:right="405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January 11, 2012, C.R. Bard, Inc. (“Bard”) filed a suit in the United States District Court of Utah claiming certain of the Company's implantable port products infringe on three U.S. patents held by Bard (the "Utah Action"). Bard’s complaint sought unspecified damages and other relief. The Company filed petitions for reexamination in the US Patent and Trademark Office ("USPTO") seeking to invalidate all three patents asserted by Bard in the litigation. The Company's petitions were granted and 40 of Bard's 41 patent claims were rejected and, following further proceedings, the Patent Office issued a Final Rejection of all 40 claims subject to reexamination. Thereafter, Bard filed appeals to the USPTO Board of Appeals and Interferences for all three reexaminations which were decided as follows: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sought Rehearing in all three appeals and the Company sought Rehearing in the ‘302 and ‘615 appeals. The PTO denied all three Rehearing Requests, but modified its characterization of one prior art reference for the ‘302 and ‘022 decisions.</w:t>
      </w:r>
    </w:p>
    <w:p>
      <w:pPr>
        <w:spacing w:after="0" w:line="18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Bard filed appeals to the Federal Circuit Court of Appeals in all three reexams and the Company filed Cross-Appeals for the ‘302 and the ‘615 reexams and completed briefing. Medcomp also filed an Amicus Brief in support of the Company on November 22, 2017. An oral hearing was held on September 5, 2018 and the Court rendered its decision on September 28, 2018, affirming that claims 1-5 and 10 of the ‘615 patent were invalid, but that claims 6-7 of the 615 patent and 1-4 of the 302 patent were valid over the prior art references considered in the Reexamination proceedings. The Federal Circuit also reversed the PTAB’s claim construction ruling and remanded for consideration of obviousness for the remaining claims under the new claim construction ruling and for further findings with respect to whether one of the asserted references qualified as a printed publication. On January 28, 2019, on remand, the USPTO reversed the rejections of the ‘302 claims 1-10, ‘022 claims 1-20 and ‘615 claims 6-9. The USPTO has since issued Inter Partes Reexamination Certificates for the ‘302 Patent (confirming validity of claims 1-10) on June 10, 2019, and for the ‘022 patent (confirming validity of claims 1-20) on July 2, 2019, and for the ‘615 patent on August 26, 2019. The Company has since filed a Motion to Unstay the Utah Case; that motion is fully briefed and awaiting decision by the Utah Court. Meanwhile, on July 12, 2017, Bard assigned the asserted patents to Bard Peripheral Vascular, Inc. (“BPV”) which was added as Co-Appellant before the Federal Circuit and as a co-Plaintiff in the Utah action.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8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March 10, 2015, Bard and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193"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w:t>
      </w:r>
    </w:p>
    <w:p>
      <w:pPr>
        <w:spacing w:after="0" w:line="18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On October 20, 2017, the scheduling order for the case was amended to, among other things, set a trial date commencing July 23, 2018. The parties completed Expert Discovery in January 2018 and completed briefing on their respective case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was issued on February 11, 2019 and entered by the Court on February 28, 2019. Jury selection was held on Friday March 1, 2019 and trial began on March 4, 2019. On day four of the jury trial, at the close of C.R. Bard’s case (Plaintiff), Judge Bataillon granted judgment as a matter of law under rule 50(a) in favor of AngioDynamics, dismissing Bard’s suit. On April 5, 2019, Bard filed a precautionary Notice of Appeal to the Federal Circuit. On April 26, 2019, the District Court issued a Memorandum and Order confirming the grant of judgment in the Company’s favor of patent ineligibility, non-infringement, patent invalidity and no willful infringement. Meanwhile, on May 10, 2019, the Company filed a Motion for Attorney fees and non-taxable expenses under 35 USC Sec. 285. On May 21, 2019, the Court issued a Memorandum and Order which, inter alia, stayed proceedings on the Company’s fee Motion and the Company’s equitable claims pending appeal; and entered Final Judgment on May 21, 2019 as well. Bard filed a second Notice of Appeal on May 23, 2019. Both appeals have since been consolidated and Bard’s opening brief was served on September 27, 2019 and the Company's answering brief is currently due on November 6, 2019. We maintain our belief that Bard’s claims are without merit. The Company has not recorded an expense related to the outcome of this litigation because it is not yet possible to determine if a potential loss is probable nor reasonably estimable.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right="40" w:firstLine="392"/>
        <w:spacing w:after="0" w:line="255" w:lineRule="auto"/>
        <w:rPr>
          <w:sz w:val="20"/>
          <w:szCs w:val="20"/>
          <w:color w:val="auto"/>
        </w:rPr>
      </w:pPr>
      <w:r>
        <w:rPr>
          <w:rFonts w:ascii="Arial" w:cs="Arial" w:eastAsia="Arial" w:hAnsi="Arial"/>
          <w:sz w:val="18"/>
          <w:szCs w:val="18"/>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The parties are currently engaged in discovery, which is set to close in February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Merz North America Settlement</w:t>
      </w:r>
    </w:p>
    <w:p>
      <w:pPr>
        <w:spacing w:after="0" w:line="225" w:lineRule="exact"/>
        <w:rPr>
          <w:sz w:val="20"/>
          <w:szCs w:val="20"/>
          <w:color w:val="auto"/>
        </w:rPr>
      </w:pPr>
    </w:p>
    <w:p>
      <w:pPr>
        <w:jc w:val="both"/>
        <w:ind w:right="100" w:firstLine="392"/>
        <w:spacing w:after="0" w:line="302" w:lineRule="auto"/>
        <w:rPr>
          <w:sz w:val="20"/>
          <w:szCs w:val="20"/>
          <w:color w:val="auto"/>
        </w:rPr>
      </w:pPr>
      <w:r>
        <w:rPr>
          <w:rFonts w:ascii="Arial" w:cs="Arial" w:eastAsia="Arial" w:hAnsi="Arial"/>
          <w:sz w:val="16"/>
          <w:szCs w:val="16"/>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AngioDynamics made a lump-sum payment of $2.5 million to Merz in return for dismissal of the case with prejudice during the first quarter. Merz filed a stipulation of dismissal with the Court on July 23, 2019.</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ACQUISITION, RESTRUCTURING, AND OTHER ITEMS,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Restructuring and Other Items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August 31, 2019 and 2018 acquisition, restructuring and other items, net consisted of:</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color w:val="auto"/>
              </w:rPr>
              <w:t>Three months ended</w:t>
            </w:r>
          </w:p>
        </w:tc>
      </w:tr>
      <w:tr>
        <w:trPr>
          <w:trHeight w:val="250"/>
        </w:trPr>
        <w:tc>
          <w:tcPr>
            <w:tcW w:w="88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Aug 31, 2019</w:t>
            </w:r>
          </w:p>
        </w:tc>
        <w:tc>
          <w:tcPr>
            <w:tcW w:w="18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color w:val="auto"/>
                <w:w w:val="98"/>
              </w:rPr>
              <w:t>Aug 31, 2018</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Legal </w:t>
            </w:r>
            <w:r>
              <w:rPr>
                <w:rFonts w:ascii="Arial" w:cs="Arial" w:eastAsia="Arial" w:hAnsi="Arial"/>
                <w:sz w:val="16"/>
                <w:szCs w:val="16"/>
                <w:color w:val="auto"/>
              </w:rPr>
              <w:t>(1)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 xml:space="preserve">Mergers and acquisitions </w:t>
            </w:r>
            <w:r>
              <w:rPr>
                <w:rFonts w:ascii="Arial" w:cs="Arial" w:eastAsia="Arial" w:hAnsi="Arial"/>
                <w:sz w:val="16"/>
                <w:szCs w:val="16"/>
                <w:color w:val="auto"/>
              </w:rPr>
              <w:t>(2)</w:t>
            </w: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1,318</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Transition service agreement </w:t>
            </w:r>
            <w:r>
              <w:rPr>
                <w:rFonts w:ascii="Arial" w:cs="Arial" w:eastAsia="Arial" w:hAnsi="Arial"/>
                <w:sz w:val="16"/>
                <w:szCs w:val="16"/>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 xml:space="preserve">Divestiture </w:t>
            </w:r>
            <w:r>
              <w:rPr>
                <w:rFonts w:ascii="Arial" w:cs="Arial" w:eastAsia="Arial" w:hAnsi="Arial"/>
                <w:sz w:val="16"/>
                <w:szCs w:val="16"/>
                <w:color w:val="auto"/>
              </w:rPr>
              <w:t>(4)</w:t>
            </w: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94</w:t>
            </w: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Legal expenses related to litigation that is outside the normal course of business.</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Mergers and acquisitions expenses related to investment banking, legal and due diligence.</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Transition services agreement that was entered into as a result of the sale of the Fluid Management business.</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Divestiture expenses incurred to transition manufacturing from Glens Falls, NY to Queensbury, NY.</w:t>
      </w:r>
    </w:p>
    <w:p>
      <w:pPr>
        <w:spacing w:after="0" w:line="176"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Included in the $0.7 million in legal for the three months ended August 31, 2019 is a $0.4 million settlement received for the Biolitec bankruptcy litigation. The settlement received offsets legal expenses paid related to the settlement proceedings.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Consolidation</w:t>
      </w:r>
    </w:p>
    <w:p>
      <w:pPr>
        <w:spacing w:after="0" w:line="14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February 1, 2017, the Company announced to employees an operational consolidation plan (the “plan”) to consolidate its manufacturing facilities in Manchester, GA and Denmead, UK into the Glens Falls and Queensbury, NY facilities. This plan will streamline and optimize the manufacturing functions into one centralized location increasing the utilization of the Glens Falls and Queensbury facilities, optimizing inventory and reducing cost of goods sold through savings in overhead expenses and direct labor. The restructuring activities associated with the plan were completed in the fourth quarter of fiscal year 2018 with immaterial regulatory filing costs to be incurred.</w:t>
      </w:r>
    </w:p>
    <w:p>
      <w:pPr>
        <w:spacing w:after="0" w:line="107"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The Company recorded restructuring charges related to the plan during the three months ended August 31, 2019 and 2018 of less than $0.1 million and $0.1 million, respectively. Total restructuring charges recorded to date are $6.3 million. The Company’s remaining restructuring liability is comprised of regulatory expenses which are expected to be paid in the next twelve months and are included in "accrued liabilities" on the Consolidated Balance Sheet.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ACCUMULATED OTHER COMPREHENSIVE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each component of accumulated other comprehensive loss, net of tax, are as follows for the three months ended August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940" w:type="dxa"/>
            <w:vAlign w:val="bottom"/>
            <w:gridSpan w:val="2"/>
          </w:tcPr>
          <w:p>
            <w:pPr>
              <w:ind w:left="60"/>
              <w:spacing w:after="0"/>
              <w:rPr>
                <w:sz w:val="20"/>
                <w:szCs w:val="20"/>
                <w:color w:val="auto"/>
              </w:rPr>
            </w:pPr>
            <w:r>
              <w:rPr>
                <w:rFonts w:ascii="Arial" w:cs="Arial" w:eastAsia="Arial" w:hAnsi="Arial"/>
                <w:sz w:val="14"/>
                <w:szCs w:val="14"/>
                <w:color w:val="auto"/>
                <w:w w:val="92"/>
              </w:rPr>
              <w:t>Three months ended August 31,</w:t>
            </w:r>
          </w:p>
        </w:tc>
      </w:tr>
      <w:tr>
        <w:trPr>
          <w:trHeight w:val="188"/>
        </w:trPr>
        <w:tc>
          <w:tcPr>
            <w:tcW w:w="9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89"/>
              </w:rPr>
              <w:t>2019</w:t>
            </w:r>
          </w:p>
        </w:tc>
      </w:tr>
      <w:tr>
        <w:trPr>
          <w:trHeight w:val="156"/>
        </w:trPr>
        <w:tc>
          <w:tcPr>
            <w:tcW w:w="9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jc w:val="center"/>
              <w:ind w:right="57"/>
              <w:spacing w:after="0" w:line="157" w:lineRule="exact"/>
              <w:rPr>
                <w:sz w:val="20"/>
                <w:szCs w:val="20"/>
                <w:color w:val="auto"/>
              </w:rPr>
            </w:pPr>
            <w:r>
              <w:rPr>
                <w:rFonts w:ascii="Arial" w:cs="Arial" w:eastAsia="Arial" w:hAnsi="Arial"/>
                <w:sz w:val="14"/>
                <w:szCs w:val="14"/>
                <w:color w:val="auto"/>
                <w:w w:val="93"/>
              </w:rPr>
              <w:t>Foreign currency translation</w:t>
            </w:r>
          </w:p>
        </w:tc>
      </w:tr>
      <w:tr>
        <w:trPr>
          <w:trHeight w:val="188"/>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88"/>
              </w:rPr>
              <w:t>loss</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2019</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r>
      <w:tr>
        <w:trPr>
          <w:trHeight w:val="243"/>
        </w:trPr>
        <w:tc>
          <w:tcPr>
            <w:tcW w:w="9480" w:type="dxa"/>
            <w:vAlign w:val="bottom"/>
          </w:tcPr>
          <w:p>
            <w:pPr>
              <w:ind w:left="380"/>
              <w:spacing w:after="0"/>
              <w:rPr>
                <w:sz w:val="20"/>
                <w:szCs w:val="20"/>
                <w:color w:val="auto"/>
              </w:rPr>
            </w:pPr>
            <w:r>
              <w:rPr>
                <w:rFonts w:ascii="Arial" w:cs="Arial" w:eastAsia="Arial" w:hAnsi="Arial"/>
                <w:sz w:val="18"/>
                <w:szCs w:val="18"/>
                <w:color w:val="auto"/>
              </w:rPr>
              <w:t>Other comprehensive loss before reclassifications, net of tax</w:t>
            </w: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Net other comprehensive loss</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9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August 31, 2019</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0"/>
        </w:trPr>
        <w:tc>
          <w:tcPr>
            <w:tcW w:w="9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RECENTLY ISSUED ACCOUNTING PRONOUNCEMENTS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provides a description of recent accounting pronouncements that may have a material effect on the Company's consolidated financial statements: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Recently Issued Accounting Pronouncements - Adopted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Standard</w:t>
            </w:r>
          </w:p>
        </w:tc>
        <w:tc>
          <w:tcPr>
            <w:tcW w:w="38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Description</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Adopted</w:t>
            </w:r>
          </w:p>
        </w:tc>
        <w:tc>
          <w:tcPr>
            <w:tcW w:w="37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228"/>
        </w:trPr>
        <w:tc>
          <w:tcPr>
            <w:tcW w:w="2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 (Topic</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This ASU increases transparency and comparability</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June 1, 2019</w:t>
            </w:r>
          </w:p>
        </w:tc>
        <w:tc>
          <w:tcPr>
            <w:tcW w:w="3700" w:type="dxa"/>
            <w:vAlign w:val="bottom"/>
          </w:tcPr>
          <w:p>
            <w:pPr>
              <w:spacing w:after="0"/>
              <w:rPr>
                <w:sz w:val="20"/>
                <w:szCs w:val="20"/>
                <w:color w:val="auto"/>
              </w:rPr>
            </w:pPr>
            <w:r>
              <w:rPr>
                <w:rFonts w:ascii="Arial" w:cs="Arial" w:eastAsia="Arial" w:hAnsi="Arial"/>
                <w:sz w:val="18"/>
                <w:szCs w:val="18"/>
                <w:color w:val="auto"/>
              </w:rPr>
              <w:t>Refer to Note 14, Leases, for the required</w:t>
            </w:r>
          </w:p>
        </w:tc>
      </w:tr>
      <w:tr>
        <w:trPr>
          <w:trHeight w:val="216"/>
        </w:trPr>
        <w:tc>
          <w:tcPr>
            <w:tcW w:w="2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842)</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among organizations by recognizing lease assets and</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disclosures related to adopting this standard.</w:t>
            </w: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liabilities on the balance sheet and disclosing key</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information about leasing arrangements. For leases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with a term of twelve months or less, a lessee is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permitted to make an accounting policy election by</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 of underlying asset not to recognize lease</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assets and liabilities.</w:t>
            </w:r>
          </w:p>
        </w:tc>
        <w:tc>
          <w:tcPr>
            <w:tcW w:w="128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588"/>
        </w:trPr>
        <w:tc>
          <w:tcPr>
            <w:tcW w:w="40" w:type="dxa"/>
            <w:vAlign w:val="bottom"/>
          </w:tcPr>
          <w:p>
            <w:pPr>
              <w:spacing w:after="0"/>
              <w:rPr>
                <w:sz w:val="24"/>
                <w:szCs w:val="24"/>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Recently Issued Accounting Pronouncements - Not Yet Applicable or Adopted</w:t>
            </w:r>
          </w:p>
        </w:tc>
        <w:tc>
          <w:tcPr>
            <w:tcW w:w="12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4"/>
        </w:trPr>
        <w:tc>
          <w:tcPr>
            <w:tcW w:w="40" w:type="dxa"/>
            <w:vAlign w:val="bottom"/>
          </w:tcPr>
          <w:p>
            <w:pPr>
              <w:spacing w:after="0"/>
              <w:rPr>
                <w:sz w:val="19"/>
                <w:szCs w:val="19"/>
                <w:color w:val="auto"/>
              </w:rPr>
            </w:pPr>
          </w:p>
        </w:tc>
        <w:tc>
          <w:tcPr>
            <w:tcW w:w="25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Standard</w:t>
            </w:r>
          </w:p>
        </w:tc>
        <w:tc>
          <w:tcPr>
            <w:tcW w:w="386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Description</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37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228"/>
        </w:trPr>
        <w:tc>
          <w:tcPr>
            <w:tcW w:w="40" w:type="dxa"/>
            <w:vAlign w:val="bottom"/>
          </w:tcPr>
          <w:p>
            <w:pPr>
              <w:spacing w:after="0"/>
              <w:rPr>
                <w:sz w:val="19"/>
                <w:szCs w:val="19"/>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xml:space="preserve">ASU 2018-13, </w:t>
            </w:r>
            <w:r>
              <w:rPr>
                <w:rFonts w:ascii="Arial" w:cs="Arial" w:eastAsia="Arial" w:hAnsi="Arial"/>
                <w:sz w:val="18"/>
                <w:szCs w:val="18"/>
                <w:i w:val="1"/>
                <w:iCs w:val="1"/>
                <w:color w:val="auto"/>
              </w:rPr>
              <w:t>Fair Value</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This ASU removes, modifies and adds various</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June 1, 2020</w:t>
            </w:r>
          </w:p>
        </w:tc>
        <w:tc>
          <w:tcPr>
            <w:tcW w:w="3700" w:type="dxa"/>
            <w:vAlign w:val="bottom"/>
          </w:tcPr>
          <w:p>
            <w:pPr>
              <w:spacing w:after="0"/>
              <w:rPr>
                <w:sz w:val="20"/>
                <w:szCs w:val="20"/>
                <w:color w:val="auto"/>
              </w:rPr>
            </w:pPr>
            <w:r>
              <w:rPr>
                <w:rFonts w:ascii="Arial" w:cs="Arial" w:eastAsia="Arial" w:hAnsi="Arial"/>
                <w:sz w:val="18"/>
                <w:szCs w:val="18"/>
                <w:color w:val="auto"/>
                <w:w w:val="92"/>
              </w:rPr>
              <w:t>The Company is currently assessing the impact of</w:t>
            </w: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Measurement (Topic 820)</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disclosure requirements related to fair value</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this standard on the consolidated financial</w:t>
            </w: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disclosures. Disclosures related to transfers between</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statements.</w:t>
            </w: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fair value hierarchy levels will be removed and</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further detail around changes in unrealized gains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and losses for the period and unobservable inputs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used in determining level 3 fair value measurements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will be added, among other changes.</w:t>
            </w:r>
          </w:p>
        </w:tc>
        <w:tc>
          <w:tcPr>
            <w:tcW w:w="128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This ASU replaces the current incurred loss</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June 1, 2020</w:t>
            </w:r>
          </w:p>
        </w:tc>
        <w:tc>
          <w:tcPr>
            <w:tcW w:w="3700" w:type="dxa"/>
            <w:vAlign w:val="bottom"/>
          </w:tcPr>
          <w:p>
            <w:pPr>
              <w:spacing w:after="0"/>
              <w:rPr>
                <w:sz w:val="20"/>
                <w:szCs w:val="20"/>
                <w:color w:val="auto"/>
              </w:rPr>
            </w:pPr>
            <w:r>
              <w:rPr>
                <w:rFonts w:ascii="Arial" w:cs="Arial" w:eastAsia="Arial" w:hAnsi="Arial"/>
                <w:sz w:val="18"/>
                <w:szCs w:val="18"/>
                <w:color w:val="auto"/>
                <w:w w:val="92"/>
              </w:rPr>
              <w:t>The Company is currently assessing the impact of</w:t>
            </w: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Instruments - Credit</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impairment methodology for financial assets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this standard on the consolidated financial</w:t>
            </w: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w w:val="90"/>
              </w:rPr>
              <w:t>Losses (Topic 326): Measurement</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measured at amortized cost with a methodology that</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statements.</w:t>
            </w: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of Credit Losses on Financial</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reflects expected credit losses and requires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Instruments</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consideration of a broader range of reasonable and</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supportable information, including forecasted</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information, to develop credit loss estimates.</w:t>
            </w:r>
          </w:p>
        </w:tc>
        <w:tc>
          <w:tcPr>
            <w:tcW w:w="128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October 2, 2019, the Company acquired Eximo Medical, Ltd., a pre-commercial stage medical device company and its proprietary 355nm B Laser Atherectomy technology, for an aggregate purchase price of $45.8 million with up to $20.0 million of potential future contingent consideration related to technical and revenue milestones. This acquisition expands and complements the Company’s Vascular Interventions and Therapies product portfolio by adding the 355nm B Laser Atherectomy technology which treats Peripheral Artery Disease.</w:t>
      </w:r>
    </w:p>
    <w:p>
      <w:pPr>
        <w:spacing w:after="0" w:line="200" w:lineRule="exact"/>
        <w:rPr>
          <w:sz w:val="20"/>
          <w:szCs w:val="20"/>
          <w:color w:val="auto"/>
        </w:rPr>
      </w:pPr>
    </w:p>
    <w:p>
      <w:pPr>
        <w:spacing w:after="0" w:line="2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240" w:top="121" w:right="51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4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following information should be read together with the consolidated financial statements and the notes thereto and other information included elsewhere in this quarterly report on Form 10-Q.</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ind w:right="40" w:firstLine="432"/>
        <w:spacing w:after="0" w:line="267" w:lineRule="auto"/>
        <w:rPr>
          <w:sz w:val="20"/>
          <w:szCs w:val="20"/>
          <w:color w:val="auto"/>
        </w:rPr>
      </w:pPr>
      <w:r>
        <w:rPr>
          <w:rFonts w:ascii="Arial" w:cs="Arial" w:eastAsia="Arial" w:hAnsi="Arial"/>
          <w:sz w:val="17"/>
          <w:szCs w:val="17"/>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as well as our ability to integrate purchased businesses. Other risks and uncertainties include, but are not limited to, the factors described from time to time in our reports filed with the SEC.</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and Market</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longer-term use.</w:t>
      </w:r>
    </w:p>
    <w:p>
      <w:pPr>
        <w:spacing w:after="0" w:line="18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7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sales and profitability growth also depends, in part, on the introduction of new and innovative products, together with ongoing enhancements to our existing products. Expansions to our product offerings are created through internal product development, technology licensing and strategic alliances. We recognize the importance of, and intend to continue to make investments in research and development activities and business development opportunities and feel confident that our existing capital structure and free cash flow generation will allow us to properly fund those activities.</w:t>
      </w:r>
    </w:p>
    <w:p>
      <w:pPr>
        <w:spacing w:after="0" w:line="154"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We sell our products in the United States primarily through a direct sales force, and outside the U.S. through a combination of a direct sales and distributor relationships. We expect our businesses to grow in both sales and profitability through geographic expansion, market penetration, new product introductions and increasing our direct presence internationally.</w:t>
      </w:r>
    </w:p>
    <w:p>
      <w:pPr>
        <w:spacing w:after="0" w:line="10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May 31, 2019, the Company completed the sale of the NAMIC Fluid Management business (the “Divestiture”) and all of the assets used primarily in connection with the Fluid Management business to Medline Industries, Inc. (“Medline”) pursuant to an asset purchase agreement dated April 17, 2019 (the “Asset Purchase Agreement”). Total consideration received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by the Company for the Divestiture in the fourth quarter of fiscal year 2019 was $169.2 million in cash and resulted in a gain of $46.6 million after working capital adjustments of $0.6 million. A portion of the net proceeds were used on June 3, 2019 to retire the outstanding balance on the Term Loan and Revolving Facility and the remaining net proceeds will continue to be invested in the business.</w:t>
      </w:r>
    </w:p>
    <w:p>
      <w:pPr>
        <w:spacing w:after="0" w:line="181"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In evaluating the operating performance of our business, management focuses on revenue, gross margin, operating income, earnings per share and cash flow from operations. A summary of these key financial metrics for the three months ended August 31, 2019 compared to the three months ended August 31, 2018 follows: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Three months ended August 31, 2019:</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increased by 3.3% to $66.0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margin increased 170 bps to 57.9%</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loss decreased by $5.3 million to $0.8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per share from continuing operations improved by $0.12 to a loss of $0.03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regarding new accounting pronouncements is included in Note 18 to our consolidated financial statements in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August 31, 2019 and 2018</w:t>
      </w:r>
    </w:p>
    <w:p>
      <w:pPr>
        <w:spacing w:after="0" w:line="229"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For the three months ended August 31, 2019, the Company reported net loss of $1.3 million, or $0.03 per diluted share, on net sales of $66.0 million, compared with net loss of $5.7 million, or $0.15 loss per diluted share, on net sales of $63.9 million during the same quarter of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three months ended August 31, 2019 and 2018:</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color w:val="auto"/>
                <w:w w:val="95"/>
              </w:rPr>
              <w:t>Three months ended</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Aug 31,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Aug 31, 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Growth</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Global Business Unit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28,913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28,598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1.1%</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23,790</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(2.7)%</w:t>
            </w: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Oncology</w:t>
            </w:r>
          </w:p>
        </w:tc>
        <w:tc>
          <w:tcPr>
            <w:tcW w:w="1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13,970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11,555</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20.9%</w:t>
            </w: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75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66,042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63,943</w:t>
            </w:r>
          </w:p>
        </w:tc>
        <w:tc>
          <w:tcPr>
            <w:tcW w:w="12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52,937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51,496</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2.8%</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12,447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5.3%</w:t>
            </w:r>
          </w:p>
        </w:tc>
      </w:tr>
      <w:tr>
        <w:trPr>
          <w:trHeight w:val="257"/>
        </w:trPr>
        <w:tc>
          <w:tcPr>
            <w:tcW w:w="7540" w:type="dxa"/>
            <w:vAlign w:val="bottom"/>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66,042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63,943</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3.3%</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60" w:firstLine="432"/>
        <w:spacing w:after="0" w:line="465" w:lineRule="auto"/>
        <w:rPr>
          <w:sz w:val="20"/>
          <w:szCs w:val="20"/>
          <w:color w:val="auto"/>
        </w:rPr>
      </w:pPr>
      <w:r>
        <w:rPr>
          <w:rFonts w:ascii="Arial" w:cs="Arial" w:eastAsia="Arial" w:hAnsi="Arial"/>
          <w:sz w:val="18"/>
          <w:szCs w:val="18"/>
          <w:color w:val="auto"/>
        </w:rPr>
        <w:t xml:space="preserve">For the three months ended August 31, 2019, net sales increased $2.1 million to $66.0 million compared to the same period in the prior year. </w:t>
      </w:r>
      <w:r>
        <w:rPr>
          <w:rFonts w:ascii="Arial" w:cs="Arial" w:eastAsia="Arial" w:hAnsi="Arial"/>
          <w:sz w:val="18"/>
          <w:szCs w:val="18"/>
          <w:u w:val="single" w:color="auto"/>
          <w:color w:val="auto"/>
        </w:rPr>
        <w:t>Vascular Interventions &amp; Therapies</w:t>
      </w:r>
    </w:p>
    <w:p>
      <w:pPr>
        <w:spacing w:after="0" w:line="8" w:lineRule="exact"/>
        <w:rPr>
          <w:sz w:val="20"/>
          <w:szCs w:val="20"/>
          <w:color w:val="auto"/>
        </w:rPr>
      </w:pPr>
    </w:p>
    <w:p>
      <w:pPr>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Vascular Interventions &amp; Therapies sales increased $0.3 million primarily attributable to strong performance with the AngioVac business which grew $1.0 million year over year. The Company continues to see strong case volumes in AngioVac, which increased 38% from the prior year due to increased adoption of the Company's unique technology. These increases were partially offset by the decline in our Sclerotherapy business due to the termination of the Asclera distribution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180" w:hanging="328"/>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U.S. Vascular Interventions &amp; Therapies sales decreased $0.2 million due to the decline in our Sclerotherapy business as a result of the termination of the Asclera distribution agreement and Core Peripheral products. This was partially offset by increased case volume in AngioVac.</w:t>
      </w:r>
    </w:p>
    <w:p>
      <w:pPr>
        <w:ind w:left="660" w:right="4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Vascular Interventions &amp; Therapies sales increased $0.5 million due to increased volume in Angiographic catheters primarily in EMEA (Europe, the Middle East and Africa).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25" w:lineRule="exact"/>
        <w:rPr>
          <w:sz w:val="20"/>
          <w:szCs w:val="20"/>
          <w:color w:val="auto"/>
        </w:rPr>
      </w:pPr>
    </w:p>
    <w:p>
      <w:pPr>
        <w:ind w:left="660" w:right="20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Vascular Access sales decreased $0.6 million due to decreases in PICCs and Ports partially offset by growth in the Dialysis business of $0.5 million and the launch of the BIIM ultrasound product in fiscal year 2019 which contributed $0.2 million in growth year over year. BioFlo product lines comprise 50% of overall Vascular Access sales, which is consistent with a year ago.</w:t>
      </w:r>
    </w:p>
    <w:p>
      <w:pPr>
        <w:ind w:left="660" w:right="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Vascular Access sales decreased by $1.1 million due to competitive pressures in the PICC product lines and lower Port sales. This was partially offset by growth in Dialysis products which continue to gain traction in the marketplace.</w:t>
      </w:r>
    </w:p>
    <w:p>
      <w:pPr>
        <w:ind w:left="660" w:right="30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Vascular Access sales increased by $0.5 million as the Company continues to expand its global reach of its Vascular Access product offerings.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w:t>
      </w:r>
    </w:p>
    <w:p>
      <w:pPr>
        <w:spacing w:after="0" w:line="225" w:lineRule="exact"/>
        <w:rPr>
          <w:sz w:val="20"/>
          <w:szCs w:val="20"/>
          <w:color w:val="auto"/>
        </w:rPr>
      </w:pPr>
    </w:p>
    <w:p>
      <w:pPr>
        <w:ind w:left="660" w:right="18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Oncology sales increased $2.4 million year over year primarily due to $1.7 million in sales of RadiaDyne products along with $1.0 million in sales of BioSentry products. This was partially offset by decreased sales of Radiofrequency Ablation.</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Oncology sales increased by $2.8 million, driven by RadiaDyne sales of $1.7 million and BioSentry sales of $0.9 million. This was partially offset by a decrease in RadioFrequency Ablation sales.</w:t>
      </w:r>
    </w:p>
    <w:p>
      <w:pPr>
        <w:ind w:left="660" w:right="2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International Oncology sales decreased by $0.4 million year over year as a result of decreased NanoKnife disposable sales of $0.6 million and decreased RadioFrequency and Microwave Ablation product sales of $0.2 million. This was partially offset by an increase in NanoKnife capital sales of $0.6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w w:val="95"/>
              </w:rPr>
              <w:t>Three months ended</w:t>
            </w:r>
          </w:p>
        </w:tc>
        <w:tc>
          <w:tcPr>
            <w:tcW w:w="126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Aug 31, 2019</w:t>
            </w:r>
          </w:p>
        </w:tc>
        <w:tc>
          <w:tcPr>
            <w:tcW w:w="16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Aug 31, 2018</w:t>
            </w:r>
          </w:p>
        </w:tc>
        <w:tc>
          <w:tcPr>
            <w:tcW w:w="1260" w:type="dxa"/>
            <w:vAlign w:val="bottom"/>
          </w:tcPr>
          <w:p>
            <w:pPr>
              <w:jc w:val="right"/>
              <w:ind w:right="254"/>
              <w:spacing w:after="0"/>
              <w:rPr>
                <w:sz w:val="20"/>
                <w:szCs w:val="20"/>
                <w:color w:val="auto"/>
              </w:rPr>
            </w:pPr>
            <w:r>
              <w:rPr>
                <w:rFonts w:ascii="Arial" w:cs="Arial" w:eastAsia="Arial" w:hAnsi="Arial"/>
                <w:sz w:val="14"/>
                <w:szCs w:val="14"/>
                <w:color w:val="auto"/>
              </w:rPr>
              <w:t>% Change</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6,292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7,374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18,405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$2.3 million compared to the prior year. The increase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volume of BioSentry and RadiaDyne products contributed $2.2 million to gross profit.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volume and mix positively contributed $0.7 million year over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productivity contributed $0.5 million of favorability.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and pricing headwinds negatively impacted gross margin by $0.5 million year over year, primarily driven by pricing.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termination of the Asclera distribution agreement negatively impacted gross margin by $0.6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R&amp;D expense decreased $1.1 million compared to the prior year. The decrease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Outside consultant spend decreased $0.5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Compensation and benefits decreased approximately $0.1 million due to decreased headcount as part of a process to streamline the R&amp;D function.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R&amp;D expenses, including facilities, samples and project initiatives timing resulted in a decrease of $0.5 million.</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S&amp;M expense increased $1.0 million compared to the prior year. The increase is primarily attributable to the following:</w:t>
      </w:r>
    </w:p>
    <w:p>
      <w:pPr>
        <w:spacing w:after="0" w:line="225" w:lineRule="exact"/>
        <w:rPr>
          <w:sz w:val="20"/>
          <w:szCs w:val="20"/>
          <w:color w:val="auto"/>
        </w:rPr>
      </w:pPr>
    </w:p>
    <w:p>
      <w:pPr>
        <w:ind w:left="660" w:right="18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$0.7 million which is primarily attributed to increased headcount as a result of the BioSentry and RadiaDyne acquisitions.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sales and marketing expenses increased $0.3 million.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G&amp;A expense remained consistent to the prior year. Even though G&amp;A remained consistent, there were the following changes in the types of expenses incurred:</w:t>
      </w:r>
    </w:p>
    <w:p>
      <w:pPr>
        <w:spacing w:after="0" w:line="170" w:lineRule="exact"/>
        <w:rPr>
          <w:sz w:val="20"/>
          <w:szCs w:val="20"/>
          <w:color w:val="auto"/>
        </w:rPr>
      </w:pPr>
    </w:p>
    <w:p>
      <w:pPr>
        <w:ind w:left="660" w:right="48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and benefits decrease of approximately $0.6 million primarily as a result of the timing of fully vested stock based compensation awards and lower high cost benefit claims.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and professional fees relating to ongoing litigation that is within the normal course of business increased $0.3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Outside consultant spend increased $0.2 million.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5"/>
              </w:rPr>
              <w:t>Three months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95"/>
              </w:rPr>
              <w:t>Aug 31, 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95"/>
              </w:rPr>
              <w:t>Aug 31, 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240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right="120" w:hanging="328"/>
        <w:spacing w:after="0" w:line="30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change in amortization expense from the prior year is due to intangible asset additions as a result of the BioSentry and RadiaDyne acquisitions. The BioSentry acquisition increased intangible assets by $26.0 million and resulted in additional amortization expense of $0.5 million. The RadiaDyne acquisition increased intangible assets by $25.6 million and resulted in additional amortization expense of $0.6 million. This was partially offset by the write-off of the Merz intangible in the fourth quarter of fiscal year 2019 and other intangibles that became fully amortized.</w:t>
      </w:r>
    </w:p>
    <w:p>
      <w:pPr>
        <w:spacing w:after="0" w:line="15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47" w:lineRule="exact"/>
        <w:rPr>
          <w:sz w:val="20"/>
          <w:szCs w:val="20"/>
          <w:color w:val="auto"/>
        </w:rPr>
      </w:pPr>
    </w:p>
    <w:p>
      <w:pPr>
        <w:ind w:left="660" w:right="5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change from the prior year is due to the gain of $0.6 million that was recorded on the technical milestones and revenue milestones for the RadiaDyne contingent consideration. This gain was partially offset by normal amortization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right="100"/>
        <w:spacing w:after="0" w:line="324" w:lineRule="auto"/>
        <w:rPr>
          <w:sz w:val="20"/>
          <w:szCs w:val="20"/>
          <w:color w:val="auto"/>
        </w:rPr>
      </w:pPr>
      <w:r>
        <w:rPr>
          <w:rFonts w:ascii="Arial" w:cs="Arial" w:eastAsia="Arial" w:hAnsi="Arial"/>
          <w:sz w:val="18"/>
          <w:szCs w:val="18"/>
          <w:color w:val="auto"/>
        </w:rPr>
        <w:t>of $0.1 million. In addition, the final minimum payment of $1.2 million was paid for the Microsulis contingent consideration during the first quarter of fiscal 2020.</w:t>
      </w:r>
    </w:p>
    <w:p>
      <w:pPr>
        <w:spacing w:after="0" w:line="1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Acquisition, restructuring and other items, net decreased by $2.9 million compared to the prior year. The decrease is primarily attributable to the following:</w:t>
      </w:r>
    </w:p>
    <w:p>
      <w:pPr>
        <w:spacing w:after="0" w:line="24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M&amp;A expense of $0.2 million was incurred in the first quarter of fiscal year 2020 compared to $1.3 million in the prior year.</w:t>
      </w:r>
    </w:p>
    <w:p>
      <w:pPr>
        <w:spacing w:after="0" w:line="23"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expense, related to litigation that is outside of the normal course of business, of $1.1 million was recorded in the first quarter of fiscal year 2020, partially offset by the Biolitec bankruptcy settlement of $0.4 million, compared to $2.9 million in the prior year.</w:t>
      </w:r>
    </w:p>
    <w:p>
      <w:pPr>
        <w:ind w:left="660" w:right="2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first quarter of fiscal year 2020, the Company incurred $0.8 million of expense to move manufacturing facilities as a result of the sale of the Fluid Management business.</w:t>
      </w:r>
    </w:p>
    <w:p>
      <w:pPr>
        <w:ind w:left="660" w:right="340" w:hanging="328"/>
        <w:spacing w:after="0" w:line="26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part of the sale of the Fluid Management business, the Company entered into a transition services agreement with Medline for certain legal, human resource, tax, accounting and information technology services from the Company for a period not to exceed 24 months. As a result of the transition services agreement, the Company invoiced Medline $0.7 million in the first quarter of fiscal year 2020.</w:t>
      </w:r>
    </w:p>
    <w:p>
      <w:pPr>
        <w:ind w:left="660" w:right="38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expenses of $0.5 million in the first quarter of fiscal year 2020 consists of expenses to move the manufacturing of BioSentry products and severance associated with the sale of the Fluid Management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expenses, net</w:t>
      </w:r>
      <w:r>
        <w:rPr>
          <w:rFonts w:ascii="Arial" w:cs="Arial" w:eastAsia="Arial" w:hAnsi="Arial"/>
          <w:sz w:val="17"/>
          <w:szCs w:val="17"/>
          <w:color w:val="auto"/>
        </w:rPr>
        <w:t xml:space="preserve"> - Other expenses include interest expense, foreign currency impacts, bank fees, and amortization of deferred financing costs.</w:t>
      </w:r>
    </w:p>
    <w:p>
      <w:pPr>
        <w:spacing w:after="0" w:line="237" w:lineRule="exact"/>
        <w:rPr>
          <w:sz w:val="20"/>
          <w:szCs w:val="20"/>
          <w:color w:val="auto"/>
        </w:rPr>
      </w:pPr>
    </w:p>
    <w:p>
      <w:pPr>
        <w:ind w:left="660" w:right="40" w:hanging="328"/>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decrease in other expenses from the prior year of $0.2 million is due to decreased interest expense of $0.9 million as the Credit Facility was paid down in full at the beginning of the first quarter of fiscal year 2020. In addition to the decrease in interest expense, interest income increased $0.2 million from the prior year as a result of increased cash due to proceeds from the sale of the Fluid Management business. These increases are partially offset by the write-off of the deferred financing fees that were associated with the old Credit Facility of $0.6 million. Other expenses also include foreign currency fluctuations which increased by $0.3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color w:val="auto"/>
              </w:rPr>
              <w:t>Three months ended</w:t>
            </w:r>
          </w:p>
        </w:tc>
      </w:tr>
      <w:tr>
        <w:trPr>
          <w:trHeight w:val="264"/>
        </w:trPr>
        <w:tc>
          <w:tcPr>
            <w:tcW w:w="88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Aug 31, 2019</w:t>
            </w:r>
          </w:p>
        </w:tc>
        <w:tc>
          <w:tcPr>
            <w:tcW w:w="180" w:type="dxa"/>
            <w:vAlign w:val="bottom"/>
          </w:tcPr>
          <w:p>
            <w:pPr>
              <w:spacing w:after="0"/>
              <w:rPr>
                <w:sz w:val="22"/>
                <w:szCs w:val="22"/>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color w:val="auto"/>
                <w:w w:val="95"/>
              </w:rPr>
              <w:t>Aug 31, 2018</w:t>
            </w:r>
          </w:p>
        </w:tc>
      </w:tr>
      <w:tr>
        <w:trPr>
          <w:trHeight w:val="250"/>
        </w:trPr>
        <w:tc>
          <w:tcPr>
            <w:tcW w:w="8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r>
    </w:tbl>
    <w:p>
      <w:pPr>
        <w:spacing w:after="0" w:line="22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effective tax rate including discrete items for the three month periods ended August 31, 2019 and 2018 was 8.3% and 17.7%, respectively. In fiscal 2020, the Company’s effective tax rate differs from the U.S. statutory rate primarily due to the impact of the valuation allowance, foreign taxes, and other non-deductible permanent items (such as non-deductible meals and entertainment, Section 162(m) excess compensation and non-deductible stock based compensation).</w:t>
      </w:r>
    </w:p>
    <w:p>
      <w:pPr>
        <w:spacing w:after="0" w:line="18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estimated annual effective tax rate, however, prior to discrete items was 8.3% in the first quarter of fiscal 2020, as compared to 17.8% for the same period in fiscal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cash and cash equivalents totaled $83.6 million as of August 31, 2019, compared with $227.6 million as of May 31, 2019. As of August 31, 2019 there was no principal debt outstanding and as of May 31, 2019 there was $132.5 million principal debt outstanding. The fair value of contingent consideration liability as of August 31, 2019 and May 31, 2019, was $11.8 million and $13.5 million, respectively.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cash flows for the three months ended August 31, 2019 and 2018:</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90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8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color w:val="auto"/>
              </w:rPr>
              <w:t>Three Months Ended</w:t>
            </w:r>
          </w:p>
        </w:tc>
      </w:tr>
      <w:tr>
        <w:trPr>
          <w:trHeight w:val="264"/>
        </w:trPr>
        <w:tc>
          <w:tcPr>
            <w:tcW w:w="902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Aug 31, 2019</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3"/>
              </w:rPr>
              <w:t>Aug 31, 2018</w:t>
            </w:r>
          </w:p>
        </w:tc>
      </w:tr>
      <w:tr>
        <w:trPr>
          <w:trHeight w:val="250"/>
        </w:trPr>
        <w:tc>
          <w:tcPr>
            <w:tcW w:w="90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used in: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(8,873)</w:t>
            </w: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(37,682)</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(135,749)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(2,645)</w:t>
            </w: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(143,992)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(49,334)</w:t>
            </w: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August 31, 2019 and 2018, cash flows consisted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August 31, 2019:</w:t>
      </w:r>
    </w:p>
    <w:p>
      <w:pPr>
        <w:spacing w:after="0" w:line="225" w:lineRule="exact"/>
        <w:rPr>
          <w:sz w:val="20"/>
          <w:szCs w:val="20"/>
          <w:color w:val="auto"/>
        </w:rPr>
      </w:pPr>
    </w:p>
    <w:p>
      <w:pPr>
        <w:ind w:left="1080" w:right="200" w:hanging="316"/>
        <w:spacing w:after="0" w:line="25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loss of $1.3 million plus the non-cash items, primarily driven by depreciation and amortization, contributed to cash used in operations of $6.5 million.</w:t>
      </w:r>
    </w:p>
    <w:p>
      <w:pPr>
        <w:spacing w:after="0" w:line="1" w:lineRule="exact"/>
        <w:rPr>
          <w:rFonts w:ascii="Arial" w:cs="Arial" w:eastAsia="Arial" w:hAnsi="Arial"/>
          <w:sz w:val="18"/>
          <w:szCs w:val="18"/>
          <w:color w:val="auto"/>
        </w:rPr>
      </w:pPr>
    </w:p>
    <w:p>
      <w:pPr>
        <w:ind w:left="1080" w:right="400" w:hanging="316"/>
        <w:spacing w:after="0" w:line="255"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Working capital was negatively impacted by increased inventory on hand of $5.2 million and decreased accounts payable and accrued liabilities of $17.6 million. Accounts receivable had a favorable impact on working capital as a result of the sale of the Fluid Management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August 31, 2018:</w:t>
      </w:r>
    </w:p>
    <w:p>
      <w:pPr>
        <w:spacing w:after="0" w:line="225" w:lineRule="exact"/>
        <w:rPr>
          <w:sz w:val="20"/>
          <w:szCs w:val="20"/>
          <w:color w:val="auto"/>
        </w:rPr>
      </w:pPr>
    </w:p>
    <w:p>
      <w:pPr>
        <w:jc w:val="both"/>
        <w:ind w:left="1080" w:right="280" w:hanging="316"/>
        <w:spacing w:after="0" w:line="29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Net loss was driven by higher operating expenses in research and development, selling and marketing and general administrative as well as costs related to our acquisition and restructuring activities. Partially offsetting the higher operating expenses was an increase in gross profit.</w:t>
      </w:r>
    </w:p>
    <w:p>
      <w:pPr>
        <w:ind w:left="1080" w:right="80" w:hanging="316"/>
        <w:spacing w:after="0" w:line="254"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continues to focus on optimizing its cash conversion cycle. In the first quarter of fiscal year 2019 working capital was negatively impacted by increased inventory on hand of $0.8 million. Additionally, days sales outstanding ("DSO") increased by two days for a $0.6 million impact. Also, the $12.5 million DOJ settlement payment that was made during the first quarter of fiscal year 2019 negatively impacted working capital from accounts payable and accrued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August 31, 2019 and 2018:</w:t>
      </w:r>
    </w:p>
    <w:p>
      <w:pPr>
        <w:spacing w:after="0" w:line="225" w:lineRule="exact"/>
        <w:rPr>
          <w:sz w:val="20"/>
          <w:szCs w:val="20"/>
          <w:color w:val="auto"/>
        </w:rPr>
      </w:pPr>
    </w:p>
    <w:p>
      <w:pPr>
        <w:ind w:left="1080" w:hanging="316"/>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$1.4 million in fixed asset additions versus $0.7 million in the prior year.</w:t>
      </w:r>
    </w:p>
    <w:p>
      <w:pPr>
        <w:spacing w:after="0" w:line="23" w:lineRule="exact"/>
        <w:rPr>
          <w:rFonts w:ascii="Arial" w:cs="Arial" w:eastAsia="Arial" w:hAnsi="Arial"/>
          <w:sz w:val="18"/>
          <w:szCs w:val="18"/>
          <w:color w:val="auto"/>
        </w:rPr>
      </w:pPr>
    </w:p>
    <w:p>
      <w:pPr>
        <w:ind w:left="1080" w:hanging="316"/>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$37.0 million cash payment in the prior year to acquire the BioSentry product from SSC as described in Note 2 to the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August 31, 2019 and 2018:</w:t>
      </w:r>
    </w:p>
    <w:p>
      <w:pPr>
        <w:spacing w:after="0" w:line="225" w:lineRule="exact"/>
        <w:rPr>
          <w:sz w:val="20"/>
          <w:szCs w:val="20"/>
          <w:color w:val="auto"/>
        </w:rPr>
      </w:pPr>
    </w:p>
    <w:p>
      <w:pPr>
        <w:ind w:left="1080" w:right="220" w:hanging="316"/>
        <w:spacing w:after="0" w:line="25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$132.5 million repayment of long-term debt in conjunction with the new Credit Agreement that was entered into at the beginning of the first quarter of fiscal year 2020. Refer to Note 8 of the financial statements.</w:t>
      </w:r>
    </w:p>
    <w:p>
      <w:pPr>
        <w:spacing w:after="0" w:line="1" w:lineRule="exact"/>
        <w:rPr>
          <w:rFonts w:ascii="Arial" w:cs="Arial" w:eastAsia="Arial" w:hAnsi="Arial"/>
          <w:sz w:val="18"/>
          <w:szCs w:val="18"/>
          <w:color w:val="auto"/>
        </w:rPr>
      </w:pPr>
    </w:p>
    <w:p>
      <w:pPr>
        <w:ind w:left="1080" w:hanging="316"/>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$1.3 million repayment on the Term Loan in the prior year. This was consistent with the required amortization payment on the Term Loan.</w:t>
      </w:r>
    </w:p>
    <w:p>
      <w:pPr>
        <w:spacing w:after="0" w:line="20" w:lineRule="exact"/>
        <w:rPr>
          <w:rFonts w:ascii="Arial" w:cs="Arial" w:eastAsia="Arial" w:hAnsi="Arial"/>
          <w:sz w:val="17"/>
          <w:szCs w:val="17"/>
          <w:color w:val="auto"/>
        </w:rPr>
      </w:pPr>
    </w:p>
    <w:p>
      <w:pPr>
        <w:ind w:left="1080" w:hanging="316"/>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 million of outlays from stock option and ESPP activity versus $0.7 million in proceeds in the prior year.</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$1.2 million payment on earn-out liabilities in the current year compared to $2.1 million in the prior year.</w:t>
      </w:r>
    </w:p>
    <w:p>
      <w:pPr>
        <w:spacing w:after="0" w:line="211"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On June 3, 2019 and in connection with the completion of the Fluid Management divestiture, the Company repaid all amounts outstanding under its existing Credit Agreement and entered into a new Credit Agreement. The Credit Agreement provides for a $125.0 million secured revolving credit facility, which includes an uncommitted expansion feature that allows the Company to increase the total revolving commitments and/or add new tranches of term loans in an aggregate amount not to exceed $75.0 million. We believe that our current cash and investment balances, together with cash generated from operations and access to our revolving credit facility, will provide sufficient liquidity to meet our anticipated needs for capital for at least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next 12 months. If we seek to make significant acquisitions of other businesses or technologies in the future for cash, we may require external financing.</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122" w:right="39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7% of our sales in the first quarter of fiscal 2020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On June 3, 2019, we entered into the Credit Agreement which provides for a $125 million Revolving Facility. Interest on the facility will be based, at the Company’s option, on a base rate of LIBOR plus an applicable margin tied to the Company’s total leverage ratio and having ranges between 0.25% and 0.75% for base rate loans and between 1.25% and 1.75% for LIBOR loans. In the event of default, the interest rate may be increased by 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70" w:lineRule="exact"/>
        <w:rPr>
          <w:sz w:val="20"/>
          <w:szCs w:val="20"/>
          <w:color w:val="auto"/>
        </w:rPr>
      </w:pPr>
    </w:p>
    <w:p>
      <w:pPr>
        <w:ind w:right="360" w:firstLine="405"/>
        <w:spacing w:after="0" w:line="286" w:lineRule="auto"/>
        <w:rPr>
          <w:sz w:val="20"/>
          <w:szCs w:val="20"/>
          <w:color w:val="auto"/>
        </w:rPr>
      </w:pPr>
      <w:r>
        <w:rPr>
          <w:rFonts w:ascii="Arial" w:cs="Arial" w:eastAsia="Arial" w:hAnsi="Arial"/>
          <w:sz w:val="17"/>
          <w:szCs w:val="17"/>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above investment grade banks. The Company has the ability to draw equally amongst the five banks which limits the concentration of credit risk of one institution.</w:t>
      </w:r>
    </w:p>
    <w:p>
      <w:pPr>
        <w:spacing w:after="0" w:line="16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to which it grants credit terms in the normal course of business. Although the Company does not currently foresee a significant credit risk associated with the outstanding accounts receivable, repayment is dependent upon the financial stability of our customers.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August 31,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21" w:right="31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January 11, 2012, C.R. Bard, Inc. (“Bard”) filed a suit in the United States District Court of Utah claiming certain of the Company's implantable port products infringe on three U.S. patents held by Bard (the "Utah Action"). Bard’s complaint sought unspecified damages and other relief. The Company filed petitions for reexamination in the US Patent and Trademark Office ("USPTO") seeking to invalidate all three patents asserted by Bard in the litigation. The Company's petitions were granted and 40 of Bard's 41 patent claims were rejected and, following further proceedings, the Patent Office issued a Final Rejection of all 40 claims subject to reexamination. Thereafter, Bard filed appeals to the USPTO Board of Appeals and Interferences for all three reexaminations which were decided as follows: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sought Rehearing in all three appeals and the Company sought Rehearing in the ‘302 and ‘615 appeals. The PTO denied all three Rehearing Requests, but modified its characterization of one prior art reference for the ‘302 and ‘022 decisions.</w:t>
      </w:r>
    </w:p>
    <w:p>
      <w:pPr>
        <w:spacing w:after="0" w:line="18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Bard filed appeals to the Federal Circuit Court of Appeals in all three reexams and the Company filed Cross-Appeals for the ‘302 and the ‘615 reexams and completed briefing. Medcomp also filed an Amicus Brief in support of the Company on November 22, 2017. An oral hearing was held on September 5, 2018 and the Court rendered its decision on September 28, 2018, affirming that claims 1-5 and 10 of the ‘615 patent were invalid, but that claims 6-7 of the 615 patent and 1-4 of the 302 patent were valid over the prior art references considered in the Reexamination proceedings. The Federal Circuit also reversed the PTAB’s claim construction ruling and remanded for consideration of obviousness for the remaining claims under the new claim construction ruling and for further findings with respect to whether one of the asserted references qualified as a printed publication. On January 28, 2019, on remand, the USPTO reversed the rejections of the ‘302 claims 1-10, ‘022 claims 1-20 and ‘615 claims 6-9. The USPTO has since issued Inter Partes Reexamination Certificates for the ‘302 Patent (confirming validity of claims 1-10) on June 10, 2019, and for the ‘022 patent (confirming validity of claims 1-20) on July 2, 2019, and for the ‘615 patent on August 26, 2019. The Company has since filed a Motion to Unstay the Utah Case; that motion is fully briefed and awaiting decision by the Utah Court. Meanwhile, on July 12, 2017, Bard assigned the asserted patents to Bard Peripheral Vascular, Inc. (“BPV”) which was added as Co-Appellant before the Federal Circuit and as a co-Plaintiff in the Utah action.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8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March 10, 2015, Bard and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193"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w:t>
      </w:r>
    </w:p>
    <w:p>
      <w:pPr>
        <w:spacing w:after="0" w:line="181"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On October 20, 2017, the scheduling order for the case was amended to, among other things, set a trial date commencing July 23, 2018. The parties completed Expert Discovery in January 2018 and completed briefing on their respective case 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was issued on February 11, 2019 and entered by the Court on February 28, 2019. Jury selection was held on Friday March 1, 2019 and trial began on March 4, 2019. On day four of the jury trial, at the close of C.R. Bard’s case (Plaintiff), Judge Bataillon granted judgment as a matter of law under rule 50(a) in favor of AngioDynamics, dismissing Bard’s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suit. On April 5, 2019, Bard filed a precautionary Notice of Appeal to the Federal Circuit. On April 26, 2019, the District Court issued a Memorandum and Order confirming the grant of judgment in the Company’s favor of patent ineligibility, non-infringement, patent invalidity and no willful infringement. Meanwhile, on May 10, 2019, the Company filed a Motion for Attorney fees and non-taxable expenses under 35 USC Sec. 285. On May 21, 2019, the Court issued a Memorandum and Order which, inter alia, stayed proceedings on the Company’s fee Motion and the Company’s equitable claims pending appeal; and entered Final Judgment on May 21, 2019 as well. Bard filed a second Notice of Appeal on May 23, 2019. Both appeals have since been consolidated and Bard’s opening brief was served on September 27, 2019 and the Company's answering brief is currently due on November 6, 2019. We maintain our belief that Bard’s claims are without merit. The Company has not recorded an expense related to the outcome of this litigation because it is not yet possible to determine if a potential loss is probable nor reasonably estimable.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The parties are currently engaged in discovery, which is set to close in February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Merz North America Settlement</w:t>
      </w:r>
    </w:p>
    <w:p>
      <w:pPr>
        <w:spacing w:after="0" w:line="225" w:lineRule="exact"/>
        <w:rPr>
          <w:sz w:val="20"/>
          <w:szCs w:val="20"/>
          <w:color w:val="auto"/>
        </w:rPr>
      </w:pPr>
    </w:p>
    <w:p>
      <w:pPr>
        <w:jc w:val="both"/>
        <w:ind w:right="60" w:firstLine="392"/>
        <w:spacing w:after="0" w:line="302" w:lineRule="auto"/>
        <w:rPr>
          <w:sz w:val="20"/>
          <w:szCs w:val="20"/>
          <w:color w:val="auto"/>
        </w:rPr>
      </w:pPr>
      <w:r>
        <w:rPr>
          <w:rFonts w:ascii="Arial" w:cs="Arial" w:eastAsia="Arial" w:hAnsi="Arial"/>
          <w:sz w:val="16"/>
          <w:szCs w:val="16"/>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AngioDynamics made a lump-sum payment of $2.5 million to Merz in return for dismissal of the case with prejudice during the first quarter. Merz filed a stipulation of dismissal with the Court on July 23, 2019.</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2" w:right="27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2019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122" w:right="41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with respect to the shares of the Company’s common stock repurchased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31, 2019:</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color w:val="auto"/>
                <w:w w:val="93"/>
              </w:rPr>
              <w:t>Issuer Purchases of Equity Securities</w:t>
            </w:r>
          </w:p>
        </w:tc>
        <w:tc>
          <w:tcPr>
            <w:tcW w:w="1200" w:type="dxa"/>
            <w:vAlign w:val="bottom"/>
            <w:tcBorders>
              <w:bottom w:val="single" w:sz="8" w:color="auto"/>
            </w:tcBorders>
          </w:tcPr>
          <w:p>
            <w:pPr>
              <w:spacing w:after="0"/>
              <w:rPr>
                <w:sz w:val="16"/>
                <w:szCs w:val="16"/>
                <w:color w:val="auto"/>
              </w:rPr>
            </w:pPr>
          </w:p>
        </w:tc>
      </w:tr>
      <w:tr>
        <w:trPr>
          <w:trHeight w:val="156"/>
        </w:trPr>
        <w:tc>
          <w:tcPr>
            <w:tcW w:w="6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82"/>
              <w:spacing w:after="0" w:line="157" w:lineRule="exact"/>
              <w:rPr>
                <w:sz w:val="20"/>
                <w:szCs w:val="20"/>
                <w:color w:val="auto"/>
              </w:rPr>
            </w:pPr>
            <w:r>
              <w:rPr>
                <w:rFonts w:ascii="Arial" w:cs="Arial" w:eastAsia="Arial" w:hAnsi="Arial"/>
                <w:sz w:val="14"/>
                <w:szCs w:val="14"/>
                <w:color w:val="auto"/>
                <w:w w:val="98"/>
              </w:rPr>
              <w:t>Maximum</w:t>
            </w:r>
          </w:p>
        </w:tc>
      </w:tr>
      <w:tr>
        <w:trPr>
          <w:trHeight w:val="149"/>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Total</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6"/>
              </w:rPr>
              <w:t>Approximate</w:t>
            </w:r>
          </w:p>
        </w:tc>
      </w:tr>
      <w:tr>
        <w:trPr>
          <w:trHeight w:val="149"/>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Number of</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4"/>
              </w:rPr>
              <w:t>Dollar Value</w:t>
            </w:r>
          </w:p>
        </w:tc>
      </w:tr>
      <w:tr>
        <w:trPr>
          <w:trHeight w:val="149"/>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Shares</w:t>
            </w:r>
          </w:p>
        </w:tc>
        <w:tc>
          <w:tcPr>
            <w:tcW w:w="160" w:type="dxa"/>
            <w:vAlign w:val="bottom"/>
          </w:tcPr>
          <w:p>
            <w:pPr>
              <w:spacing w:after="0"/>
              <w:rPr>
                <w:sz w:val="12"/>
                <w:szCs w:val="12"/>
                <w:color w:val="auto"/>
              </w:rPr>
            </w:pPr>
          </w:p>
        </w:tc>
        <w:tc>
          <w:tcPr>
            <w:tcW w:w="1200" w:type="dxa"/>
            <w:vAlign w:val="bottom"/>
          </w:tcPr>
          <w:p>
            <w:pPr>
              <w:jc w:val="center"/>
              <w:ind w:right="102"/>
              <w:spacing w:after="0" w:line="149" w:lineRule="exact"/>
              <w:rPr>
                <w:sz w:val="20"/>
                <w:szCs w:val="20"/>
                <w:color w:val="auto"/>
              </w:rPr>
            </w:pPr>
            <w:r>
              <w:rPr>
                <w:rFonts w:ascii="Arial" w:cs="Arial" w:eastAsia="Arial" w:hAnsi="Arial"/>
                <w:sz w:val="14"/>
                <w:szCs w:val="14"/>
                <w:color w:val="auto"/>
                <w:w w:val="90"/>
              </w:rPr>
              <w:t>of Shares</w:t>
            </w:r>
          </w:p>
        </w:tc>
      </w:tr>
      <w:tr>
        <w:trPr>
          <w:trHeight w:val="149"/>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Purchased</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6"/>
              </w:rPr>
              <w:t>that May Yet</w:t>
            </w:r>
          </w:p>
        </w:tc>
      </w:tr>
      <w:tr>
        <w:trPr>
          <w:trHeight w:val="149"/>
        </w:trPr>
        <w:tc>
          <w:tcPr>
            <w:tcW w:w="664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Total</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as Part of</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3"/>
              </w:rPr>
              <w:t>Be</w:t>
            </w:r>
          </w:p>
        </w:tc>
      </w:tr>
      <w:tr>
        <w:trPr>
          <w:trHeight w:val="149"/>
        </w:trPr>
        <w:tc>
          <w:tcPr>
            <w:tcW w:w="664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Number of</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Average</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Publicly</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89"/>
              </w:rPr>
              <w:t>Purchased</w:t>
            </w:r>
          </w:p>
        </w:tc>
      </w:tr>
      <w:tr>
        <w:trPr>
          <w:trHeight w:val="149"/>
        </w:trPr>
        <w:tc>
          <w:tcPr>
            <w:tcW w:w="664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Shares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Price Paid</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Announced</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3"/>
              </w:rPr>
              <w:t>Under Plans</w:t>
            </w:r>
          </w:p>
        </w:tc>
      </w:tr>
      <w:tr>
        <w:trPr>
          <w:trHeight w:val="188"/>
        </w:trPr>
        <w:tc>
          <w:tcPr>
            <w:tcW w:w="6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Purchased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color w:val="auto"/>
                <w:w w:val="87"/>
              </w:rPr>
              <w:t>per Share</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93"/>
              </w:rPr>
              <w:t>or Programs (1)</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2019 - June 30, 2019</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July 1, 2019 - July 31, 2019</w:t>
            </w: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10,496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20.99</w:t>
            </w: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1, 2019 - August 31, 2019</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103,309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19.39</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37"/>
        </w:trPr>
        <w:tc>
          <w:tcPr>
            <w:tcW w:w="6640" w:type="dxa"/>
            <w:vAlign w:val="bottom"/>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113,805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19.54</w:t>
            </w:r>
          </w:p>
        </w:tc>
        <w:tc>
          <w:tcPr>
            <w:tcW w:w="120" w:type="dxa"/>
            <w:vAlign w:val="bottom"/>
          </w:tcPr>
          <w:p>
            <w:pPr>
              <w:spacing w:after="0"/>
              <w:rPr>
                <w:sz w:val="20"/>
                <w:szCs w:val="20"/>
                <w:color w:val="auto"/>
              </w:rPr>
            </w:pP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17145</wp:posOffset>
            </wp:positionV>
            <wp:extent cx="30359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35935" cy="26035"/>
                    </a:xfrm>
                    <a:prstGeom prst="rect">
                      <a:avLst/>
                    </a:prstGeom>
                    <a:noFill/>
                  </pic:spPr>
                </pic:pic>
              </a:graphicData>
            </a:graphic>
          </wp:anchor>
        </w:drawing>
      </w:r>
    </w:p>
    <w:p>
      <w:pPr>
        <w:spacing w:after="0" w:line="38" w:lineRule="exact"/>
        <w:rPr>
          <w:sz w:val="20"/>
          <w:szCs w:val="20"/>
          <w:color w:val="auto"/>
        </w:rPr>
      </w:pPr>
    </w:p>
    <w:p>
      <w:pPr>
        <w:ind w:left="220"/>
        <w:spacing w:after="0"/>
        <w:tabs>
          <w:tab w:leader="none" w:pos="5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These amounts are not applicable as the Company currently does not have a share repurchase program in effect.</w:t>
      </w:r>
    </w:p>
    <w:p>
      <w:pPr>
        <w:spacing w:after="0" w:line="348"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b w:val="1"/>
          <w:bCs w:val="1"/>
          <w:u w:val="single" w:color="auto"/>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80" w:hanging="461"/>
        <w:spacing w:after="0"/>
        <w:tabs>
          <w:tab w:leader="none" w:pos="1180" w:val="left"/>
        </w:tabs>
        <w:numPr>
          <w:ilvl w:val="0"/>
          <w:numId w:val="26"/>
        </w:numPr>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Subsidiaries</w:t>
        </w:r>
      </w:hyperlink>
    </w:p>
    <w:p>
      <w:pPr>
        <w:spacing w:after="0" w:line="37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9980" w:type="dxa"/>
            <w:vAlign w:val="bottom"/>
            <w:gridSpan w:val="6"/>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pursuant to Rule 13a-14(a) or 15d-14 under the Securities Exchange Act of 1934.</w:t>
              </w:r>
            </w:hyperlink>
          </w:p>
        </w:tc>
      </w:tr>
      <w:tr>
        <w:trPr>
          <w:trHeight w:val="20"/>
        </w:trPr>
        <w:tc>
          <w:tcPr>
            <w:tcW w:w="9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31.2</w:t>
            </w:r>
          </w:p>
        </w:tc>
        <w:tc>
          <w:tcPr>
            <w:tcW w:w="9980" w:type="dxa"/>
            <w:vAlign w:val="bottom"/>
            <w:gridSpan w:val="6"/>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pursuant to Rule 13a-14(a) or 15d-14 under the Securities Exchange Act of 1934.</w:t>
              </w:r>
            </w:hyperlink>
          </w:p>
        </w:tc>
      </w:tr>
      <w:tr>
        <w:trPr>
          <w:trHeight w:val="20"/>
        </w:trPr>
        <w:tc>
          <w:tcPr>
            <w:tcW w:w="9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32.1</w:t>
            </w:r>
          </w:p>
        </w:tc>
        <w:tc>
          <w:tcPr>
            <w:tcW w:w="99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of Chief Executive Officer pursuant to Title 18, United States Code, Section 1350, as adopted pursuant to Section 906 of the</w:t>
              </w:r>
            </w:hyperlink>
          </w:p>
        </w:tc>
        <w:tc>
          <w:tcPr>
            <w:tcW w:w="6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w:anchor="page47">
              <w:r>
                <w:rPr>
                  <w:rFonts w:ascii="Arial" w:cs="Arial" w:eastAsia="Arial" w:hAnsi="Arial"/>
                  <w:sz w:val="18"/>
                  <w:szCs w:val="18"/>
                  <w:color w:val="0000FF"/>
                  <w:w w:val="91"/>
                </w:rPr>
                <w:t>Sarbanes-Oxley Act of 2002</w:t>
              </w:r>
            </w:hyperlink>
          </w:p>
        </w:tc>
        <w:tc>
          <w:tcPr>
            <w:tcW w:w="7900" w:type="dxa"/>
            <w:vAlign w:val="bottom"/>
            <w:gridSpan w:val="4"/>
          </w:tcPr>
          <w:p>
            <w:pPr>
              <w:spacing w:after="0"/>
              <w:rPr>
                <w:sz w:val="17"/>
                <w:szCs w:val="17"/>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32.2</w:t>
            </w:r>
          </w:p>
        </w:tc>
        <w:tc>
          <w:tcPr>
            <w:tcW w:w="9980" w:type="dxa"/>
            <w:vAlign w:val="bottom"/>
            <w:gridSpan w:val="6"/>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Certification of Chief Financial Officer pursuant to Title 18, United States Code, Section 1350, as adopted pursuant to Section 906 of the</w:t>
              </w:r>
            </w:hyperlink>
          </w:p>
        </w:tc>
      </w:tr>
      <w:tr>
        <w:trPr>
          <w:trHeight w:val="196"/>
        </w:trPr>
        <w:tc>
          <w:tcPr>
            <w:tcW w:w="960" w:type="dxa"/>
            <w:vAlign w:val="bottom"/>
          </w:tcPr>
          <w:p>
            <w:pPr>
              <w:spacing w:after="0"/>
              <w:rPr>
                <w:sz w:val="17"/>
                <w:szCs w:val="17"/>
                <w:color w:val="auto"/>
              </w:rPr>
            </w:pPr>
          </w:p>
        </w:tc>
        <w:tc>
          <w:tcPr>
            <w:tcW w:w="20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Sarbanes-Oxley Act of 2002</w:t>
              </w:r>
            </w:hyperlink>
          </w:p>
        </w:tc>
        <w:tc>
          <w:tcPr>
            <w:tcW w:w="7800" w:type="dxa"/>
            <w:vAlign w:val="bottom"/>
            <w:tcBorders>
              <w:top w:val="single" w:sz="8" w:color="0000FF"/>
            </w:tcBorders>
            <w:gridSpan w:val="3"/>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615"/>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101.INS</w:t>
            </w:r>
          </w:p>
        </w:tc>
        <w:tc>
          <w:tcPr>
            <w:tcW w:w="9980" w:type="dxa"/>
            <w:vAlign w:val="bottom"/>
            <w:gridSpan w:val="6"/>
          </w:tcPr>
          <w:p>
            <w:pPr>
              <w:spacing w:after="0"/>
              <w:rPr>
                <w:sz w:val="20"/>
                <w:szCs w:val="20"/>
                <w:color w:val="auto"/>
              </w:rPr>
            </w:pPr>
            <w:r>
              <w:rPr>
                <w:rFonts w:ascii="Arial" w:cs="Arial" w:eastAsia="Arial" w:hAnsi="Arial"/>
                <w:sz w:val="18"/>
                <w:szCs w:val="18"/>
                <w:color w:val="auto"/>
                <w:w w:val="90"/>
              </w:rPr>
              <w:t>The instance document does not appear in the interactive data file because its XBRL tags are embedded within the inline XBRL document</w:t>
            </w:r>
          </w:p>
        </w:tc>
      </w:tr>
      <w:tr>
        <w:trPr>
          <w:trHeight w:val="810"/>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0"/>
              </w:rPr>
              <w:t>101.SCH</w:t>
            </w:r>
          </w:p>
        </w:tc>
        <w:tc>
          <w:tcPr>
            <w:tcW w:w="9980" w:type="dxa"/>
            <w:vAlign w:val="bottom"/>
            <w:gridSpan w:val="6"/>
          </w:tcPr>
          <w:p>
            <w:pPr>
              <w:spacing w:after="0"/>
              <w:rPr>
                <w:sz w:val="20"/>
                <w:szCs w:val="20"/>
                <w:color w:val="auto"/>
              </w:rPr>
            </w:pPr>
            <w:r>
              <w:rPr>
                <w:rFonts w:ascii="Arial" w:cs="Arial" w:eastAsia="Arial" w:hAnsi="Arial"/>
                <w:sz w:val="18"/>
                <w:szCs w:val="18"/>
                <w:color w:val="auto"/>
              </w:rPr>
              <w:t>XBRL Schema Document</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4"/>
              </w:rPr>
              <w:t>101.CAL</w:t>
            </w:r>
          </w:p>
        </w:tc>
        <w:tc>
          <w:tcPr>
            <w:tcW w:w="9980" w:type="dxa"/>
            <w:vAlign w:val="bottom"/>
            <w:gridSpan w:val="6"/>
          </w:tcPr>
          <w:p>
            <w:pPr>
              <w:spacing w:after="0"/>
              <w:rPr>
                <w:sz w:val="20"/>
                <w:szCs w:val="20"/>
                <w:color w:val="auto"/>
              </w:rPr>
            </w:pPr>
            <w:r>
              <w:rPr>
                <w:rFonts w:ascii="Arial" w:cs="Arial" w:eastAsia="Arial" w:hAnsi="Arial"/>
                <w:sz w:val="18"/>
                <w:szCs w:val="18"/>
                <w:color w:val="auto"/>
              </w:rPr>
              <w:t>XBRL Calculation Linkbase Documents</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2"/>
              </w:rPr>
              <w:t>101.DEF</w:t>
            </w:r>
          </w:p>
        </w:tc>
        <w:tc>
          <w:tcPr>
            <w:tcW w:w="99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5"/>
              </w:rPr>
              <w:t>101.LAB</w:t>
            </w:r>
          </w:p>
        </w:tc>
        <w:tc>
          <w:tcPr>
            <w:tcW w:w="9980" w:type="dxa"/>
            <w:vAlign w:val="bottom"/>
            <w:gridSpan w:val="6"/>
          </w:tcPr>
          <w:p>
            <w:pPr>
              <w:spacing w:after="0"/>
              <w:rPr>
                <w:sz w:val="20"/>
                <w:szCs w:val="20"/>
                <w:color w:val="auto"/>
              </w:rPr>
            </w:pPr>
            <w:r>
              <w:rPr>
                <w:rFonts w:ascii="Arial" w:cs="Arial" w:eastAsia="Arial" w:hAnsi="Arial"/>
                <w:sz w:val="18"/>
                <w:szCs w:val="18"/>
                <w:color w:val="auto"/>
              </w:rPr>
              <w:t>XBRL Labels Linkbase Documents</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1"/>
              </w:rPr>
              <w:t>101.PRE</w:t>
            </w:r>
          </w:p>
        </w:tc>
        <w:tc>
          <w:tcPr>
            <w:tcW w:w="9980" w:type="dxa"/>
            <w:vAlign w:val="bottom"/>
            <w:gridSpan w:val="6"/>
          </w:tcPr>
          <w:p>
            <w:pPr>
              <w:spacing w:after="0"/>
              <w:rPr>
                <w:sz w:val="20"/>
                <w:szCs w:val="20"/>
                <w:color w:val="auto"/>
              </w:rPr>
            </w:pPr>
            <w:r>
              <w:rPr>
                <w:rFonts w:ascii="Arial" w:cs="Arial" w:eastAsia="Arial" w:hAnsi="Arial"/>
                <w:sz w:val="18"/>
                <w:szCs w:val="18"/>
                <w:color w:val="auto"/>
              </w:rPr>
              <w:t>XBRL Presentation Linkbase Documents</w:t>
            </w:r>
          </w:p>
        </w:tc>
      </w:tr>
      <w:tr>
        <w:trPr>
          <w:trHeight w:val="743"/>
        </w:trPr>
        <w:tc>
          <w:tcPr>
            <w:tcW w:w="960" w:type="dxa"/>
            <w:vAlign w:val="bottom"/>
          </w:tcPr>
          <w:p>
            <w:pPr>
              <w:spacing w:after="0"/>
              <w:rPr>
                <w:sz w:val="24"/>
                <w:szCs w:val="24"/>
                <w:color w:val="auto"/>
              </w:rPr>
            </w:pPr>
          </w:p>
        </w:tc>
        <w:tc>
          <w:tcPr>
            <w:tcW w:w="6820" w:type="dxa"/>
            <w:vAlign w:val="bottom"/>
            <w:gridSpan w:val="3"/>
          </w:tcPr>
          <w:p>
            <w:pPr>
              <w:ind w:left="4440"/>
              <w:spacing w:after="0"/>
              <w:rPr>
                <w:sz w:val="20"/>
                <w:szCs w:val="20"/>
                <w:color w:val="auto"/>
              </w:rPr>
            </w:pPr>
            <w:r>
              <w:rPr>
                <w:rFonts w:ascii="Arial" w:cs="Arial" w:eastAsia="Arial" w:hAnsi="Arial"/>
                <w:sz w:val="18"/>
                <w:szCs w:val="18"/>
                <w:color w:val="auto"/>
              </w:rPr>
              <w:t>41</w:t>
            </w: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60"/>
          </w:cols>
          <w:pgMar w:left="240" w:top="122" w:right="49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ANGIODYNAMICS, INC.</w:t>
            </w:r>
          </w:p>
        </w:tc>
      </w:tr>
      <w:tr>
        <w:trPr>
          <w:trHeight w:val="270"/>
        </w:trPr>
        <w:tc>
          <w:tcPr>
            <w:tcW w:w="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October 4, 2019</w:t>
            </w:r>
          </w:p>
        </w:tc>
        <w:tc>
          <w:tcPr>
            <w:tcW w:w="8200" w:type="dxa"/>
            <w:vAlign w:val="bottom"/>
          </w:tcPr>
          <w:p>
            <w:pPr>
              <w:ind w:left="2900"/>
              <w:spacing w:after="0"/>
              <w:rPr>
                <w:sz w:val="20"/>
                <w:szCs w:val="20"/>
                <w:color w:val="auto"/>
              </w:rPr>
            </w:pPr>
            <w:r>
              <w:rPr>
                <w:rFonts w:ascii="Arial" w:cs="Arial" w:eastAsia="Arial" w:hAnsi="Arial"/>
                <w:sz w:val="18"/>
                <w:szCs w:val="18"/>
                <w:color w:val="auto"/>
              </w:rPr>
              <w:t>/ S /  JAMES C. CLEMMER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89"/>
              </w:rPr>
              <w:t>James C. Clemmer,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October 4, 2019</w:t>
            </w:r>
          </w:p>
        </w:tc>
        <w:tc>
          <w:tcPr>
            <w:tcW w:w="8200" w:type="dxa"/>
            <w:vAlign w:val="bottom"/>
          </w:tcPr>
          <w:p>
            <w:pPr>
              <w:ind w:left="2780"/>
              <w:spacing w:after="0"/>
              <w:rPr>
                <w:sz w:val="20"/>
                <w:szCs w:val="20"/>
                <w:color w:val="auto"/>
              </w:rPr>
            </w:pPr>
            <w:r>
              <w:rPr>
                <w:rFonts w:ascii="Arial" w:cs="Arial" w:eastAsia="Arial" w:hAnsi="Arial"/>
                <w:sz w:val="18"/>
                <w:szCs w:val="18"/>
                <w:color w:val="auto"/>
              </w:rPr>
              <w:t>/ S /  MICHAEL C. GREINER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1"/>
              </w:rPr>
              <w:t>Michael C. Greiner, Executive Vice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Financial and Accounting Officer)</w:t>
            </w:r>
          </w:p>
        </w:tc>
      </w:tr>
      <w:tr>
        <w:trPr>
          <w:trHeight w:val="702"/>
        </w:trPr>
        <w:tc>
          <w:tcPr>
            <w:tcW w:w="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200" w:type="dxa"/>
            <w:vAlign w:val="bottom"/>
          </w:tcPr>
          <w:p>
            <w:pPr>
              <w:ind w:left="258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240"/>
          </w:cols>
          <w:pgMar w:left="240" w:top="122" w:right="4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AngioDynamics,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Subsidiary</w:t>
            </w:r>
          </w:p>
        </w:tc>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State of Incorporation or Organization</w:t>
            </w:r>
          </w:p>
        </w:tc>
      </w:tr>
      <w:tr>
        <w:trPr>
          <w:trHeight w:val="149"/>
        </w:trPr>
        <w:tc>
          <w:tcPr>
            <w:tcW w:w="58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360" w:type="dxa"/>
            <w:vAlign w:val="bottom"/>
            <w:tcBorders>
              <w:bottom w:val="single" w:sz="8" w:color="auto"/>
            </w:tcBorders>
          </w:tcPr>
          <w:p>
            <w:pPr>
              <w:spacing w:after="0"/>
              <w:rPr>
                <w:sz w:val="12"/>
                <w:szCs w:val="12"/>
                <w:color w:val="auto"/>
              </w:rPr>
            </w:pP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Vortex Medical</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NM Holding Company, Inc.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Navilyst Medical Holdings, Inc.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Navilyst Medical, Inc.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AngioDynamics UK Limited</w:t>
            </w:r>
          </w:p>
        </w:tc>
        <w:tc>
          <w:tcPr>
            <w:tcW w:w="53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AngioDynamics Netherlands B. V.</w:t>
            </w:r>
          </w:p>
        </w:tc>
        <w:tc>
          <w:tcPr>
            <w:tcW w:w="53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RITA Medical Systems,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AngioDynamics France, SARL</w:t>
            </w:r>
          </w:p>
        </w:tc>
        <w:tc>
          <w:tcPr>
            <w:tcW w:w="53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AngioDynamics Canada Inc.</w:t>
            </w:r>
          </w:p>
        </w:tc>
        <w:tc>
          <w:tcPr>
            <w:tcW w:w="5360" w:type="dxa"/>
            <w:vAlign w:val="bottom"/>
          </w:tcPr>
          <w:p>
            <w:pPr>
              <w:ind w:left="20"/>
              <w:spacing w:after="0"/>
              <w:rPr>
                <w:sz w:val="20"/>
                <w:szCs w:val="20"/>
                <w:color w:val="auto"/>
              </w:rPr>
            </w:pPr>
            <w:r>
              <w:rPr>
                <w:rFonts w:ascii="Arial" w:cs="Arial" w:eastAsia="Arial" w:hAnsi="Arial"/>
                <w:sz w:val="18"/>
                <w:szCs w:val="18"/>
                <w:color w:val="auto"/>
              </w:rPr>
              <w:t>British Columbia</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AngioDynamics Medical Brasil Participacoes Ltda.</w:t>
            </w:r>
          </w:p>
        </w:tc>
        <w:tc>
          <w:tcPr>
            <w:tcW w:w="5360" w:type="dxa"/>
            <w:vAlign w:val="bottom"/>
          </w:tcPr>
          <w:p>
            <w:pPr>
              <w:ind w:left="20"/>
              <w:spacing w:after="0"/>
              <w:rPr>
                <w:sz w:val="20"/>
                <w:szCs w:val="20"/>
                <w:color w:val="auto"/>
              </w:rPr>
            </w:pPr>
            <w:r>
              <w:rPr>
                <w:rFonts w:ascii="Arial" w:cs="Arial" w:eastAsia="Arial" w:hAnsi="Arial"/>
                <w:sz w:val="18"/>
                <w:szCs w:val="18"/>
                <w:color w:val="auto"/>
              </w:rPr>
              <w:t>Sao Paulo</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RadiaDyne LLC</w:t>
            </w:r>
          </w:p>
        </w:tc>
        <w:tc>
          <w:tcPr>
            <w:tcW w:w="53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Eximo Medical, Ltd.</w:t>
            </w:r>
          </w:p>
        </w:tc>
        <w:tc>
          <w:tcPr>
            <w:tcW w:w="5360" w:type="dxa"/>
            <w:vAlign w:val="bottom"/>
          </w:tcPr>
          <w:p>
            <w:pPr>
              <w:ind w:left="20"/>
              <w:spacing w:after="0"/>
              <w:rPr>
                <w:sz w:val="20"/>
                <w:szCs w:val="20"/>
                <w:color w:val="auto"/>
              </w:rPr>
            </w:pPr>
            <w:r>
              <w:rPr>
                <w:rFonts w:ascii="Arial" w:cs="Arial" w:eastAsia="Arial" w:hAnsi="Arial"/>
                <w:sz w:val="18"/>
                <w:szCs w:val="18"/>
                <w:color w:val="auto"/>
              </w:rPr>
              <w:t>Israel</w:t>
            </w:r>
          </w:p>
        </w:tc>
      </w:tr>
    </w:tbl>
    <w:p>
      <w:pPr>
        <w:sectPr>
          <w:pgSz w:w="11900" w:h="16838" w:orient="portrait"/>
          <w:cols w:equalWidth="0" w:num="1">
            <w:col w:w="11420"/>
          </w:cols>
          <w:pgMar w:left="240" w:top="283"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171" w:lineRule="exact"/>
        <w:rPr>
          <w:sz w:val="20"/>
          <w:szCs w:val="20"/>
          <w:color w:val="auto"/>
        </w:rPr>
      </w:pPr>
    </w:p>
    <w:p>
      <w:pPr>
        <w:ind w:left="500" w:hanging="465"/>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4, 2019</w:t>
      </w:r>
    </w:p>
    <w:p>
      <w:pPr>
        <w:spacing w:after="0" w:line="225" w:lineRule="exact"/>
        <w:rPr>
          <w:sz w:val="20"/>
          <w:szCs w:val="20"/>
          <w:color w:val="auto"/>
        </w:rPr>
      </w:pPr>
    </w:p>
    <w:p>
      <w:pPr>
        <w:ind w:right="9240" w:firstLine="8"/>
        <w:spacing w:after="0" w:line="312" w:lineRule="auto"/>
        <w:tabs>
          <w:tab w:leader="none" w:pos="95" w:val="left"/>
        </w:tabs>
        <w:numPr>
          <w:ilvl w:val="0"/>
          <w:numId w:val="3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S / JAMES C. CLEMMER </w:t>
      </w:r>
      <w:r>
        <w:rPr>
          <w:rFonts w:ascii="Arial" w:cs="Arial" w:eastAsia="Arial" w:hAnsi="Arial"/>
          <w:sz w:val="16"/>
          <w:szCs w:val="16"/>
          <w:color w:val="auto"/>
        </w:rPr>
        <w:t>James C. Clemmer, President, Chief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C. Greiner, certify that:</w:t>
      </w:r>
    </w:p>
    <w:p>
      <w:pPr>
        <w:spacing w:after="0" w:line="171" w:lineRule="exact"/>
        <w:rPr>
          <w:sz w:val="20"/>
          <w:szCs w:val="20"/>
          <w:color w:val="auto"/>
        </w:rPr>
      </w:pPr>
    </w:p>
    <w:p>
      <w:pPr>
        <w:ind w:left="500" w:hanging="465"/>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MICHAEL C. GREINER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 Greiner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157" w:lineRule="exact"/>
        <w:rPr>
          <w:sz w:val="20"/>
          <w:szCs w:val="20"/>
          <w:color w:val="auto"/>
        </w:rPr>
      </w:pPr>
    </w:p>
    <w:p>
      <w:pPr>
        <w:ind w:left="500" w:right="80" w:hanging="465"/>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August 31, 2019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October 4, 2019</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James C. Clemmer, President,</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Michael C. Greiner, Executive Vice President and Chief Financial Officer of ANGIODYNAMICS, Inc. (the "Company"), certify, pursuant to Section 906 of the Sarbanes-Oxley Act of 2002, 18 U.S.C. Section 1350, that, to the best of my knowledge:</w:t>
      </w:r>
    </w:p>
    <w:p>
      <w:pPr>
        <w:spacing w:after="0" w:line="116" w:lineRule="exact"/>
        <w:rPr>
          <w:sz w:val="20"/>
          <w:szCs w:val="20"/>
          <w:color w:val="auto"/>
        </w:rPr>
      </w:pPr>
    </w:p>
    <w:p>
      <w:pPr>
        <w:ind w:left="500" w:right="80" w:hanging="465"/>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August 31, 2019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October 4, 2019</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Michael C.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Michael C. Greiner, Executive Vice President and</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2"/>
    </w:lvl>
  </w:abstractNum>
  <w:abstractNum w:abstractNumId="3">
    <w:nsid w:val="436C6125"/>
    <w:multiLevelType w:val="hybridMultilevel"/>
    <w:lvl w:ilvl="0">
      <w:lvlJc w:val="left"/>
      <w:lvlText w:val="%1."/>
      <w:numFmt w:val="decimal"/>
      <w:start w:val="4"/>
    </w:lvl>
  </w:abstractNum>
  <w:abstractNum w:abstractNumId="4">
    <w:nsid w:val="628C895D"/>
    <w:multiLevelType w:val="hybridMultilevel"/>
    <w:lvl w:ilvl="0">
      <w:lvlJc w:val="left"/>
      <w:lvlText w:val="*"/>
      <w:numFmt w:val="bullet"/>
      <w:start w:val="1"/>
    </w:lvl>
    <w:lvl w:ilvl="1">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2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decimal"/>
      <w:start w:val="5"/>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2019-12-28T05:28:12Z</dcterms:created>
  <dcterms:modified xsi:type="dcterms:W3CDTF">2019-12-28T05:28:12Z</dcterms:modified>
</cp:coreProperties>
</file>