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31, 2022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10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43"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October 7, 2022</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39,107,751</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29"/>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40,139</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1"/>
        </w:trPr>
        <w:tc>
          <w:tcPr>
            <w:tcW w:w="832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20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Aug 31, 2021</w:t>
            </w:r>
          </w:p>
        </w:tc>
      </w:tr>
      <w:tr>
        <w:trPr>
          <w:trHeight w:val="230"/>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 (loss)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$1,913 and $1,939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51,392</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143,345</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201,058</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34,842</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128,262</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3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39,847,751 and 39,541,173 shares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39,477,751 and 39,171,173 shares outstanding at August 31, 2022 and May 31, 2022, respectively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586,879</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(158,413)</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370,000 shares at August 31, 2022 and May 31, 2022,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424,489</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Aug 31, 2021</w:t>
            </w: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29"/>
        </w:trPr>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3"/>
        </w:trPr>
        <w:tc>
          <w:tcPr>
            <w:tcW w:w="8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 on 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3"/>
        </w:trPr>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r>
      <w:tr>
        <w:trPr>
          <w:trHeight w:val="248"/>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39,541,173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586,879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424,489</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213,241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39,847,751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589,984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414,041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38,920,951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573,507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439,457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279,495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39,390,241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576,380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435,950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months ended August 31, 2022 and 2021, the Consolidated Balance Sheet as of August 31, 2022, the Consolidated Statements of Cash Flows for the three months ended August 31, 2022 and 2021, and the Consolidated Statements of Stockholders’ Equity for the three months ended August 31, 2022 and 2021 have been prepared by the Company and are unaudited. The Consolidated Balance Sheet as of May 31, 2022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2022 (and for all periods presented) have been made.</w:t>
      </w:r>
    </w:p>
    <w:p>
      <w:pPr>
        <w:spacing w:after="0" w:line="135"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months ended August 31, 2022 and 2021 include the accounts of AngioDynamics, Inc. and its wholly owned subsidiaries (collectively, the "Company", "we", "our" or "us"). All intercompany balances and transactions have been eliminated.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Camaro Support Catheter Asset Acquisition</w:t>
      </w:r>
    </w:p>
    <w:p>
      <w:pPr>
        <w:spacing w:after="0" w:line="1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77"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Med Tech segment.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1020" w:type="dxa"/>
            <w:vAlign w:val="bottom"/>
            <w:tcBorders>
              <w:top w:val="single" w:sz="8" w:color="0000FF"/>
            </w:tcBorders>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 August 31, 2022</w:t>
            </w:r>
          </w:p>
        </w:tc>
        <w:tc>
          <w:tcPr>
            <w:tcW w:w="140" w:type="dxa"/>
            <w:vAlign w:val="bottom"/>
          </w:tcPr>
          <w:p>
            <w:pPr>
              <w:spacing w:after="0"/>
              <w:rPr>
                <w:sz w:val="24"/>
                <w:szCs w:val="24"/>
                <w:color w:val="auto"/>
              </w:rPr>
            </w:pPr>
          </w:p>
        </w:tc>
        <w:tc>
          <w:tcPr>
            <w:tcW w:w="3340" w:type="dxa"/>
            <w:vAlign w:val="bottom"/>
            <w:gridSpan w:val="7"/>
          </w:tcPr>
          <w:p>
            <w:pPr>
              <w:jc w:val="center"/>
              <w:ind w:right="55"/>
              <w:spacing w:after="0"/>
              <w:rPr>
                <w:sz w:val="20"/>
                <w:szCs w:val="20"/>
                <w:color w:val="auto"/>
              </w:rPr>
            </w:pPr>
            <w:r>
              <w:rPr>
                <w:rFonts w:ascii="Times New Roman" w:cs="Times New Roman" w:eastAsia="Times New Roman" w:hAnsi="Times New Roman"/>
                <w:sz w:val="14"/>
                <w:szCs w:val="14"/>
                <w:color w:val="auto"/>
              </w:rPr>
              <w:t>Three Months Ended August 31, 2021</w:t>
            </w:r>
          </w:p>
        </w:tc>
        <w:tc>
          <w:tcPr>
            <w:tcW w:w="0" w:type="dxa"/>
            <w:vAlign w:val="bottom"/>
          </w:tcPr>
          <w:p>
            <w:pPr>
              <w:spacing w:after="0"/>
              <w:rPr>
                <w:sz w:val="1"/>
                <w:szCs w:val="1"/>
                <w:color w:val="auto"/>
              </w:rPr>
            </w:pPr>
          </w:p>
        </w:tc>
      </w:tr>
      <w:tr>
        <w:trPr>
          <w:trHeight w:val="23"/>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0" w:type="dxa"/>
            <w:vAlign w:val="bottom"/>
          </w:tcPr>
          <w:p>
            <w:pPr>
              <w:spacing w:after="0"/>
              <w:rPr>
                <w:sz w:val="1"/>
                <w:szCs w:val="1"/>
                <w:color w:val="auto"/>
              </w:rPr>
            </w:pPr>
          </w:p>
        </w:tc>
      </w:tr>
      <w:tr>
        <w:trPr>
          <w:trHeight w:val="223"/>
        </w:trPr>
        <w:tc>
          <w:tcPr>
            <w:tcW w:w="4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2022, such product returns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bl>
    <w:p>
      <w:pPr>
        <w:spacing w:after="0" w:line="23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2022, the Company had additions to contract liabilities of $0.3 million. This was offset by $0.2 million in revenue that was recognized during the three months ended August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51,392</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2022 and May 31, 2022 was $3.8 million and $3.7 million,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08"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has historically performed its annual goodwill assessment during the third quarter of each fiscal year. During the fourth quarter of fiscal year 2022, the Company changed its annual impairment assessment date from December 31 to April 30 to more closely align the impairment assessment date with the Company's long term planning and forecasting process.</w:t>
      </w:r>
    </w:p>
    <w:p>
      <w:pPr>
        <w:spacing w:after="0" w:line="12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April 30, 2022.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11"Segment and Geographic Information" set forth in the Notes to our consolidated financial statements included in this Quarterly Report on Form 10-Q). As a result of this change, goodwill was required to be allocated to each reporting unit and an interim goodwill impairment assessment was performed at the Company and reporting unit levels. To determine the fair value of the individual reporting units and the entire company as of June 1, 2022, the Company utilized the income approach.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was also considered; however, the income approach was chosen as the Company determined it is a better representation of both the Med Tech and Med Device reporting units' projected long-term performance. The fair value of each reporting unit and the Company as a whole was assessed to determine if there was any impairment. The Company compared each reporting unit's fair value to the adjusted carrying value to conclude that there was no impairment for either reporting unit or the Company as a whole. The adjusted carrying value of each reporting unit was used to calculate the Company's book value to compare to its market capitalization at the assessment date. Based on the results of this evaluation, there were no adjustments to goodwill for either reporting unit or the Company as a whole as of August 31, 2022.</w:t>
      </w:r>
    </w:p>
    <w:p>
      <w:pPr>
        <w:spacing w:after="0" w:line="14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at August 31, 2022, the future occurrence of a potential indicator of impairment, such as a significant adverse change in legal, regulatory, business or economic conditions or a more-likely-than-not expectation that one of the reporting units or a significant portion of either of the reporting units will be sold or disposed of, would require an interim assessment for the reporting units prior to the next required annual assessment as of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for each reporting unit is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Aug 31, 2022</w:t>
            </w: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635"/>
              <w:spacing w:after="0"/>
              <w:rPr>
                <w:sz w:val="20"/>
                <w:szCs w:val="20"/>
                <w:color w:val="auto"/>
              </w:rPr>
            </w:pPr>
            <w:r>
              <w:rPr>
                <w:rFonts w:ascii="Times New Roman" w:cs="Times New Roman" w:eastAsia="Times New Roman" w:hAnsi="Times New Roman"/>
                <w:sz w:val="14"/>
                <w:szCs w:val="14"/>
                <w:color w:val="auto"/>
              </w:rPr>
              <w:t>Med Tech</w:t>
            </w:r>
          </w:p>
        </w:tc>
        <w:tc>
          <w:tcPr>
            <w:tcW w:w="440" w:type="dxa"/>
            <w:vAlign w:val="bottom"/>
          </w:tcPr>
          <w:p>
            <w:pPr>
              <w:spacing w:after="0"/>
              <w:rPr>
                <w:sz w:val="16"/>
                <w:szCs w:val="16"/>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Med Device</w:t>
            </w:r>
          </w:p>
        </w:tc>
        <w:tc>
          <w:tcPr>
            <w:tcW w:w="48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1, 2022</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160,529</w:t>
            </w:r>
          </w:p>
        </w:tc>
        <w:tc>
          <w:tcPr>
            <w:tcW w:w="4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201,058</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August 31, 2022</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160,509</w:t>
            </w:r>
          </w:p>
        </w:tc>
        <w:tc>
          <w:tcPr>
            <w:tcW w:w="4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201,038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4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There were no adjustments to goodwill for the three months ended August 31, 2022 other than foreign currency translation adjustments. </w:t>
      </w:r>
      <w:r>
        <w:rPr>
          <w:rFonts w:ascii="Times New Roman" w:cs="Times New Roman" w:eastAsia="Times New Roman" w:hAnsi="Times New Roman"/>
          <w:sz w:val="18"/>
          <w:szCs w:val="18"/>
          <w:b w:val="1"/>
          <w:bCs w:val="1"/>
          <w:i w:val="1"/>
          <w:iCs w:val="1"/>
          <w:color w:val="auto"/>
        </w:rPr>
        <w:t>Definite Lived Intangible Assets</w:t>
      </w:r>
    </w:p>
    <w:p>
      <w:pPr>
        <w:spacing w:after="0" w:line="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Aug 31, 2022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2022</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8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August 31, 2022 and 2021 was $4.8 million and $4.8 million, respectively.</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w:t>
            </w: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7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"Credit Agreement") with its lenders, JPMorgan Chase Bank, N.A., as Administrative Agent, sole bookrunner, and sole lead arranger, and Bank of America, N.A. and KeyBank National Association, as Syndication Agents.</w:t>
      </w:r>
    </w:p>
    <w:p>
      <w:pPr>
        <w:spacing w:after="0" w:line="12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$75.0 million secured revolving credit facility (the "Revolving Facility") and a $30.0 million delayed draw term loan (the "Delayed Draw Term Loan"), and also includes an uncommitted expansion feature that allows the Company to increase the total revolving commitments and/or add new tranches of term loans in an aggregate amount not to exceed $75.0 million. Each exercise of such expansion feature must be drawn in $5.0 million increments. The proceeds of the Revolving Facility may be used for general corporate purposes, including permitted acquisitions. The proceeds of the Delayed Draw Term Loan may be used for general corporate purposes, including primarily to finance the manufacturing costs of the Auryon laser capital equipment.</w:t>
      </w:r>
    </w:p>
    <w:p>
      <w:pPr>
        <w:spacing w:after="0" w:line="13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has a five-year maturity. Interest on the Revolving Facility and Delayed Draw Term Loan will be based, at the Company's option, on a rate equal to (i) the Secured Overnight Financing Rate ("SOFR") plus 0.10% (subject to a floor of 0%), or (ii) if the Company elects to treat a borrowing as an ABR Borrowing, an alternate base rate based on SOFR, plus, in each case, an applicable margin of 1.25%, 1.50% or 1.75%, depending on the leverage ratio. If any amounts are not paid when due, such overdue amounts will bear interest at an amount generally equal to 2.0% plus the existing loan rate. The Credit Agreement also carries a commitment fee in the case of the Revolving Facility, and a ticking fee, in the case of the Delayed Draw Term Loans of 0.20% to 0.25% per annum on the unused portion.</w:t>
      </w:r>
    </w:p>
    <w:p>
      <w:pPr>
        <w:spacing w:after="0" w:line="13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jointly and severally, by the Company's material direct and indirect domestic subsidiaries (the “Guarantors”). All obligations of the Company and the Guarantors under the Credit Agreement are secured by first priority security interests in substantially all of the assets of the Company and the Guarantors.</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08" w:lineRule="exact"/>
        <w:rPr>
          <w:sz w:val="20"/>
          <w:szCs w:val="20"/>
          <w:color w:val="auto"/>
        </w:rPr>
      </w:pPr>
    </w:p>
    <w:p>
      <w:pPr>
        <w:ind w:left="660" w:right="340" w:hanging="247"/>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07" w:lineRule="exact"/>
        <w:rPr>
          <w:rFonts w:ascii="Times New Roman" w:cs="Times New Roman" w:eastAsia="Times New Roman" w:hAnsi="Times New Roman"/>
          <w:sz w:val="18"/>
          <w:szCs w:val="18"/>
          <w:color w:val="auto"/>
        </w:rPr>
      </w:pPr>
    </w:p>
    <w:p>
      <w:pPr>
        <w:ind w:left="660" w:right="140" w:hanging="247"/>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03" w:lineRule="exact"/>
        <w:rPr>
          <w:rFonts w:ascii="Times New Roman" w:cs="Times New Roman" w:eastAsia="Times New Roman" w:hAnsi="Times New Roman"/>
          <w:sz w:val="18"/>
          <w:szCs w:val="18"/>
          <w:color w:val="auto"/>
        </w:rPr>
      </w:pPr>
    </w:p>
    <w:p>
      <w:pPr>
        <w:ind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August 31, 2022.</w:t>
      </w:r>
    </w:p>
    <w:p>
      <w:pPr>
        <w:spacing w:after="0" w:line="12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2022, there was $25.0 million outstanding on the Revolving Facility and $25.0 million outstanding on the Delayed Draw Term Loan and the interest rate at August 31, 2022 applicable to each was 4.06%. As of August 31, 2022 and May 31, 2022,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821"/>
        </w:trPr>
        <w:tc>
          <w:tcPr>
            <w:tcW w:w="10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2022</w:t>
            </w:r>
          </w:p>
        </w:tc>
      </w:tr>
      <w:tr>
        <w:trPr>
          <w:trHeight w:val="23"/>
        </w:trPr>
        <w:tc>
          <w:tcPr>
            <w:tcW w:w="98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Delayed Draw Term Loan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9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49,798</w:t>
            </w:r>
          </w:p>
        </w:tc>
      </w:tr>
      <w:tr>
        <w:trPr>
          <w:trHeight w:val="21"/>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Principal payments of approximately 3.57% on the Delayed Draw Term Loan will amortize in equal quarterly installments over a five year period beginning on the earlier of a full draw or the expiry of the draw period (March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5.5% as of the first quarter of fiscal year 2023, as compared to 10.6% for the same period in fiscal year 2022.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August 31, 2022.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August 31, 2022, there was a maximum of 0.8 million shares of common stock available for future grant under the 2020 Plan.</w:t>
      </w:r>
    </w:p>
    <w:p>
      <w:pPr>
        <w:spacing w:after="0" w:line="12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August 31, 2022, there was a maximum of 2.3 million shares of common stock available for future grant under the employee stock purchase plan.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August 31, 2022 and 2021, share-based compensation expense was $3.0 million and $2.4 million, respectively.</w:t>
      </w:r>
    </w:p>
    <w:p>
      <w:pPr>
        <w:spacing w:after="0" w:line="17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31, 2022 and 2021,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31, 2022 and 2021,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2022, there was $27.1 million of unrecognized compensation expense related to share-based payment arrangements. These costs are expected to be recognized over a weighted-average period of approximately two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3080" w:type="dxa"/>
            <w:vAlign w:val="bottom"/>
            <w:gridSpan w:val="4"/>
          </w:tcPr>
          <w:p>
            <w:pPr>
              <w:ind w:left="8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6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Aug 31, 2022</w:t>
            </w:r>
          </w:p>
        </w:tc>
        <w:tc>
          <w:tcPr>
            <w:tcW w:w="14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Aug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40" w:firstLine="389"/>
        <w:spacing w:after="0" w:line="254"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and management to evaluate performance and allocate resources. Prior to the first quarter of fiscal year 2023, the Company considered the business to be a single operating segment engaged in the development, manufacture and sale of medical devices for vascular access, peripheral vascular disease and oncology on a global basis. 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 The Company's chief operating decision maker, the President and Chief Executive Officer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1"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$557.7 million as of August 31, 2022.</w:t>
      </w:r>
    </w:p>
    <w:p>
      <w:pPr>
        <w:spacing w:after="0" w:line="12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 including prior periods during which the Company considered the business to be a single operating segment, in order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1020" w:type="dxa"/>
            <w:vAlign w:val="bottom"/>
            <w:tcBorders>
              <w:top w:val="single" w:sz="8" w:color="0000FF"/>
            </w:tcBorders>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7"/>
          </w:tcPr>
          <w:p>
            <w:pPr>
              <w:ind w:left="6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Aug 31, 2022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spacing w:after="0"/>
              <w:rPr>
                <w:sz w:val="21"/>
                <w:szCs w:val="21"/>
                <w:color w:val="auto"/>
              </w:rPr>
            </w:pPr>
          </w:p>
        </w:tc>
        <w:tc>
          <w:tcPr>
            <w:tcW w:w="70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22,817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65.4 %</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58,720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81,537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46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7"/>
          </w:tcPr>
          <w:p>
            <w:pPr>
              <w:ind w:left="70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Aug 31, 2022</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Aug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69,023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12,514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81,537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00" w:firstLine="445"/>
        <w:spacing w:after="0" w:line="250" w:lineRule="auto"/>
        <w:rPr>
          <w:sz w:val="20"/>
          <w:szCs w:val="20"/>
          <w:color w:val="auto"/>
        </w:rPr>
      </w:pPr>
      <w:r>
        <w:rPr>
          <w:rFonts w:ascii="Times New Roman" w:cs="Times New Roman" w:eastAsia="Times New Roman" w:hAnsi="Times New Roman"/>
          <w:sz w:val="18"/>
          <w:szCs w:val="18"/>
          <w:color w:val="auto"/>
        </w:rPr>
        <w:t>As of August 31, 2022 and 2021, international sales as a percentage of total net sales were 15.3% and 16.2%, respectively. Sales to any one country outside the U.S., as determined by shipment destination, did not comprise a material portion of net sales in any of the last three fiscal years. In addition, no one customer represents more than 10% of consolidated net sales and 96% of long-lived assets are located within the United States.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at Aug 31,</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5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6"/>
              </w:rPr>
              <w:t>17,158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6"/>
              </w:rPr>
              <w:t>17,158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gridSpan w:val="9"/>
            <w:vMerge w:val="restart"/>
          </w:tcPr>
          <w:p>
            <w:pPr>
              <w:ind w:left="44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40" w:type="dxa"/>
            <w:vAlign w:val="bottom"/>
            <w:gridSpan w:val="9"/>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6"/>
              </w:rPr>
              <w:t>16,948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6"/>
              </w:rPr>
              <w:t>16,948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82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months ended August 31, 2022 and 2021.</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35"/>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gridSpan w:val="5"/>
          </w:tcPr>
          <w:p>
            <w:pPr>
              <w:jc w:val="center"/>
              <w:spacing w:after="0" w:line="13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August 31, 2022</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8"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5"/>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 - 100%</w:t>
            </w:r>
          </w:p>
        </w:tc>
      </w:tr>
      <w:tr>
        <w:trPr>
          <w:trHeight w:val="234"/>
        </w:trPr>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2023 - 2025</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40" w:firstLine="405"/>
        <w:spacing w:after="0" w:line="266" w:lineRule="auto"/>
        <w:rPr>
          <w:sz w:val="20"/>
          <w:szCs w:val="20"/>
          <w:color w:val="auto"/>
        </w:rPr>
      </w:pPr>
      <w:r>
        <w:rPr>
          <w:rFonts w:ascii="Times New Roman" w:cs="Times New Roman" w:eastAsia="Times New Roman" w:hAnsi="Times New Roman"/>
          <w:sz w:val="18"/>
          <w:szCs w:val="18"/>
          <w:color w:val="auto"/>
        </w:rPr>
        <w:t>At August 31, 2022,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2023 to 2029 in order for the associated consideration to be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Aug 31, 2022</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454"/>
        </w:trPr>
        <w:tc>
          <w:tcPr>
            <w:tcW w:w="9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2022</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20" w:firstLine="405"/>
        <w:spacing w:after="0" w:line="287" w:lineRule="auto"/>
        <w:rPr>
          <w:sz w:val="20"/>
          <w:szCs w:val="20"/>
          <w:color w:val="auto"/>
        </w:rPr>
      </w:pPr>
      <w:r>
        <w:rPr>
          <w:rFonts w:ascii="Times New Roman" w:cs="Times New Roman" w:eastAsia="Times New Roman" w:hAnsi="Times New Roman"/>
          <w:sz w:val="17"/>
          <w:szCs w:val="17"/>
          <w:color w:val="auto"/>
        </w:rPr>
        <w:t>During the three months ended August 31, 2022 and 2021, the Company recognized $0.7 million and $0.7 million of operating lease expense, respectively, which includes immaterial short-term leases. The expenses on the Consolidated Statement of Operations were classified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 for the three months ended: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Aug 31, 2021</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7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162" w:lineRule="exact"/>
        <w:rPr>
          <w:sz w:val="20"/>
          <w:szCs w:val="20"/>
          <w:color w:val="auto"/>
        </w:rPr>
      </w:pPr>
    </w:p>
    <w:p>
      <w:pPr>
        <w:ind w:firstLine="405"/>
        <w:spacing w:after="0" w:line="235"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On July 22, 2021, in another case against a different defendant, the District of Utah invalidated multiple claims of the ‘302, ‘022, and ‘615 Patents under 35 USC §101, including claims asserted against the Company. Following the Utah court’s decision, the Company filed a Motion for Judgment on the Pleadings based on collateral estoppel on August 9, 2021. Bard filed its opposition brief on September 2, 2021 and the Company filed a reply on September 9, 2021. Following a hearing on the Motion for Judgment on the Pleadings on December 21, 2021, the District of Delaware stayed the case pending the Federal Circuit's resolution of Bard's appeal from the Utah Decision. Previously, the Company had filed a Motion for Leave to Amend its Answer and Counterclaims on April 14, 2021. This motion sought to add counterclaims for infringement of U.S. Patent Nos. 9,168,365; 9,895,523; and 10,632,295, as well as a counterclaim of inequitable conduct. On November 5, 2021, the Company notified the District of Delaware that the Utah decision was certified for appeal to the Court of Appeals for the Federal Circuit. Contemporaneously, the Company withdrew its Motion for Leave to Amend its Answer and Counterclaims without prejudice to refile. Bard filed its Opening Appellate Brief in its appeal at the Federal Circuit on December 8, 2021, and the appeal remains pending.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4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The Company filed a combined Petition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agreed to schedule trial the week of May 9, 2022, which was subsequently rescheduled for the week of November 14, 2022.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29"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On December 21, 2021, the District of Delaware stayed the case pending the Federal Circuit's resolution of Bard's appeal of the Utah decision invalidating multiple claims of the ‘302, ‘022, and ‘615 patents under 35 USC §101.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v. C.R. Bard, Inc.</w:t>
      </w:r>
    </w:p>
    <w:p>
      <w:pPr>
        <w:spacing w:after="0" w:line="17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alleged that Bard had illegally tied the sales of its tip location systems to the sales of its PICCs in violation of federal antitrust laws and this practice had an anti-competitive effect in the US market for PICCs. The Company sought both monetary damages and injunctive relief. On October 6, 2022, a jury verdict was rendered finding Bard did not restrain competition in violation of federal antitrust laws.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30"/>
        </w:trPr>
        <w:tc>
          <w:tcPr>
            <w:tcW w:w="830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Israeli Innovation Authority prepayment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from Queensbury, NY to Costa Rica.</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year 2023, a $3.5 million payment was made to the Israeli Innovation Authority to fully satisfy the obligation related to grant funds that were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provided to Eximo for development of the Auryon laser prior to the acquisition in the second quarter of fiscal year 2020.</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net of tax,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Three Months Ended Aug 31,</w:t>
            </w:r>
          </w:p>
        </w:tc>
        <w:tc>
          <w:tcPr>
            <w:tcW w:w="0" w:type="dxa"/>
            <w:vAlign w:val="bottom"/>
          </w:tcPr>
          <w:p>
            <w:pPr>
              <w:spacing w:after="0"/>
              <w:rPr>
                <w:sz w:val="1"/>
                <w:szCs w:val="1"/>
                <w:color w:val="auto"/>
              </w:rPr>
            </w:pPr>
          </w:p>
        </w:tc>
      </w:tr>
      <w:tr>
        <w:trPr>
          <w:trHeight w:val="193"/>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38"/>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1"/>
                <w:szCs w:val="11"/>
                <w:color w:val="auto"/>
              </w:rPr>
            </w:pPr>
          </w:p>
        </w:tc>
        <w:tc>
          <w:tcPr>
            <w:tcW w:w="1820" w:type="dxa"/>
            <w:vAlign w:val="bottom"/>
          </w:tcPr>
          <w:p>
            <w:pPr>
              <w:jc w:val="center"/>
              <w:ind w:right="39"/>
              <w:spacing w:after="0" w:line="138"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3"/>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2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right="6120" w:hanging="12"/>
        <w:spacing w:after="0" w:line="566" w:lineRule="auto"/>
        <w:tabs>
          <w:tab w:leader="none" w:pos="27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3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16"/>
                <w:szCs w:val="16"/>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40" w:type="dxa"/>
            <w:vAlign w:val="bottom"/>
          </w:tcPr>
          <w:p>
            <w:pPr>
              <w:spacing w:after="0"/>
              <w:rPr>
                <w:sz w:val="16"/>
                <w:szCs w:val="16"/>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242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2021-10, </w:t>
            </w:r>
            <w:r>
              <w:rPr>
                <w:rFonts w:ascii="Times New Roman" w:cs="Times New Roman" w:eastAsia="Times New Roman" w:hAnsi="Times New Roman"/>
                <w:sz w:val="18"/>
                <w:szCs w:val="18"/>
                <w:i w:val="1"/>
                <w:iCs w:val="1"/>
                <w:color w:val="auto"/>
              </w:rPr>
              <w:t>Government</w:t>
            </w:r>
          </w:p>
        </w:tc>
        <w:tc>
          <w:tcPr>
            <w:tcW w:w="37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This ASU increases the transparency of government</w:t>
            </w:r>
          </w:p>
        </w:tc>
        <w:tc>
          <w:tcPr>
            <w:tcW w:w="40" w:type="dxa"/>
            <w:vAlign w:val="bottom"/>
          </w:tcPr>
          <w:p>
            <w:pPr>
              <w:spacing w:after="0"/>
              <w:rPr>
                <w:sz w:val="14"/>
                <w:szCs w:val="14"/>
                <w:color w:val="auto"/>
              </w:rPr>
            </w:pPr>
          </w:p>
        </w:tc>
        <w:tc>
          <w:tcPr>
            <w:tcW w:w="12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June 1, 2022</w:t>
            </w:r>
          </w:p>
        </w:tc>
        <w:tc>
          <w:tcPr>
            <w:tcW w:w="37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The Company adopted the new standard in the first</w:t>
            </w:r>
          </w:p>
        </w:tc>
        <w:tc>
          <w:tcPr>
            <w:tcW w:w="40" w:type="dxa"/>
            <w:vAlign w:val="bottom"/>
          </w:tcPr>
          <w:p>
            <w:pPr>
              <w:spacing w:after="0"/>
              <w:rPr>
                <w:sz w:val="14"/>
                <w:szCs w:val="14"/>
                <w:color w:val="auto"/>
              </w:rPr>
            </w:pPr>
          </w:p>
        </w:tc>
      </w:tr>
      <w:tr>
        <w:trPr>
          <w:trHeight w:val="189"/>
        </w:trPr>
        <w:tc>
          <w:tcPr>
            <w:tcW w:w="242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Assistance (Topic 832):</w:t>
            </w:r>
          </w:p>
        </w:tc>
        <w:tc>
          <w:tcPr>
            <w:tcW w:w="37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assistance to include the disclosure of (1) the types</w:t>
            </w:r>
          </w:p>
        </w:tc>
        <w:tc>
          <w:tcPr>
            <w:tcW w:w="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quarter of fiscal year 2023 and it did not have an</w:t>
            </w:r>
          </w:p>
        </w:tc>
        <w:tc>
          <w:tcPr>
            <w:tcW w:w="40" w:type="dxa"/>
            <w:vAlign w:val="bottom"/>
          </w:tcPr>
          <w:p>
            <w:pPr>
              <w:spacing w:after="0"/>
              <w:rPr>
                <w:sz w:val="16"/>
                <w:szCs w:val="16"/>
                <w:color w:val="auto"/>
              </w:rPr>
            </w:pPr>
          </w:p>
        </w:tc>
      </w:tr>
      <w:tr>
        <w:trPr>
          <w:trHeight w:val="189"/>
        </w:trPr>
        <w:tc>
          <w:tcPr>
            <w:tcW w:w="242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Disclosures by Business</w:t>
            </w:r>
          </w:p>
        </w:tc>
        <w:tc>
          <w:tcPr>
            <w:tcW w:w="37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of assistance, (2) an entity's accounting for the</w:t>
            </w:r>
          </w:p>
        </w:tc>
        <w:tc>
          <w:tcPr>
            <w:tcW w:w="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impact on the Company's consolidated financial</w:t>
            </w:r>
          </w:p>
        </w:tc>
        <w:tc>
          <w:tcPr>
            <w:tcW w:w="40" w:type="dxa"/>
            <w:vAlign w:val="bottom"/>
          </w:tcPr>
          <w:p>
            <w:pPr>
              <w:spacing w:after="0"/>
              <w:rPr>
                <w:sz w:val="16"/>
                <w:szCs w:val="16"/>
                <w:color w:val="auto"/>
              </w:rPr>
            </w:pPr>
          </w:p>
        </w:tc>
      </w:tr>
      <w:tr>
        <w:trPr>
          <w:trHeight w:val="209"/>
        </w:trPr>
        <w:tc>
          <w:tcPr>
            <w:tcW w:w="2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Entities about Government</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assistance, and (3) the effect of the assistance on an</w:t>
            </w:r>
          </w:p>
        </w:tc>
        <w:tc>
          <w:tcPr>
            <w:tcW w:w="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w:t>
            </w:r>
          </w:p>
        </w:tc>
        <w:tc>
          <w:tcPr>
            <w:tcW w:w="40" w:type="dxa"/>
            <w:vAlign w:val="bottom"/>
          </w:tcPr>
          <w:p>
            <w:pPr>
              <w:spacing w:after="0"/>
              <w:rPr>
                <w:sz w:val="18"/>
                <w:szCs w:val="18"/>
                <w:color w:val="auto"/>
              </w:rPr>
            </w:pPr>
          </w:p>
        </w:tc>
      </w:tr>
      <w:tr>
        <w:trPr>
          <w:trHeight w:val="243"/>
        </w:trPr>
        <w:tc>
          <w:tcPr>
            <w:tcW w:w="24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Assistance</w:t>
            </w:r>
          </w:p>
        </w:tc>
        <w:tc>
          <w:tcPr>
            <w:tcW w:w="3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entity's financial statements.</w:t>
            </w:r>
          </w:p>
        </w:tc>
        <w:tc>
          <w:tcPr>
            <w:tcW w:w="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488"/>
        </w:trPr>
        <w:tc>
          <w:tcPr>
            <w:tcW w:w="4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23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16"/>
                <w:szCs w:val="16"/>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4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76"/>
        </w:trPr>
        <w:tc>
          <w:tcPr>
            <w:tcW w:w="40" w:type="dxa"/>
            <w:vAlign w:val="bottom"/>
          </w:tcPr>
          <w:p>
            <w:pPr>
              <w:spacing w:after="0"/>
              <w:rPr>
                <w:sz w:val="15"/>
                <w:szCs w:val="15"/>
                <w:color w:val="auto"/>
              </w:rPr>
            </w:pPr>
          </w:p>
        </w:tc>
        <w:tc>
          <w:tcPr>
            <w:tcW w:w="23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w:t>
            </w:r>
          </w:p>
        </w:tc>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This ASU improves the accounting for acquired</w:t>
            </w:r>
          </w:p>
        </w:tc>
        <w:tc>
          <w:tcPr>
            <w:tcW w:w="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June 1, 2023</w:t>
            </w:r>
          </w:p>
        </w:tc>
        <w:tc>
          <w:tcPr>
            <w:tcW w:w="3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4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38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Combinations (Topic 805):</w:t>
            </w:r>
          </w:p>
        </w:tc>
        <w:tc>
          <w:tcPr>
            <w:tcW w:w="3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contracts with customers in a business</w:t>
            </w:r>
          </w:p>
        </w:tc>
        <w:tc>
          <w:tcPr>
            <w:tcW w:w="4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the first quarter of fiscal year 2024 and does not</w:t>
            </w:r>
          </w:p>
        </w:tc>
        <w:tc>
          <w:tcPr>
            <w:tcW w:w="4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23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Accounting for Contract Assets</w:t>
            </w:r>
          </w:p>
        </w:tc>
        <w:tc>
          <w:tcPr>
            <w:tcW w:w="3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combination by addressing diversity in practice and</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c>
          <w:tcPr>
            <w:tcW w:w="4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3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and Contract Liabilities from</w:t>
            </w:r>
          </w:p>
        </w:tc>
        <w:tc>
          <w:tcPr>
            <w:tcW w:w="3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inconsistency related to recognition of an acquired</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w:t>
            </w:r>
          </w:p>
        </w:tc>
        <w:tc>
          <w:tcPr>
            <w:tcW w:w="40" w:type="dxa"/>
            <w:vAlign w:val="bottom"/>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Contracts with Customers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contract liability and payment terms and their effect</w:t>
            </w:r>
          </w:p>
        </w:tc>
        <w:tc>
          <w:tcPr>
            <w:tcW w:w="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0" w:type="dxa"/>
            <w:vAlign w:val="bottom"/>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 subsequent revenue recognized by the acquirer.</w:t>
            </w:r>
          </w:p>
        </w:tc>
        <w:tc>
          <w:tcPr>
            <w:tcW w:w="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2022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3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new Credit Agreement provides for a $75.0 million Revolving Facility and a $30.0 million Delayed Draw Term Loan as of August 31, 2022, $25.0 million was drawn on the Revolving Facility and $25.0 million was drawn on the Delayed Draw Term Loan . See Note 7 "Long-Term Debt" set forth in the Notes to the consolidated financial statements.</w:t>
      </w:r>
    </w:p>
    <w:p>
      <w:pPr>
        <w:spacing w:after="0" w:line="126" w:lineRule="exact"/>
        <w:rPr>
          <w:sz w:val="20"/>
          <w:szCs w:val="20"/>
          <w:color w:val="auto"/>
        </w:rPr>
      </w:pPr>
    </w:p>
    <w:p>
      <w:pPr>
        <w:ind w:right="160" w:firstLine="389"/>
        <w:spacing w:after="0" w:line="266" w:lineRule="auto"/>
        <w:rPr>
          <w:sz w:val="20"/>
          <w:szCs w:val="20"/>
          <w:color w:val="auto"/>
        </w:rPr>
      </w:pPr>
      <w:r>
        <w:rPr>
          <w:rFonts w:ascii="Times New Roman" w:cs="Times New Roman" w:eastAsia="Times New Roman" w:hAnsi="Times New Roman"/>
          <w:sz w:val="18"/>
          <w:szCs w:val="18"/>
          <w:color w:val="auto"/>
        </w:rPr>
        <w:t>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w:t>
      </w:r>
    </w:p>
    <w:p>
      <w:pPr>
        <w:spacing w:after="0" w:line="12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months ended August 31, 2022 compared to the three months ended August 31, 2021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August 31, 2022:</w:t>
      </w:r>
    </w:p>
    <w:p>
      <w:pPr>
        <w:spacing w:after="0" w:line="17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5.9% to $81.5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29.6% while Med Device declined 1.1%.</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20 bps to 51.9%.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decreased 220 bps to 63.2% and Med Device gross profit decreased 70 bps to 47.5%.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$6.0 million to $13.0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$0.15 to a loss of $0.33.</w:t>
      </w:r>
    </w:p>
    <w:p>
      <w:pPr>
        <w:spacing w:after="0" w:line="15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Med Tech revenue, comprised of Auryon, the thrombus management platform and NanoKnife grew 29.6% in the first quarter of fiscal year 2023. The growth in Auryon, the thrombus management platform and NanoKnife disposables was partially offset by decreased NanoKnife capital sales. Our Med Device revenue declined 1.1% in the first quarter of fiscal year 2023 driven by the backlog in Vascular Access products and continued pressures from reductions in Oncology procedure volumes due to challenges resulting from the COVID-19 pandemic, a trend that may continue.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August 31, 2022, the Company reported a net loss of $13.0 million, or a loss of $0.33 per diluted share, on net sales of $81.5 million, compared with a net loss of $7.0 million, or a loss of $0.18 per diluted share, on net sales of $77.0 million during the same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Aug 31, 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6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16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16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 31, 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64,464</w:t>
            </w:r>
          </w:p>
        </w:tc>
        <w:tc>
          <w:tcPr>
            <w:tcW w:w="16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40" w:type="dxa"/>
            <w:vAlign w:val="bottom"/>
            <w:tcBorders>
              <w:bottom w:val="single" w:sz="8" w:color="auto"/>
            </w:tcBorders>
            <w:shd w:val="clear" w:color="auto" w:fill="CCEEFF"/>
          </w:tcPr>
          <w:p>
            <w:pPr>
              <w:spacing w:after="0"/>
              <w:rPr>
                <w:sz w:val="19"/>
                <w:szCs w:val="19"/>
                <w:color w:val="auto"/>
              </w:rPr>
            </w:pPr>
          </w:p>
        </w:tc>
        <w:tc>
          <w:tcPr>
            <w:tcW w:w="16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16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2022, net sales increased $4.6 million to $81.5 million compared to the same period in the prior year. At August 31, 2022, the Company had a backlog of $7.1 million, a decrease of $1.3 million from May 31, 2022.</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$5.2 million for the three months ended August 31, 2022 compared to the same period in the prior year period. The change in sales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$2.9 million;</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thrombus management platform of $2.4 million. Increased sales in the mechanical thrombectomy platform of $2.3 million was driven by AngioVac and the launch of the AlphaVac product in the second quarter of fiscal year 2022; and</w:t>
      </w:r>
    </w:p>
    <w:p>
      <w:pPr>
        <w:ind w:left="660" w:right="30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NanoKnife sales of $0.1 million, which was driven by decreased capital sales internationally. This decrease was partially offset by a $0.3 million increase in disposable sales in the U.S. and internationally.</w:t>
      </w:r>
    </w:p>
    <w:p>
      <w:pPr>
        <w:spacing w:after="0" w:line="1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Med Device segment net sales decreased $0.6 million for the three months ended August 31, 2022 compared to the same period in the prior year period. The change in sales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backlog of $7.1 million at August 31, 2022, which primarily impacted sales of Core and Vascular Access products; and</w:t>
      </w:r>
    </w:p>
    <w:p>
      <w:pPr>
        <w:spacing w:after="0" w:line="27" w:lineRule="exact"/>
        <w:rPr>
          <w:rFonts w:ascii="Times New Roman" w:cs="Times New Roman" w:eastAsia="Times New Roman" w:hAnsi="Times New Roman"/>
          <w:sz w:val="18"/>
          <w:szCs w:val="18"/>
          <w:color w:val="auto"/>
        </w:rPr>
      </w:pPr>
    </w:p>
    <w:p>
      <w:pPr>
        <w:ind w:left="660" w:right="38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Venous, Midlines, PICCs, Ports, Radio Frequency Ablation and BioSentry of $0.5 million, $0.4 million, $0.6 million, $0.6 million, $0.4 million and $0.3 million, respectively. These decreases were partially offset by increased Dialysis (despite the impact of the backlog), Core and Microwave sales of $1.2 million, $0.9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Aug 31, 2021</w:t>
            </w:r>
          </w:p>
        </w:tc>
        <w:tc>
          <w:tcPr>
            <w:tcW w:w="152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11,517</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28,622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40,139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1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Company gross profit increased by $2.2 million for the three months ended August 31, 2022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$2.7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productivity, which positively impacted gross profit by $2.0 million;</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mix, which positively impacted gross profit by $0.4 million;</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$2.2 million;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placement units of $0.7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Tech segment gross profit increased by $2.9 million for the three months ended August 31, 2022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from the prior year was primarily driven by:</w:t>
      </w:r>
    </w:p>
    <w:p>
      <w:pPr>
        <w:spacing w:after="0" w:line="15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$3.9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productivity, which positively impacted gross profit by $0.7 million;</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and mix, which negatively impacted gross profit by $1.2 million;</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$0.2 million;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Auryon and NanoKnife placement units of $0.4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Device segment gross profit decreased by $0.7 million for the three months ended August 31, 2022 compared to the same period in the prior year.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from the prior year was primarily driven by:</w:t>
      </w:r>
    </w:p>
    <w:p>
      <w:pPr>
        <w:spacing w:after="0" w:line="178" w:lineRule="exact"/>
        <w:rPr>
          <w:sz w:val="20"/>
          <w:szCs w:val="20"/>
          <w:color w:val="auto"/>
        </w:rPr>
      </w:pPr>
    </w:p>
    <w:p>
      <w:pPr>
        <w:ind w:left="660" w:right="1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productivity, which positively impacted gross profit by $1.5 million was driven by the additional manufacturing capacity with the Costa Rica plant;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mix, which positively impacted gross profit by $0.3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negatively impacted gross profit by $0.4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$2.0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Aug 31, 2021</w:t>
            </w:r>
          </w:p>
        </w:tc>
        <w:tc>
          <w:tcPr>
            <w:tcW w:w="152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7,394</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24,446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8,943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Research and development (“R&amp;D”) expense includes internal and external costs to develop new products, enhance</w:t>
      </w:r>
      <w:r>
        <w:rPr>
          <w:rFonts w:ascii="Times New Roman" w:cs="Times New Roman" w:eastAsia="Times New Roman" w:hAnsi="Times New Roman"/>
          <w:sz w:val="18"/>
          <w:szCs w:val="18"/>
          <w:color w:val="auto"/>
        </w:rPr>
        <w:t xml:space="preserve"> existing products, validate new and enhanced products, and manage clinical, regulatory and medical affairs.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R&amp;D expense increased $0.9 million for the three months ended August 31, 2022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increased R&amp;D expense by $0.9 million.</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S&amp;M expense increased $2.1 million for the three months ended August 31, 2022 compared to the same period in the prior year. The change from the prior year was primarily driven by:</w:t>
      </w:r>
    </w:p>
    <w:p>
      <w:pPr>
        <w:spacing w:after="0" w:line="108" w:lineRule="exact"/>
        <w:rPr>
          <w:sz w:val="20"/>
          <w:szCs w:val="20"/>
          <w:color w:val="auto"/>
        </w:rPr>
      </w:pPr>
    </w:p>
    <w:p>
      <w:pPr>
        <w:ind w:left="660" w:right="1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headcount from the build-out of the Auryon and mechanical thrombectomy sales and marketing teams, which increased compensation and benefits expense by $1.2 million; and</w:t>
      </w:r>
    </w:p>
    <w:p>
      <w:pPr>
        <w:ind w:left="660" w:right="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meeting and tradeshow expenses, which increased $1.2 million and was partially offset by decreased facilities and depreciation expense of $0.2 million.</w:t>
      </w:r>
    </w:p>
    <w:p>
      <w:pPr>
        <w:spacing w:after="0" w:line="2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G&amp;A expense increased $1.2 million for the three months ended August 31, 2022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and travel expenses, which increased $0.6 million and $0.2 million, respectively;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for legal and IT, which increased $0.4 million.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2022</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Aug 31, 2021</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remained consistent with the prior year.</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months ended August 31, 2022 is related to the Eximo contingent consideration.</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$3.1 million for the three months ended August 31, 2022, compared to the same period in the prior year. The change from the prior year was primarily driven by:</w:t>
      </w:r>
    </w:p>
    <w:p>
      <w:pPr>
        <w:spacing w:after="0" w:line="108" w:lineRule="exact"/>
        <w:rPr>
          <w:sz w:val="20"/>
          <w:szCs w:val="20"/>
          <w:color w:val="auto"/>
        </w:rPr>
      </w:pPr>
    </w:p>
    <w:p>
      <w:pPr>
        <w:ind w:left="660" w:right="28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to Costa Rica of $0.1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$0.2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decreased $0.3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remained consistent with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three-month periods ended August 31, 2022 and 2021 was 6.2% and 19.0%, respectively.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in light of the significant uncertainty created by the COVID-19 global pandemic. We believe that our current cash on hand and availability under our Credit Agreement provides sufficient liquidity to meet our anticipated needs for capital for at least the next 12 months. We are closely monitoring receivables and payables.</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$24.6 million as of August 31, 2022, compared with $28.8 million as of May 31, 2022. As of August 31, 2022 and May 31, 2022, total debt outstanding related to the Credit Agreement was $50.0 million ($25.0 million on the Revolving Facility and $25.0 million on the Delayed Draw Term Loan) and $25.0 million, respectively. The fair value of contingent consideration liability as of August 31, 2022 and May 31, 2022, was $17.2 million and $16.9 million, respectively.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2022</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2021</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quarters ended August 31, 2022 and 2021,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2022 and 2021:</w:t>
      </w:r>
    </w:p>
    <w:p>
      <w:pPr>
        <w:spacing w:after="0" w:line="171" w:lineRule="exact"/>
        <w:rPr>
          <w:sz w:val="20"/>
          <w:szCs w:val="20"/>
          <w:color w:val="auto"/>
        </w:rPr>
      </w:pPr>
    </w:p>
    <w:p>
      <w:pPr>
        <w:ind w:left="660" w:right="2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$13.0 million and $7.0 million, respectively, plus the non-cash items, primarily driven by depreciation and amortization and stock based compensation, along with the changes in working capital below, contributed to cash used in operations of $24.7 million and $8.9 million, respectively, for these periods.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2022, working capital was unfavorably impacted by decreased accounts payable, accrued liabilities and other liabilities of $9.0 million, mainly driven by the payment of annual incentive compensation in the first fiscal quarter, along with increased accounts receivable, inventory and prepaid expenses of $1.4 million, $6.2 million and $5.7 million, respectively.</w:t>
      </w:r>
    </w:p>
    <w:p>
      <w:pPr>
        <w:spacing w:after="0" w:line="1" w:lineRule="exact"/>
        <w:rPr>
          <w:rFonts w:ascii="Times New Roman" w:cs="Times New Roman" w:eastAsia="Times New Roman" w:hAnsi="Times New Roman"/>
          <w:sz w:val="18"/>
          <w:szCs w:val="18"/>
          <w:color w:val="auto"/>
        </w:rPr>
      </w:pPr>
    </w:p>
    <w:p>
      <w:pPr>
        <w:ind w:left="660" w:right="3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2021, working capital was unfavorably impacted by decreased accounts payable, accrued liabilities and other liabilities of $6.3 million, mainly driven by the payment of annual incentive compensation in the first fiscal quarter, along with increased inventory of $0.7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2022 and 2021:</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and $1.0 million, respectively, of cash was used for fixed asset additions;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and $4.5 million, respectively, of cash was used for Auryon placement and evaluation unit additions;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cash was used for the acquisition of an exclusive license in the first quarter of fiscal year 2023;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of cash was used for the QX Medical asset acquisition in the first quarter of fiscal year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2022 and 2021:</w:t>
      </w:r>
    </w:p>
    <w:p>
      <w:pPr>
        <w:spacing w:after="0" w:line="171" w:lineRule="exact"/>
        <w:rPr>
          <w:sz w:val="20"/>
          <w:szCs w:val="20"/>
          <w:color w:val="auto"/>
        </w:rPr>
      </w:pPr>
    </w:p>
    <w:p>
      <w:pPr>
        <w:ind w:left="660" w:right="12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in proceeds on long-term debt less the repayment of $45.0 million associated with the new Credit Agreement in the first quarter of fiscal year 2023. The $25.0 million draw on the Delayed Draw Term Loan associated with the new Credit Agreement is to fund the historical and planned fiscal year 2023 purchases of Auryon placement and evaluation units. See Note 7 "Long-Term Debt" set forth in the Notes to the consolidated financial statements;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of deferred financing costs associated with the new Credit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draw on the Revolving Facility in the first quarter of fiscal year 2022 for the QX Medical asset acquisition;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and $0.4 million, respectively, of proceeds from stock option and ESPP activity.</w:t>
      </w:r>
    </w:p>
    <w:p>
      <w:pPr>
        <w:spacing w:after="0" w:line="153"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new Credit Agreement provides for a $75.0 million Revolving Facility and a $30.0 million Delayed Draw Term Loan, and also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w:t>
      </w:r>
    </w:p>
    <w:p>
      <w:pPr>
        <w:spacing w:after="0" w:line="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1.00. The total leverage ratio is based upon our trailing twelve months total adjusted EBITDA (as defined in the Credit Agreement). The amount that we can borrow under our Credit Agreement is directly based on our leverage ratio. The interest rate at August 31, 2022 applicable to each was 4.06%. The Company was in compliance with the Credit Agreement covenants as of August 31, 2022.</w:t>
      </w:r>
    </w:p>
    <w:p>
      <w:pPr>
        <w:spacing w:after="0" w:line="13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2023 and in connection with the new Credit Agreement, the Company drew $25.0 million on the Revolving Facility. The Company also drew $25.0 million on the Delayed Draw Term Loan to fund the historical and planned fiscal year 2023 purchases of Auryon placement and evaluation units for total long-term debt outstanding of $50.0 million. In the first quarter of fiscal year 2022, the Company made a $5.0 million draw on the Revolving Facility in conjunction with the QX Medical asset acquisition.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17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Agreement and investments that could impact our results of operations and financial position.</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three months ended August 31, 2022, approximately 6%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$75.0 million Revolving Facility and a $30.0 million Delayed Draw Term Loan. Interest on the Revolving Facility and Delayed Draw Term Loan will be based, at the Company's option, on a rate equal to (i) the SOFR plus 0.10% (subject to a floor of 0%), or (ii) if the Company elects to treat a borrowing as an ABR Borrowing, an alternate base rate based on SOFR, plus, in each case an applicable margin of 1.25%, 1.50% or 1.75%, depending on the leverage ratio. If any amount is not paid when due, the interest rate may be increased by 2.0%. As of August 31, 2022, there was $25.0 million outstanding on the Delayed Draw Term Loan and $25.0 million outstanding on the Revolving Facility and the interest rate at August 31, 2022 was 4.06%.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three above investment grade banks. The Company has the ability to draw amongst the three banks which limits the concentration of credit risk of one institution.</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August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2022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are not applicable as the Company currently does not have a share repurchase program in effect.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1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1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Form</w:t>
            </w:r>
          </w:p>
        </w:tc>
        <w:tc>
          <w:tcPr>
            <w:tcW w:w="24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Exhibit</w:t>
            </w:r>
          </w:p>
        </w:tc>
        <w:tc>
          <w:tcPr>
            <w:tcW w:w="1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600" w:type="dxa"/>
            <w:vAlign w:val="bottom"/>
            <w:gridSpan w:val="13"/>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Credit Agreement, dated as of August 30, 2022, by and among</w:t>
              </w:r>
            </w:hyperlink>
          </w:p>
        </w:tc>
        <w:tc>
          <w:tcPr>
            <w:tcW w:w="1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8-K</w:t>
            </w: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August 31, 2022</w:t>
            </w:r>
          </w:p>
        </w:tc>
      </w:tr>
      <w:tr>
        <w:trPr>
          <w:trHeight w:val="156"/>
        </w:trPr>
        <w:tc>
          <w:tcPr>
            <w:tcW w:w="10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AngioDynamics, Inc., the lenders party thereto, JPMorgan</w:t>
              </w:r>
            </w:hyperlink>
          </w:p>
        </w:tc>
        <w:tc>
          <w:tcPr>
            <w:tcW w:w="30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600" w:type="dxa"/>
            <w:vAlign w:val="bottom"/>
            <w:gridSpan w:val="13"/>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Chase Bank, N.A., as administrative agent, Bank of America,</w:t>
              </w:r>
            </w:hyperlink>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44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N.A. and KeyBank National Association as co-syndication</w:t>
              </w:r>
            </w:hyperlink>
          </w:p>
        </w:tc>
        <w:tc>
          <w:tcPr>
            <w:tcW w:w="18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7"/>
              </w:rPr>
            </w:pPr>
            <w:hyperlink r:id="rId52">
              <w:r>
                <w:rPr>
                  <w:rFonts w:ascii="Times New Roman" w:cs="Times New Roman" w:eastAsia="Times New Roman" w:hAnsi="Times New Roman"/>
                  <w:sz w:val="18"/>
                  <w:szCs w:val="18"/>
                  <w:color w:val="0000FF"/>
                  <w:w w:val="97"/>
                </w:rPr>
                <w:t>agents and JPMorgan Chase Bank N.A., as sole bookrunner</w:t>
              </w:r>
            </w:hyperlink>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16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and sole lead arranger.</w:t>
              </w:r>
            </w:hyperlink>
          </w:p>
        </w:tc>
        <w:tc>
          <w:tcPr>
            <w:tcW w:w="26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8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gridSpan w:val="4"/>
          </w:tcPr>
          <w:p>
            <w:pPr>
              <w:spacing w:after="0"/>
              <w:rPr>
                <w:sz w:val="14"/>
                <w:szCs w:val="14"/>
                <w:color w:val="auto"/>
              </w:rPr>
            </w:pPr>
          </w:p>
        </w:tc>
        <w:tc>
          <w:tcPr>
            <w:tcW w:w="280" w:type="dxa"/>
            <w:vAlign w:val="bottom"/>
            <w:gridSpan w:val="5"/>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5"/>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9"/>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11, 2022</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11, 2022</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118" w:right="4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9"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52" w:lineRule="exact"/>
        <w:rPr>
          <w:sz w:val="20"/>
          <w:szCs w:val="20"/>
          <w:color w:val="auto"/>
        </w:rPr>
      </w:pPr>
    </w:p>
    <w:p>
      <w:pPr>
        <w:ind w:right="9080" w:firstLine="8"/>
        <w:spacing w:after="0" w:line="289" w:lineRule="auto"/>
        <w:tabs>
          <w:tab w:leader="none" w:pos="95" w:val="left"/>
        </w:tabs>
        <w:numPr>
          <w:ilvl w:val="0"/>
          <w:numId w:val="3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9"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2022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2022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
      <w:numFmt w:val="bullet"/>
      <w:start w:val="1"/>
    </w:lvl>
    <w:lvl w:ilvl="1">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7"/>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5"/>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2" Type="http://schemas.openxmlformats.org/officeDocument/2006/relationships/hyperlink" Target="https://www.sec.gov/Archives/edgar/data/1275187/000091412122004083/an58196154-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2022-10-11T15:35:52Z</dcterms:created>
  <dcterms:modified xsi:type="dcterms:W3CDTF">2022-10-11T15:35:52Z</dcterms:modified>
</cp:coreProperties>
</file>