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165735</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190500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30, 2018</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378"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374650</wp:posOffset>
            </wp:positionV>
            <wp:extent cx="3147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716280</wp:posOffset>
            </wp:positionV>
            <wp:extent cx="31470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4445</wp:posOffset>
            </wp:positionV>
            <wp:extent cx="361886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41"/>
              <w:spacing w:after="0"/>
              <w:rPr>
                <w:sz w:val="20"/>
                <w:szCs w:val="20"/>
                <w:color w:val="auto"/>
              </w:rPr>
            </w:pPr>
            <w:r>
              <w:rPr>
                <w:rFonts w:ascii="Arial" w:cs="Arial" w:eastAsia="Arial" w:hAnsi="Arial"/>
                <w:sz w:val="18"/>
                <w:szCs w:val="18"/>
                <w:b w:val="1"/>
                <w:bCs w:val="1"/>
                <w:color w:val="auto"/>
              </w:rPr>
              <w:t>11-3146460</w:t>
            </w:r>
          </w:p>
        </w:tc>
      </w:tr>
      <w:tr>
        <w:trPr>
          <w:trHeight w:val="180"/>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2"/>
              </w:rPr>
              <w:t>(State or other jurisdiction of</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3"/>
              </w:rPr>
              <w:t>incorporation or organization)</w:t>
            </w:r>
          </w:p>
        </w:tc>
        <w:tc>
          <w:tcPr>
            <w:tcW w:w="3120" w:type="dxa"/>
            <w:vAlign w:val="bottom"/>
          </w:tcPr>
          <w:p>
            <w:pPr>
              <w:jc w:val="center"/>
              <w:ind w:left="192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4620" w:type="dxa"/>
            <w:vAlign w:val="bottom"/>
          </w:tcPr>
          <w:p>
            <w:pPr>
              <w:jc w:val="center"/>
              <w:ind w:right="1921"/>
              <w:spacing w:after="0"/>
              <w:rPr>
                <w:sz w:val="20"/>
                <w:szCs w:val="20"/>
                <w:color w:val="auto"/>
              </w:rPr>
            </w:pPr>
            <w:r>
              <w:rPr>
                <w:rFonts w:ascii="Arial" w:cs="Arial" w:eastAsia="Arial" w:hAnsi="Arial"/>
                <w:sz w:val="18"/>
                <w:szCs w:val="18"/>
                <w:b w:val="1"/>
                <w:bCs w:val="1"/>
                <w:color w:val="auto"/>
                <w:w w:val="92"/>
              </w:rPr>
              <w:t>14 Plaza Drive Latham, New York</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12110</w:t>
            </w:r>
          </w:p>
        </w:tc>
      </w:tr>
      <w:tr>
        <w:trPr>
          <w:trHeight w:val="218"/>
        </w:trPr>
        <w:tc>
          <w:tcPr>
            <w:tcW w:w="4620" w:type="dxa"/>
            <w:vAlign w:val="bottom"/>
          </w:tcPr>
          <w:p>
            <w:pPr>
              <w:jc w:val="center"/>
              <w:ind w:right="19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41"/>
              <w:spacing w:after="0"/>
              <w:rPr>
                <w:sz w:val="20"/>
                <w:szCs w:val="20"/>
                <w:color w:val="auto"/>
              </w:rPr>
            </w:pPr>
            <w:r>
              <w:rPr>
                <w:rFonts w:ascii="Arial" w:cs="Arial" w:eastAsia="Arial" w:hAnsi="Arial"/>
                <w:sz w:val="14"/>
                <w:szCs w:val="14"/>
                <w:b w:val="1"/>
                <w:bCs w:val="1"/>
                <w:color w:val="auto"/>
                <w:w w:val="95"/>
              </w:rPr>
              <w:t>(Zip Code)</w:t>
            </w:r>
          </w:p>
        </w:tc>
      </w:tr>
    </w:tbl>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4140" w:type="dxa"/>
            <w:vAlign w:val="bottom"/>
          </w:tcPr>
          <w:p>
            <w:pPr>
              <w:jc w:val="center"/>
              <w:ind w:right="1536"/>
              <w:spacing w:after="0"/>
              <w:rPr>
                <w:sz w:val="20"/>
                <w:szCs w:val="20"/>
                <w:color w:val="auto"/>
              </w:rPr>
            </w:pPr>
            <w:r>
              <w:rPr>
                <w:rFonts w:ascii="Arial" w:cs="Arial" w:eastAsia="Arial" w:hAnsi="Arial"/>
                <w:sz w:val="14"/>
                <w:szCs w:val="14"/>
                <w:b w:val="1"/>
                <w:bCs w:val="1"/>
                <w:color w:val="auto"/>
                <w:w w:val="89"/>
              </w:rPr>
              <w:t>Title of each class</w:t>
            </w:r>
          </w:p>
        </w:tc>
        <w:tc>
          <w:tcPr>
            <w:tcW w:w="4320" w:type="dxa"/>
            <w:vAlign w:val="bottom"/>
          </w:tcPr>
          <w:p>
            <w:pPr>
              <w:jc w:val="center"/>
              <w:ind w:left="15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5"/>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90"/>
              </w:rPr>
              <w:t>Common stock, par value $.01</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70"/>
        </w:trPr>
        <w:tc>
          <w:tcPr>
            <w:tcW w:w="4140" w:type="dxa"/>
            <w:vAlign w:val="bottom"/>
          </w:tcPr>
          <w:p>
            <w:pPr>
              <w:jc w:val="center"/>
              <w:ind w:right="1556"/>
              <w:spacing w:after="0"/>
              <w:rPr>
                <w:sz w:val="20"/>
                <w:szCs w:val="20"/>
                <w:color w:val="auto"/>
              </w:rPr>
            </w:pPr>
            <w:r>
              <w:rPr>
                <w:rFonts w:ascii="Arial" w:cs="Arial" w:eastAsia="Arial" w:hAnsi="Arial"/>
                <w:sz w:val="18"/>
                <w:szCs w:val="18"/>
                <w:b w:val="1"/>
                <w:bCs w:val="1"/>
                <w:color w:val="auto"/>
                <w:w w:val="88"/>
              </w:rPr>
              <w:t>Preferred Stock Purchase Rights</w:t>
            </w:r>
          </w:p>
        </w:tc>
        <w:tc>
          <w:tcPr>
            <w:tcW w:w="4320" w:type="dxa"/>
            <w:vAlign w:val="bottom"/>
          </w:tcPr>
          <w:p>
            <w:pPr>
              <w:jc w:val="center"/>
              <w:ind w:left="15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ectPr>
          <w:pgSz w:w="11900" w:h="16838" w:orient="portrait"/>
          <w:cols w:equalWidth="0" w:num="1">
            <w:col w:w="11240"/>
          </w:cols>
          <w:pgMar w:left="240" w:top="229" w:right="41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337820</wp:posOffset>
            </wp:positionV>
            <wp:extent cx="31470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93" w:lineRule="exact"/>
        <w:rPr>
          <w:sz w:val="20"/>
          <w:szCs w:val="20"/>
          <w:color w:val="auto"/>
        </w:rPr>
      </w:pPr>
    </w:p>
    <w:p>
      <w:pPr>
        <w:sectPr>
          <w:pgSz w:w="11900" w:h="16838" w:orient="portrait"/>
          <w:cols w:equalWidth="0" w:num="4">
            <w:col w:w="8900" w:space="160"/>
            <w:col w:w="260" w:space="100"/>
            <w:col w:w="160" w:space="180"/>
            <w:col w:w="1660"/>
          </w:cols>
          <w:pgMar w:left="240" w:top="121" w:right="239" w:bottom="1440" w:gutter="0" w:footer="0" w:header="0"/>
          <w:type w:val="continuous"/>
        </w:sectPr>
      </w:pP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0"/>
          <w:szCs w:val="20"/>
          <w:color w:val="auto"/>
        </w:rPr>
      </w:pPr>
    </w:p>
    <w:p>
      <w:pPr>
        <w:sectPr>
          <w:pgSz w:w="11900" w:h="16838" w:orient="portrait"/>
          <w:cols w:equalWidth="0" w:num="4">
            <w:col w:w="8460" w:space="180"/>
            <w:col w:w="260" w:space="100"/>
            <w:col w:w="160" w:space="180"/>
            <w:col w:w="2080"/>
          </w:cols>
          <w:pgMar w:left="240" w:top="121" w:right="239" w:bottom="1440" w:gutter="0" w:footer="0" w:header="0"/>
          <w:type w:val="continuous"/>
        </w:sectPr>
      </w:pP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0"/>
          <w:szCs w:val="20"/>
          <w:color w:val="auto"/>
        </w:rPr>
      </w:pPr>
    </w:p>
    <w:p>
      <w:pPr>
        <w:ind w:right="2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32"/>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7"/>
          <w:szCs w:val="17"/>
          <w:color w:val="auto"/>
        </w:rPr>
        <w:t>☐</w:t>
      </w:r>
    </w:p>
    <w:p>
      <w:pPr>
        <w:spacing w:after="0" w:line="182"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39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560"/>
              <w:spacing w:after="0"/>
              <w:rPr>
                <w:sz w:val="20"/>
                <w:szCs w:val="20"/>
                <w:color w:val="auto"/>
              </w:rPr>
            </w:pPr>
            <w:r>
              <w:rPr>
                <w:rFonts w:ascii="Arial" w:cs="Arial" w:eastAsia="Arial" w:hAnsi="Arial"/>
                <w:sz w:val="18"/>
                <w:szCs w:val="18"/>
                <w:color w:val="auto"/>
              </w:rPr>
              <w:t>o</w:t>
            </w:r>
          </w:p>
        </w:tc>
        <w:tc>
          <w:tcPr>
            <w:tcW w:w="49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96" w:lineRule="exact"/>
        <w:rPr>
          <w:sz w:val="20"/>
          <w:szCs w:val="20"/>
          <w:color w:val="auto"/>
        </w:rPr>
      </w:pPr>
    </w:p>
    <w:p>
      <w:pPr>
        <w:ind w:left="440"/>
        <w:spacing w:after="0" w:line="207" w:lineRule="exact"/>
        <w:tabs>
          <w:tab w:leader="none" w:pos="8780" w:val="left"/>
          <w:tab w:leader="none" w:pos="94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2840" w:type="dxa"/>
            <w:vAlign w:val="bottom"/>
          </w:tcPr>
          <w:p>
            <w:pPr>
              <w:spacing w:after="0"/>
              <w:rPr>
                <w:sz w:val="14"/>
                <w:szCs w:val="14"/>
                <w:color w:val="auto"/>
              </w:rPr>
            </w:pPr>
          </w:p>
        </w:tc>
        <w:tc>
          <w:tcPr>
            <w:tcW w:w="560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2"/>
              </w:rPr>
              <w:t>Outstanding as of January 3, 2019</w:t>
            </w:r>
          </w:p>
        </w:tc>
      </w:tr>
      <w:tr>
        <w:trPr>
          <w:trHeight w:val="20"/>
        </w:trPr>
        <w:tc>
          <w:tcPr>
            <w:tcW w:w="2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64"/>
        </w:trPr>
        <w:tc>
          <w:tcPr>
            <w:tcW w:w="58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Common Stock, par value $.01</w:t>
            </w:r>
          </w:p>
        </w:tc>
        <w:tc>
          <w:tcPr>
            <w:tcW w:w="39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37,137,203</w:t>
            </w:r>
          </w:p>
        </w:tc>
        <w:tc>
          <w:tcPr>
            <w:tcW w:w="1680" w:type="dxa"/>
            <w:vAlign w:val="bottom"/>
          </w:tcPr>
          <w:p>
            <w:pPr>
              <w:spacing w:after="0"/>
              <w:rPr>
                <w:sz w:val="22"/>
                <w:szCs w:val="22"/>
                <w:color w:val="auto"/>
              </w:rPr>
            </w:pPr>
          </w:p>
        </w:tc>
      </w:tr>
      <w:tr>
        <w:trPr>
          <w:trHeight w:val="459"/>
        </w:trPr>
        <w:tc>
          <w:tcPr>
            <w:tcW w:w="2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15"/>
        </w:trPr>
        <w:tc>
          <w:tcPr>
            <w:tcW w:w="2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0000EE"/>
            </w:tcBorders>
            <w:gridSpan w:val="9"/>
          </w:tcPr>
          <w:p>
            <w:pPr>
              <w:jc w:val="center"/>
              <w:spacing w:after="0" w:line="189" w:lineRule="exact"/>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360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4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Income (unaudited)</w:t>
              </w:r>
            </w:hyperlink>
          </w:p>
        </w:tc>
        <w:tc>
          <w:tcPr>
            <w:tcW w:w="6000" w:type="dxa"/>
            <w:vAlign w:val="bottom"/>
            <w:gridSpan w:val="1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372"/>
        </w:trPr>
        <w:tc>
          <w:tcPr>
            <w:tcW w:w="104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Balance Sheets (unaudited)</w:t>
              </w:r>
            </w:hyperlink>
          </w:p>
        </w:tc>
        <w:tc>
          <w:tcPr>
            <w:tcW w:w="1640" w:type="dxa"/>
            <w:vAlign w:val="bottom"/>
            <w:tcBorders>
              <w:top w:val="single" w:sz="8" w:color="0000EE"/>
            </w:tcBorders>
            <w:gridSpan w:val="8"/>
          </w:tcPr>
          <w:p>
            <w:pPr>
              <w:spacing w:after="0"/>
              <w:rPr>
                <w:sz w:val="24"/>
                <w:szCs w:val="24"/>
                <w:color w:val="auto"/>
              </w:rPr>
            </w:pPr>
          </w:p>
        </w:tc>
        <w:tc>
          <w:tcPr>
            <w:tcW w:w="4840" w:type="dxa"/>
            <w:vAlign w:val="bottom"/>
            <w:gridSpan w:val="5"/>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37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(unaudited)</w:t>
              </w:r>
            </w:hyperlink>
          </w:p>
        </w:tc>
        <w:tc>
          <w:tcPr>
            <w:tcW w:w="5700" w:type="dxa"/>
            <w:vAlign w:val="bottom"/>
            <w:gridSpan w:val="9"/>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 of Stockholders’ Equity (unaudited)</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372"/>
        </w:trPr>
        <w:tc>
          <w:tcPr>
            <w:tcW w:w="10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32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21"/>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Quantitative and Qualitative Disclosures About Market Risk</w:t>
              </w:r>
            </w:hyperlink>
          </w:p>
        </w:tc>
        <w:tc>
          <w:tcPr>
            <w:tcW w:w="26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8"/>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Controls and Procedures</w:t>
              </w:r>
            </w:hyperlink>
          </w:p>
        </w:tc>
        <w:tc>
          <w:tcPr>
            <w:tcW w:w="4780" w:type="dxa"/>
            <w:vAlign w:val="bottom"/>
            <w:gridSpan w:val="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372"/>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Part II: Other Information</w:t>
              </w:r>
            </w:hyperlink>
          </w:p>
        </w:tc>
        <w:tc>
          <w:tcPr>
            <w:tcW w:w="370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3"/>
          </w:tcPr>
          <w:p>
            <w:pPr>
              <w:spacing w:after="0"/>
              <w:rPr>
                <w:rFonts w:ascii="Arial" w:cs="Arial" w:eastAsia="Arial" w:hAnsi="Arial"/>
                <w:sz w:val="18"/>
                <w:szCs w:val="18"/>
                <w:b w:val="1"/>
                <w:bCs w:val="1"/>
                <w:color w:val="0000EE"/>
                <w:w w:val="86"/>
              </w:rPr>
            </w:pPr>
            <w:hyperlink w:anchor="page41">
              <w:r>
                <w:rPr>
                  <w:rFonts w:ascii="Arial" w:cs="Arial" w:eastAsia="Arial" w:hAnsi="Arial"/>
                  <w:sz w:val="18"/>
                  <w:szCs w:val="18"/>
                  <w:b w:val="1"/>
                  <w:bCs w:val="1"/>
                  <w:color w:val="0000EE"/>
                  <w:w w:val="86"/>
                </w:rPr>
                <w:t>Legal Proceedings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Risk Factors</w:t>
              </w:r>
            </w:hyperlink>
          </w:p>
        </w:tc>
        <w:tc>
          <w:tcPr>
            <w:tcW w:w="8040" w:type="dxa"/>
            <w:vAlign w:val="bottom"/>
            <w:gridSpan w:val="19"/>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40" w:type="dxa"/>
            <w:vAlign w:val="bottom"/>
            <w:gridSpan w:val="22"/>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Unregistered Sales of Equity Securities and Use of Proceeds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360" w:type="dxa"/>
            <w:vAlign w:val="bottom"/>
            <w:gridSpan w:val="8"/>
            <w:shd w:val="clear" w:color="auto" w:fill="0000EE"/>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gridSpan w:val="16"/>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Defaults on Senior Securities</w:t>
              </w:r>
            </w:hyperlink>
          </w:p>
        </w:tc>
        <w:tc>
          <w:tcPr>
            <w:tcW w:w="4880" w:type="dxa"/>
            <w:vAlign w:val="bottom"/>
            <w:gridSpan w:val="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6"/>
          </w:tcPr>
          <w:p>
            <w:pPr>
              <w:spacing w:after="0"/>
              <w:rPr>
                <w:rFonts w:ascii="Arial" w:cs="Arial" w:eastAsia="Arial" w:hAnsi="Arial"/>
                <w:sz w:val="18"/>
                <w:szCs w:val="18"/>
                <w:b w:val="1"/>
                <w:bCs w:val="1"/>
                <w:color w:val="0000EE"/>
                <w:w w:val="87"/>
              </w:rPr>
            </w:pPr>
            <w:hyperlink w:anchor="page44">
              <w:r>
                <w:rPr>
                  <w:rFonts w:ascii="Arial" w:cs="Arial" w:eastAsia="Arial" w:hAnsi="Arial"/>
                  <w:sz w:val="18"/>
                  <w:szCs w:val="18"/>
                  <w:b w:val="1"/>
                  <w:bCs w:val="1"/>
                  <w:color w:val="0000EE"/>
                  <w:w w:val="87"/>
                </w:rPr>
                <w:t>Mine Safety Disclosures</w:t>
              </w:r>
            </w:hyperlink>
          </w:p>
        </w:tc>
        <w:tc>
          <w:tcPr>
            <w:tcW w:w="360" w:type="dxa"/>
            <w:vAlign w:val="bottom"/>
            <w:gridSpan w:val="2"/>
          </w:tcPr>
          <w:p>
            <w:pPr>
              <w:spacing w:after="0"/>
              <w:rPr>
                <w:sz w:val="24"/>
                <w:szCs w:val="24"/>
                <w:color w:val="auto"/>
              </w:rPr>
            </w:pPr>
          </w:p>
        </w:tc>
        <w:tc>
          <w:tcPr>
            <w:tcW w:w="7240" w:type="dxa"/>
            <w:vAlign w:val="bottom"/>
            <w:gridSpan w:val="14"/>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0" w:type="dxa"/>
            <w:vAlign w:val="bottom"/>
            <w:gridSpan w:val="1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4"/>
          </w:tcPr>
          <w:p>
            <w:pPr>
              <w:spacing w:after="0"/>
              <w:rPr>
                <w:rFonts w:ascii="Arial" w:cs="Arial" w:eastAsia="Arial" w:hAnsi="Arial"/>
                <w:sz w:val="18"/>
                <w:szCs w:val="18"/>
                <w:b w:val="1"/>
                <w:bCs w:val="1"/>
                <w:color w:val="0000EE"/>
                <w:w w:val="93"/>
              </w:rPr>
            </w:pPr>
            <w:hyperlink w:anchor="page44">
              <w:r>
                <w:rPr>
                  <w:rFonts w:ascii="Arial" w:cs="Arial" w:eastAsia="Arial" w:hAnsi="Arial"/>
                  <w:sz w:val="18"/>
                  <w:szCs w:val="18"/>
                  <w:b w:val="1"/>
                  <w:bCs w:val="1"/>
                  <w:color w:val="0000EE"/>
                  <w:w w:val="93"/>
                </w:rPr>
                <w:t>Other Information</w:t>
              </w:r>
            </w:hyperlink>
          </w:p>
        </w:tc>
        <w:tc>
          <w:tcPr>
            <w:tcW w:w="400" w:type="dxa"/>
            <w:vAlign w:val="bottom"/>
            <w:gridSpan w:val="2"/>
          </w:tcPr>
          <w:p>
            <w:pPr>
              <w:spacing w:after="0"/>
              <w:rPr>
                <w:sz w:val="24"/>
                <w:szCs w:val="24"/>
                <w:color w:val="auto"/>
              </w:rPr>
            </w:pPr>
          </w:p>
        </w:tc>
        <w:tc>
          <w:tcPr>
            <w:tcW w:w="7600" w:type="dxa"/>
            <w:vAlign w:val="bottom"/>
            <w:gridSpan w:val="16"/>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r>
      <w:tr>
        <w:trPr>
          <w:trHeight w:val="20"/>
        </w:trPr>
        <w:tc>
          <w:tcPr>
            <w:tcW w:w="10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000" w:type="dxa"/>
            <w:vAlign w:val="bottom"/>
            <w:gridSpan w:val="18"/>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Pr>
          <w:p>
            <w:pPr>
              <w:spacing w:after="0"/>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Exhibits</w:t>
              </w:r>
            </w:hyperlink>
          </w:p>
        </w:tc>
        <w:tc>
          <w:tcPr>
            <w:tcW w:w="800" w:type="dxa"/>
            <w:vAlign w:val="bottom"/>
            <w:gridSpan w:val="3"/>
          </w:tcPr>
          <w:p>
            <w:pPr>
              <w:spacing w:after="0"/>
              <w:rPr>
                <w:sz w:val="24"/>
                <w:szCs w:val="24"/>
                <w:color w:val="auto"/>
              </w:rPr>
            </w:pPr>
          </w:p>
        </w:tc>
        <w:tc>
          <w:tcPr>
            <w:tcW w:w="8000" w:type="dxa"/>
            <w:vAlign w:val="bottom"/>
            <w:gridSpan w:val="18"/>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r>
      <w:tr>
        <w:trPr>
          <w:trHeight w:val="507"/>
        </w:trPr>
        <w:tc>
          <w:tcPr>
            <w:tcW w:w="10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100" w:type="dxa"/>
            <w:vAlign w:val="bottom"/>
            <w:gridSpan w:val="18"/>
          </w:tcPr>
          <w:p>
            <w:pPr>
              <w:jc w:val="right"/>
              <w:ind w:right="10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color w:val="auto"/>
                <w:w w:val="93"/>
              </w:rPr>
              <w:t>Nov 30, 2017</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172,117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83,267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88,157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83,960</w:t>
            </w:r>
          </w:p>
        </w:tc>
        <w:tc>
          <w:tcPr>
            <w:tcW w:w="0" w:type="dxa"/>
            <w:vAlign w:val="bottom"/>
          </w:tcPr>
          <w:p>
            <w:pPr>
              <w:spacing w:after="0"/>
              <w:rPr>
                <w:sz w:val="1"/>
                <w:szCs w:val="1"/>
                <w:color w:val="auto"/>
              </w:rPr>
            </w:pP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12,548</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18,967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38,369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15,596</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Amortization of intangibles</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Acquisition, restructuring and other items, net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89,269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82,697</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(loss),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7"/>
        </w:trPr>
        <w:tc>
          <w:tcPr>
            <w:tcW w:w="6540" w:type="dxa"/>
            <w:vAlign w:val="bottom"/>
            <w:gridSpan w:val="2"/>
          </w:tcPr>
          <w:p>
            <w:pPr>
              <w:ind w:left="720"/>
              <w:spacing w:after="0"/>
              <w:rPr>
                <w:sz w:val="20"/>
                <w:szCs w:val="20"/>
                <w:color w:val="auto"/>
              </w:rPr>
            </w:pPr>
            <w:r>
              <w:rPr>
                <w:rFonts w:ascii="Arial" w:cs="Arial" w:eastAsia="Arial" w:hAnsi="Arial"/>
                <w:sz w:val="18"/>
                <w:szCs w:val="18"/>
                <w:color w:val="auto"/>
              </w:rPr>
              <w:t>Total other expenses,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4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4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36,983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37,383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37,322</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Nov 30, 2018</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2017</w:t>
            </w:r>
          </w:p>
        </w:tc>
        <w:tc>
          <w:tcPr>
            <w:tcW w:w="24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Nov 30, 2018</w:t>
            </w:r>
          </w:p>
        </w:tc>
        <w:tc>
          <w:tcPr>
            <w:tcW w:w="240" w:type="dxa"/>
            <w:vAlign w:val="bottom"/>
          </w:tcPr>
          <w:p>
            <w:pPr>
              <w:spacing w:after="0"/>
              <w:rPr>
                <w:sz w:val="22"/>
                <w:szCs w:val="22"/>
                <w:color w:val="auto"/>
              </w:rPr>
            </w:pPr>
          </w:p>
        </w:tc>
        <w:tc>
          <w:tcPr>
            <w:tcW w:w="1240" w:type="dxa"/>
            <w:vAlign w:val="bottom"/>
          </w:tcPr>
          <w:p>
            <w:pPr>
              <w:jc w:val="right"/>
              <w:ind w:right="252"/>
              <w:spacing w:after="0"/>
              <w:rPr>
                <w:sz w:val="20"/>
                <w:szCs w:val="20"/>
                <w:color w:val="auto"/>
              </w:rPr>
            </w:pPr>
            <w:r>
              <w:rPr>
                <w:rFonts w:ascii="Arial" w:cs="Arial" w:eastAsia="Arial" w:hAnsi="Arial"/>
                <w:sz w:val="14"/>
                <w:szCs w:val="14"/>
                <w:color w:val="auto"/>
              </w:rPr>
              <w:t>Nov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comprehensive income, before tax:</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433</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29"/>
        </w:trPr>
        <w:tc>
          <w:tcPr>
            <w:tcW w:w="5160" w:type="dxa"/>
            <w:vAlign w:val="bottom"/>
          </w:tcPr>
          <w:p>
            <w:pPr>
              <w:ind w:left="720"/>
              <w:spacing w:after="0"/>
              <w:rPr>
                <w:sz w:val="20"/>
                <w:szCs w:val="20"/>
                <w:color w:val="auto"/>
              </w:rPr>
            </w:pPr>
            <w:r>
              <w:rPr>
                <w:rFonts w:ascii="Arial" w:cs="Arial" w:eastAsia="Arial" w:hAnsi="Arial"/>
                <w:sz w:val="18"/>
                <w:szCs w:val="18"/>
                <w:color w:val="auto"/>
              </w:rPr>
              <w:t>Income tax expense related to items of other</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7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net of tax</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692</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20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Arial" w:cs="Arial" w:eastAsia="Arial" w:hAnsi="Arial"/>
                <w:sz w:val="14"/>
                <w:szCs w:val="14"/>
                <w:color w:val="auto"/>
              </w:rPr>
              <w:t>May 31, 2018</w:t>
            </w:r>
          </w:p>
        </w:tc>
        <w:tc>
          <w:tcPr>
            <w:tcW w:w="0" w:type="dxa"/>
            <w:vAlign w:val="bottom"/>
          </w:tcPr>
          <w:p>
            <w:pPr>
              <w:spacing w:after="0"/>
              <w:rPr>
                <w:sz w:val="1"/>
                <w:szCs w:val="1"/>
                <w:color w:val="auto"/>
              </w:rPr>
            </w:pP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74,096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$2,225 and $2,466,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48,916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142,957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168,032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42,461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3,417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130,310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426,874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361,252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705,472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19,424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15,775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34,426</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contingent consideration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49,702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57,301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86,621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17,173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162,877</w:t>
            </w:r>
          </w:p>
        </w:tc>
        <w:tc>
          <w:tcPr>
            <w:tcW w:w="0" w:type="dxa"/>
            <w:vAlign w:val="bottom"/>
          </w:tcPr>
          <w:p>
            <w:pPr>
              <w:spacing w:after="0"/>
              <w:rPr>
                <w:sz w:val="1"/>
                <w:szCs w:val="1"/>
                <w:color w:val="auto"/>
              </w:rPr>
            </w:pPr>
          </w:p>
        </w:tc>
      </w:tr>
      <w:tr>
        <w:trPr>
          <w:trHeight w:val="223"/>
        </w:trPr>
        <w:tc>
          <w:tcPr>
            <w:tcW w:w="8700" w:type="dxa"/>
            <w:vAlign w:val="bottom"/>
          </w:tcPr>
          <w:p>
            <w:pPr>
              <w:ind w:left="40"/>
              <w:spacing w:after="0"/>
              <w:rPr>
                <w:sz w:val="20"/>
                <w:szCs w:val="20"/>
                <w:color w:val="auto"/>
              </w:rPr>
            </w:pPr>
            <w:r>
              <w:rPr>
                <w:rFonts w:ascii="Arial" w:cs="Arial" w:eastAsia="Arial" w:hAnsi="Arial"/>
                <w:sz w:val="18"/>
                <w:szCs w:val="18"/>
                <w:color w:val="auto"/>
              </w:rPr>
              <w:t>Commitments and contingencies (Note 14)</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w w:val="98"/>
              </w:rPr>
              <w:t>Preferred stock, par value $.01 per share, 5,000,000 shares authorized; no shares issued and outstanding</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par value $.01 per share, 75,000,000 shares authorized; 37,875,529 and 37,594,493 shares issued</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and 37,505,529 and 37,224,493 shares outstanding at November 30, 2018 and May 31, 2018,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549,355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543,762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5,129</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Treasury stock, 370,000 shares at November 30, 2018 and May 31, 2018, respectively</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23"/>
        </w:trPr>
        <w:tc>
          <w:tcPr>
            <w:tcW w:w="8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549,563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542,595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705,472</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580"/>
              <w:spacing w:after="0"/>
              <w:rPr>
                <w:sz w:val="20"/>
                <w:szCs w:val="20"/>
                <w:color w:val="auto"/>
              </w:rPr>
            </w:pPr>
            <w:r>
              <w:rPr>
                <w:rFonts w:ascii="Arial" w:cs="Arial" w:eastAsia="Arial" w:hAnsi="Arial"/>
                <w:sz w:val="18"/>
                <w:szCs w:val="18"/>
                <w:color w:val="auto"/>
                <w:w w:val="86"/>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700" w:type="dxa"/>
            <w:vAlign w:val="bottom"/>
          </w:tcPr>
          <w:p>
            <w:pPr>
              <w:ind w:left="5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Six Months Ended</w:t>
            </w:r>
          </w:p>
        </w:tc>
      </w:tr>
      <w:tr>
        <w:trPr>
          <w:trHeight w:val="264"/>
        </w:trPr>
        <w:tc>
          <w:tcPr>
            <w:tcW w:w="8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Nov 30, 2018</w:t>
            </w:r>
          </w:p>
        </w:tc>
        <w:tc>
          <w:tcPr>
            <w:tcW w:w="200" w:type="dxa"/>
            <w:vAlign w:val="bottom"/>
          </w:tcPr>
          <w:p>
            <w:pPr>
              <w:spacing w:after="0"/>
              <w:rPr>
                <w:sz w:val="22"/>
                <w:szCs w:val="22"/>
                <w:color w:val="auto"/>
              </w:rPr>
            </w:pPr>
          </w:p>
        </w:tc>
        <w:tc>
          <w:tcPr>
            <w:tcW w:w="1160" w:type="dxa"/>
            <w:vAlign w:val="bottom"/>
          </w:tcPr>
          <w:p>
            <w:pPr>
              <w:jc w:val="right"/>
              <w:ind w:right="191"/>
              <w:spacing w:after="0"/>
              <w:rPr>
                <w:sz w:val="20"/>
                <w:szCs w:val="20"/>
                <w:color w:val="auto"/>
              </w:rPr>
            </w:pPr>
            <w:r>
              <w:rPr>
                <w:rFonts w:ascii="Arial" w:cs="Arial" w:eastAsia="Arial" w:hAnsi="Arial"/>
                <w:sz w:val="14"/>
                <w:szCs w:val="14"/>
                <w:color w:val="auto"/>
              </w:rPr>
              <w:t>Nov 30, 2017</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11,677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Change in accounts receivable allowances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and intangible asset impairments and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2,299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r>
      <w:tr>
        <w:trPr>
          <w:trHeight w:val="243"/>
        </w:trPr>
        <w:tc>
          <w:tcPr>
            <w:tcW w:w="8580" w:type="dxa"/>
            <w:vAlign w:val="bottom"/>
          </w:tcPr>
          <w:p>
            <w:pPr>
              <w:ind w:left="114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accrued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13,201</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issuance of and borrowings on long-term debt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Payment of acquisition related contingent consideration</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(9,500)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(10,262)</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(Decrease) increase in cash and cash equivalents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47,544</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42,820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49,856</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84"/>
        </w:trPr>
        <w:tc>
          <w:tcPr>
            <w:tcW w:w="8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accounts payable for property and equipment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Fair value of contingent consideration for acquisitions</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25,100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Fair value of acquisition consideration included in accrued expenses and other long-term liabilities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2000" w:type="dxa"/>
            <w:vAlign w:val="bottom"/>
            <w:gridSpan w:val="5"/>
            <w:vMerge w:val="restart"/>
          </w:tcPr>
          <w:p>
            <w:pPr>
              <w:ind w:left="520"/>
              <w:spacing w:after="0"/>
              <w:rPr>
                <w:sz w:val="20"/>
                <w:szCs w:val="20"/>
                <w:color w:val="auto"/>
              </w:rPr>
            </w:pPr>
            <w:r>
              <w:rPr>
                <w:rFonts w:ascii="Arial" w:cs="Arial" w:eastAsia="Arial" w:hAnsi="Arial"/>
                <w:sz w:val="14"/>
                <w:szCs w:val="14"/>
                <w:color w:val="auto"/>
              </w:rPr>
              <w:t>Treasury Stock</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22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3"/>
              </w:rPr>
              <w:t>other</w:t>
            </w:r>
          </w:p>
        </w:tc>
        <w:tc>
          <w:tcPr>
            <w:tcW w:w="2000" w:type="dxa"/>
            <w:vAlign w:val="bottom"/>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88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2"/>
              </w:rPr>
              <w:t>paid in</w:t>
            </w:r>
          </w:p>
        </w:tc>
        <w:tc>
          <w:tcPr>
            <w:tcW w:w="120" w:type="dxa"/>
            <w:vAlign w:val="bottom"/>
          </w:tcPr>
          <w:p>
            <w:pPr>
              <w:spacing w:after="0"/>
              <w:rPr>
                <w:sz w:val="10"/>
                <w:szCs w:val="10"/>
                <w:color w:val="auto"/>
              </w:rPr>
            </w:pPr>
          </w:p>
        </w:tc>
        <w:tc>
          <w:tcPr>
            <w:tcW w:w="78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3" w:lineRule="exact"/>
              <w:rPr>
                <w:sz w:val="20"/>
                <w:szCs w:val="20"/>
                <w:color w:val="auto"/>
              </w:rPr>
            </w:pPr>
            <w:r>
              <w:rPr>
                <w:rFonts w:ascii="Arial" w:cs="Arial" w:eastAsia="Arial" w:hAnsi="Arial"/>
                <w:sz w:val="14"/>
                <w:szCs w:val="14"/>
                <w:color w:val="auto"/>
                <w:w w:val="90"/>
              </w:rPr>
              <w:t>comprehensive</w:t>
            </w: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loss</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6"/>
                <w:szCs w:val="16"/>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May 31, 2018</w:t>
            </w:r>
          </w:p>
        </w:tc>
        <w:tc>
          <w:tcPr>
            <w:tcW w:w="12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37,594,493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543,762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542,595</w:t>
            </w:r>
          </w:p>
        </w:tc>
        <w:tc>
          <w:tcPr>
            <w:tcW w:w="0" w:type="dxa"/>
            <w:vAlign w:val="bottom"/>
          </w:tcPr>
          <w:p>
            <w:pPr>
              <w:spacing w:after="0"/>
              <w:rPr>
                <w:sz w:val="1"/>
                <w:szCs w:val="1"/>
                <w:color w:val="auto"/>
              </w:rPr>
            </w:pPr>
          </w:p>
        </w:tc>
      </w:tr>
      <w:tr>
        <w:trPr>
          <w:trHeight w:val="224"/>
        </w:trPr>
        <w:tc>
          <w:tcPr>
            <w:tcW w:w="28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71,336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8"/>
              </w:rPr>
              <w:t>Issuance/Cancellation of restricted stock</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149,446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units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Issuance/Cancellation of performance</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units</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80" w:type="dxa"/>
            <w:vAlign w:val="bottom"/>
          </w:tcPr>
          <w:p>
            <w:pPr>
              <w:ind w:left="40"/>
              <w:spacing w:after="0"/>
              <w:rPr>
                <w:sz w:val="20"/>
                <w:szCs w:val="20"/>
                <w:color w:val="auto"/>
              </w:rPr>
            </w:pPr>
            <w:r>
              <w:rPr>
                <w:rFonts w:ascii="Arial" w:cs="Arial" w:eastAsia="Arial" w:hAnsi="Arial"/>
                <w:sz w:val="16"/>
                <w:szCs w:val="16"/>
                <w:color w:val="auto"/>
                <w:w w:val="96"/>
              </w:rPr>
              <w:t>Purchases of common stock under ESPP</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40,547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47"/>
        </w:trPr>
        <w:tc>
          <w:tcPr>
            <w:tcW w:w="2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August 31, 2018</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37,861,057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546,615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544,889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8"/>
              </w:rPr>
              <w:t>Issuance/Cancellation of restricted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units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3,901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Issuance/Cancellation of performance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units</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w w:val="96"/>
              </w:rPr>
              <w:t>Purchases of common stock under ESPP</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November 30, 2018</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37,875,529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549,355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6"/>
              </w:rPr>
              <w:t>(370,000)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549,563</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CONSOLIDATED STATEMENT OF STOCKHOLDERS’ EQUITY - continued</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of dollars, except share data)</w:t>
      </w:r>
    </w:p>
    <w:p>
      <w:pPr>
        <w:sectPr>
          <w:pgSz w:w="11900" w:h="16838" w:orient="portrait"/>
          <w:cols w:equalWidth="0" w:num="1">
            <w:col w:w="11300"/>
          </w:cols>
          <w:pgMar w:left="24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 w:right="800"/>
        <w:spacing w:after="0" w:line="354" w:lineRule="auto"/>
        <w:rPr>
          <w:sz w:val="20"/>
          <w:szCs w:val="20"/>
          <w:color w:val="auto"/>
        </w:rPr>
      </w:pPr>
      <w:r>
        <w:rPr>
          <w:rFonts w:ascii="Arial" w:cs="Arial" w:eastAsia="Arial" w:hAnsi="Arial"/>
          <w:sz w:val="16"/>
          <w:szCs w:val="16"/>
          <w:b w:val="1"/>
          <w:bCs w:val="1"/>
          <w:color w:val="auto"/>
        </w:rPr>
        <w:t xml:space="preserve">Balance at May 31, 2017 </w:t>
      </w:r>
      <w:r>
        <w:rPr>
          <w:rFonts w:ascii="Arial" w:cs="Arial" w:eastAsia="Arial" w:hAnsi="Arial"/>
          <w:sz w:val="16"/>
          <w:szCs w:val="16"/>
          <w:color w:val="auto"/>
        </w:rPr>
        <w:t>Net loss</w:t>
      </w:r>
    </w:p>
    <w:p>
      <w:pPr>
        <w:spacing w:after="0" w:line="1" w:lineRule="exact"/>
        <w:rPr>
          <w:sz w:val="20"/>
          <w:szCs w:val="20"/>
          <w:color w:val="auto"/>
        </w:rPr>
      </w:pPr>
    </w:p>
    <w:p>
      <w:pPr>
        <w:ind w:left="100"/>
        <w:spacing w:after="0" w:line="293" w:lineRule="auto"/>
        <w:rPr>
          <w:sz w:val="20"/>
          <w:szCs w:val="20"/>
          <w:color w:val="auto"/>
        </w:rPr>
      </w:pPr>
      <w:r>
        <w:rPr>
          <w:rFonts w:ascii="Arial" w:cs="Arial" w:eastAsia="Arial" w:hAnsi="Arial"/>
          <w:sz w:val="16"/>
          <w:szCs w:val="16"/>
          <w:color w:val="auto"/>
        </w:rPr>
        <w:t>Adjustment from the adoption of ASU 2016-09</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4"/>
            <w:vMerge w:val="restart"/>
          </w:tcPr>
          <w:p>
            <w:pPr>
              <w:jc w:val="right"/>
              <w:ind w:right="483"/>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86"/>
              <w:spacing w:after="0"/>
              <w:rPr>
                <w:sz w:val="20"/>
                <w:szCs w:val="20"/>
                <w:color w:val="auto"/>
              </w:rPr>
            </w:pPr>
            <w:r>
              <w:rPr>
                <w:rFonts w:ascii="Arial" w:cs="Arial" w:eastAsia="Arial" w:hAnsi="Arial"/>
                <w:sz w:val="14"/>
                <w:szCs w:val="14"/>
                <w:color w:val="auto"/>
                <w:w w:val="93"/>
              </w:rPr>
              <w:t>Accumulated</w:t>
            </w:r>
          </w:p>
        </w:tc>
        <w:tc>
          <w:tcPr>
            <w:tcW w:w="0" w:type="dxa"/>
            <w:vAlign w:val="bottom"/>
          </w:tcPr>
          <w:p>
            <w:pPr>
              <w:spacing w:after="0"/>
              <w:rPr>
                <w:sz w:val="1"/>
                <w:szCs w:val="1"/>
                <w:color w:val="auto"/>
              </w:rPr>
            </w:pPr>
          </w:p>
        </w:tc>
      </w:tr>
      <w:tr>
        <w:trPr>
          <w:trHeight w:val="159"/>
        </w:trPr>
        <w:tc>
          <w:tcPr>
            <w:tcW w:w="206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140"/>
              <w:spacing w:after="0" w:line="154" w:lineRule="exact"/>
              <w:rPr>
                <w:sz w:val="20"/>
                <w:szCs w:val="20"/>
                <w:color w:val="auto"/>
              </w:rPr>
            </w:pPr>
            <w:r>
              <w:rPr>
                <w:rFonts w:ascii="Arial" w:cs="Arial" w:eastAsia="Arial" w:hAnsi="Arial"/>
                <w:sz w:val="14"/>
                <w:szCs w:val="14"/>
                <w:color w:val="auto"/>
              </w:rPr>
              <w:t>Additional</w:t>
            </w:r>
          </w:p>
        </w:tc>
        <w:tc>
          <w:tcPr>
            <w:tcW w:w="100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3"/>
                <w:szCs w:val="13"/>
                <w:color w:val="auto"/>
              </w:rPr>
            </w:pPr>
          </w:p>
        </w:tc>
        <w:tc>
          <w:tcPr>
            <w:tcW w:w="1080" w:type="dxa"/>
            <w:vAlign w:val="bottom"/>
          </w:tcPr>
          <w:p>
            <w:pPr>
              <w:jc w:val="center"/>
              <w:ind w:right="66"/>
              <w:spacing w:after="0" w:line="154" w:lineRule="exact"/>
              <w:rPr>
                <w:sz w:val="20"/>
                <w:szCs w:val="20"/>
                <w:color w:val="auto"/>
              </w:rPr>
            </w:pPr>
            <w:r>
              <w:rPr>
                <w:rFonts w:ascii="Arial" w:cs="Arial" w:eastAsia="Arial" w:hAnsi="Arial"/>
                <w:sz w:val="14"/>
                <w:szCs w:val="14"/>
                <w:color w:val="auto"/>
                <w:w w:val="93"/>
              </w:rPr>
              <w:t>other</w:t>
            </w: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96"/>
              </w:rPr>
              <w:t>paid in</w:t>
            </w:r>
          </w:p>
        </w:tc>
        <w:tc>
          <w:tcPr>
            <w:tcW w:w="1000" w:type="dxa"/>
            <w:vAlign w:val="bottom"/>
            <w:gridSpan w:val="2"/>
          </w:tcPr>
          <w:p>
            <w:pPr>
              <w:jc w:val="center"/>
              <w:ind w:right="120"/>
              <w:spacing w:after="0" w:line="123"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0"/>
                <w:szCs w:val="10"/>
                <w:color w:val="auto"/>
              </w:rPr>
            </w:pPr>
          </w:p>
        </w:tc>
        <w:tc>
          <w:tcPr>
            <w:tcW w:w="1080" w:type="dxa"/>
            <w:vAlign w:val="bottom"/>
          </w:tcPr>
          <w:p>
            <w:pPr>
              <w:jc w:val="center"/>
              <w:ind w:right="86"/>
              <w:spacing w:after="0" w:line="123" w:lineRule="exact"/>
              <w:rPr>
                <w:sz w:val="20"/>
                <w:szCs w:val="20"/>
                <w:color w:val="auto"/>
              </w:rPr>
            </w:pPr>
            <w:r>
              <w:rPr>
                <w:rFonts w:ascii="Arial" w:cs="Arial" w:eastAsia="Arial" w:hAnsi="Arial"/>
                <w:sz w:val="14"/>
                <w:szCs w:val="14"/>
                <w:color w:val="auto"/>
                <w:w w:val="92"/>
              </w:rPr>
              <w:t>comprehensive</w:t>
            </w: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color w:val="auto"/>
                <w:w w:val="88"/>
              </w:rPr>
              <w:t>loss</w:t>
            </w:r>
          </w:p>
        </w:tc>
        <w:tc>
          <w:tcPr>
            <w:tcW w:w="0" w:type="dxa"/>
            <w:vAlign w:val="bottom"/>
          </w:tcPr>
          <w:p>
            <w:pPr>
              <w:spacing w:after="0"/>
              <w:rPr>
                <w:sz w:val="1"/>
                <w:szCs w:val="1"/>
                <w:color w:val="auto"/>
              </w:rPr>
            </w:pPr>
          </w:p>
        </w:tc>
      </w:tr>
      <w:tr>
        <w:trPr>
          <w:trHeight w:val="223"/>
        </w:trPr>
        <w:tc>
          <w:tcPr>
            <w:tcW w:w="1140" w:type="dxa"/>
            <w:vAlign w:val="bottom"/>
          </w:tcPr>
          <w:p>
            <w:pPr>
              <w:jc w:val="right"/>
              <w:ind w:right="45"/>
              <w:spacing w:after="0"/>
              <w:rPr>
                <w:sz w:val="20"/>
                <w:szCs w:val="20"/>
                <w:color w:val="auto"/>
              </w:rPr>
            </w:pPr>
            <w:r>
              <w:rPr>
                <w:rFonts w:ascii="Arial" w:cs="Arial" w:eastAsia="Arial" w:hAnsi="Arial"/>
                <w:sz w:val="16"/>
                <w:szCs w:val="16"/>
                <w:color w:val="auto"/>
              </w:rPr>
              <w:t>37,210,091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367</w:t>
            </w: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  532,705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(11,007)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-141605</wp:posOffset>
            </wp:positionV>
            <wp:extent cx="716089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291465"/>
                    </a:xfrm>
                    <a:prstGeom prst="rect">
                      <a:avLst/>
                    </a:prstGeom>
                    <a:noFill/>
                  </pic:spPr>
                </pic:pic>
              </a:graphicData>
            </a:graphic>
          </wp:anchor>
        </w:drawing>
        <w:drawing>
          <wp:anchor simplePos="0" relativeHeight="251657728" behindDoc="1" locked="0" layoutInCell="0" allowOverlap="1">
            <wp:simplePos x="0" y="0"/>
            <wp:positionH relativeFrom="column">
              <wp:posOffset>-1729105</wp:posOffset>
            </wp:positionH>
            <wp:positionV relativeFrom="paragraph">
              <wp:posOffset>-484505</wp:posOffset>
            </wp:positionV>
            <wp:extent cx="716089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20955</wp:posOffset>
            </wp:positionV>
            <wp:extent cx="1191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157" w:lineRule="exact"/>
        <w:rPr>
          <w:sz w:val="20"/>
          <w:szCs w:val="20"/>
          <w:color w:val="auto"/>
        </w:rPr>
      </w:pPr>
    </w:p>
    <w:p>
      <w:pPr>
        <w:spacing w:after="0"/>
        <w:tabs>
          <w:tab w:leader="none" w:pos="920" w:val="left"/>
          <w:tab w:leader="none" w:pos="2000" w:val="left"/>
        </w:tabs>
        <w:rPr>
          <w:sz w:val="20"/>
          <w:szCs w:val="20"/>
          <w:color w:val="auto"/>
        </w:rPr>
      </w:pPr>
      <w:r>
        <w:rPr>
          <w:rFonts w:ascii="Arial" w:cs="Arial" w:eastAsia="Arial" w:hAnsi="Arial"/>
          <w:sz w:val="14"/>
          <w:szCs w:val="14"/>
          <w:color w:val="auto"/>
        </w:rPr>
        <w:t>Shares</w:t>
      </w:r>
      <w:r>
        <w:rPr>
          <w:sz w:val="20"/>
          <w:szCs w:val="20"/>
          <w:color w:val="auto"/>
        </w:rPr>
        <w:tab/>
      </w:r>
      <w:r>
        <w:rPr>
          <w:rFonts w:ascii="Arial" w:cs="Arial" w:eastAsia="Arial" w:hAnsi="Arial"/>
          <w:sz w:val="14"/>
          <w:szCs w:val="14"/>
          <w:color w:val="auto"/>
        </w:rPr>
        <w:t>Amount</w:t>
      </w:r>
      <w:r>
        <w:rPr>
          <w:sz w:val="20"/>
          <w:szCs w:val="20"/>
          <w:color w:val="auto"/>
        </w:rPr>
        <w:tab/>
      </w:r>
      <w:r>
        <w:rPr>
          <w:rFonts w:ascii="Arial" w:cs="Arial" w:eastAsia="Arial" w:hAnsi="Arial"/>
          <w:sz w:val="13"/>
          <w:szCs w:val="13"/>
          <w:color w:val="auto"/>
        </w:rPr>
        <w:t>Total</w:t>
      </w:r>
    </w:p>
    <w:p>
      <w:pPr>
        <w:spacing w:after="0" w:line="64"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515,027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pacing w:after="0" w:line="86"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sectPr>
          <w:pgSz w:w="11900" w:h="16838" w:orient="portrait"/>
          <w:cols w:equalWidth="0" w:num="3">
            <w:col w:w="2600" w:space="200"/>
            <w:col w:w="5460" w:space="420"/>
            <w:col w:w="2620"/>
          </w:cols>
          <w:pgMar w:left="240" w:top="121" w:right="359" w:bottom="1440" w:gutter="0" w:footer="0" w:header="0"/>
          <w:type w:val="continuous"/>
        </w:sectPr>
      </w:pPr>
    </w:p>
    <w:tbl>
      <w:tblPr>
        <w:tblLayout w:type="fixed"/>
        <w:tblInd w:w="100" w:type="dxa"/>
        <w:tblCellMar>
          <w:top w:w="0" w:type="dxa"/>
          <w:left w:w="0" w:type="dxa"/>
          <w:bottom w:w="0" w:type="dxa"/>
          <w:right w:w="0" w:type="dxa"/>
        </w:tblCellMar>
      </w:tblP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17,897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700" w:type="dxa"/>
            <w:vAlign w:val="bottom"/>
          </w:tcPr>
          <w:p>
            <w:pPr>
              <w:spacing w:after="0"/>
              <w:rPr>
                <w:sz w:val="20"/>
                <w:szCs w:val="20"/>
                <w:color w:val="auto"/>
              </w:rPr>
            </w:pPr>
            <w:r>
              <w:rPr>
                <w:rFonts w:ascii="Arial" w:cs="Arial" w:eastAsia="Arial" w:hAnsi="Arial"/>
                <w:sz w:val="16"/>
                <w:szCs w:val="16"/>
                <w:color w:val="auto"/>
                <w:w w:val="93"/>
              </w:rPr>
              <w:t>Issuance/Cancellation of restricted stock</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119,098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units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w w:val="99"/>
              </w:rPr>
              <w:t>Issuance/Cancellation of performance</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share units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16"/>
                <w:szCs w:val="16"/>
                <w:color w:val="auto"/>
                <w:w w:val="91"/>
              </w:rPr>
              <w:t>Purchases of common stock under ESPP</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0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33"/>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rPr>
              <w:t>Balance at August 31, 2017</w:t>
            </w: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vMerge w:val="continue"/>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37,397,986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535,512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(11,241)</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700" w:type="dxa"/>
            <w:vAlign w:val="bottom"/>
          </w:tcPr>
          <w:p>
            <w:pPr>
              <w:spacing w:after="0"/>
              <w:rPr>
                <w:sz w:val="20"/>
                <w:szCs w:val="20"/>
                <w:color w:val="auto"/>
              </w:rPr>
            </w:pPr>
            <w:r>
              <w:rPr>
                <w:rFonts w:ascii="Arial" w:cs="Arial" w:eastAsia="Arial" w:hAnsi="Arial"/>
                <w:sz w:val="16"/>
                <w:szCs w:val="16"/>
                <w:color w:val="auto"/>
              </w:rPr>
              <w:t>Adjustment from the adoption of ASU</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2016-09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78,211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925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700" w:type="dxa"/>
            <w:vAlign w:val="bottom"/>
          </w:tcPr>
          <w:p>
            <w:pPr>
              <w:spacing w:after="0"/>
              <w:rPr>
                <w:sz w:val="20"/>
                <w:szCs w:val="20"/>
                <w:color w:val="auto"/>
              </w:rPr>
            </w:pPr>
            <w:r>
              <w:rPr>
                <w:rFonts w:ascii="Arial" w:cs="Arial" w:eastAsia="Arial" w:hAnsi="Arial"/>
                <w:sz w:val="16"/>
                <w:szCs w:val="16"/>
                <w:color w:val="auto"/>
                <w:w w:val="93"/>
              </w:rPr>
              <w:t>Issuance/Cancellation of restricted stock</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units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700" w:type="dxa"/>
            <w:vAlign w:val="bottom"/>
          </w:tcPr>
          <w:p>
            <w:pPr>
              <w:spacing w:after="0"/>
              <w:rPr>
                <w:sz w:val="20"/>
                <w:szCs w:val="20"/>
                <w:color w:val="auto"/>
              </w:rPr>
            </w:pPr>
            <w:r>
              <w:rPr>
                <w:rFonts w:ascii="Arial" w:cs="Arial" w:eastAsia="Arial" w:hAnsi="Arial"/>
                <w:sz w:val="16"/>
                <w:szCs w:val="16"/>
                <w:color w:val="auto"/>
                <w:w w:val="99"/>
              </w:rPr>
              <w:t>Issuance/Cancellation of performance</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rPr>
                <w:sz w:val="20"/>
                <w:szCs w:val="20"/>
                <w:color w:val="auto"/>
              </w:rPr>
            </w:pPr>
            <w:r>
              <w:rPr>
                <w:rFonts w:ascii="Arial" w:cs="Arial" w:eastAsia="Arial" w:hAnsi="Arial"/>
                <w:sz w:val="16"/>
                <w:szCs w:val="16"/>
                <w:color w:val="auto"/>
              </w:rPr>
              <w:t>share units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0"/>
                <w:szCs w:val="20"/>
                <w:color w:val="auto"/>
              </w:rPr>
            </w:pPr>
            <w:r>
              <w:rPr>
                <w:rFonts w:ascii="Arial" w:cs="Arial" w:eastAsia="Arial" w:hAnsi="Arial"/>
                <w:sz w:val="16"/>
                <w:szCs w:val="16"/>
                <w:color w:val="auto"/>
                <w:w w:val="91"/>
              </w:rPr>
              <w:t>Purchases of common stock under ESPP</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700" w:type="dxa"/>
            <w:vAlign w:val="bottom"/>
          </w:tcPr>
          <w:p>
            <w:pPr>
              <w:spacing w:after="0"/>
              <w:rPr>
                <w:sz w:val="20"/>
                <w:szCs w:val="20"/>
                <w:color w:val="auto"/>
              </w:rPr>
            </w:pPr>
            <w:r>
              <w:rPr>
                <w:rFonts w:ascii="Arial" w:cs="Arial" w:eastAsia="Arial" w:hAnsi="Arial"/>
                <w:sz w:val="16"/>
                <w:szCs w:val="16"/>
                <w:color w:val="auto"/>
              </w:rPr>
              <w:t>Other comprehensive loss, net of tax</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rPr>
              <w:t>Balance at November 30, 2017</w:t>
            </w: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00" w:type="dxa"/>
            <w:vAlign w:val="bottom"/>
            <w:vMerge w:val="continue"/>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37,481,675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538,403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(10,992)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-3197860</wp:posOffset>
            </wp:positionV>
            <wp:extent cx="716089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29146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-2614930</wp:posOffset>
            </wp:positionV>
            <wp:extent cx="71608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-2272030</wp:posOffset>
            </wp:positionV>
            <wp:extent cx="71608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-1929130</wp:posOffset>
            </wp:positionV>
            <wp:extent cx="71608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-1465580</wp:posOffset>
            </wp:positionV>
            <wp:extent cx="71608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-1002665</wp:posOffset>
            </wp:positionV>
            <wp:extent cx="7160895"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29146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-539750</wp:posOffset>
            </wp:positionV>
            <wp:extent cx="71608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-196850</wp:posOffset>
            </wp:positionV>
            <wp:extent cx="716089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Arial" w:cs="Arial" w:eastAsia="Arial" w:hAnsi="Arial"/>
          <w:sz w:val="16"/>
          <w:szCs w:val="16"/>
          <w:color w:val="auto"/>
        </w:rPr>
        <w:t>89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722</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1,797</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43815</wp:posOffset>
            </wp:positionV>
            <wp:extent cx="1895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80" w:lineRule="exact"/>
        <w:rPr>
          <w:sz w:val="20"/>
          <w:szCs w:val="20"/>
          <w:color w:val="auto"/>
        </w:rPr>
      </w:pPr>
    </w:p>
    <w:p>
      <w:pPr>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517,884</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249</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926</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w:t>
      </w:r>
    </w:p>
    <w:p>
      <w:pPr>
        <w:spacing w:after="0" w:line="27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1,966</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195</w:t>
      </w:r>
    </w:p>
    <w:p>
      <w:pPr>
        <w:spacing w:after="0" w:line="100" w:lineRule="exact"/>
        <w:rPr>
          <w:sz w:val="20"/>
          <w:szCs w:val="20"/>
          <w:color w:val="auto"/>
        </w:rPr>
      </w:pPr>
    </w:p>
    <w:p>
      <w:pPr>
        <w:jc w:val="both"/>
        <w:spacing w:after="0"/>
        <w:tabs>
          <w:tab w:leader="none" w:pos="800" w:val="left"/>
          <w:tab w:leader="none" w:pos="1020" w:val="left"/>
          <w:tab w:leader="none" w:pos="1680" w:val="left"/>
          <w:tab w:leader="none" w:pos="2020" w:val="left"/>
        </w:tabs>
        <w:rPr>
          <w:sz w:val="20"/>
          <w:szCs w:val="20"/>
          <w:color w:val="auto"/>
        </w:rPr>
      </w:pPr>
      <w:r>
        <w:rPr>
          <w:rFonts w:ascii="Arial" w:cs="Arial" w:eastAsia="Arial" w:hAnsi="Arial"/>
          <w:sz w:val="16"/>
          <w:szCs w:val="16"/>
          <w:color w:val="auto"/>
        </w:rPr>
        <w:t>(370,000)</w:t>
        <w:tab/>
        <w:t>$</w:t>
        <w:tab/>
        <w:t>(5,714)</w:t>
        <w:tab/>
        <w:t>$</w:t>
      </w:r>
      <w:r>
        <w:rPr>
          <w:sz w:val="20"/>
          <w:szCs w:val="20"/>
          <w:color w:val="auto"/>
        </w:rPr>
        <w:tab/>
      </w:r>
      <w:r>
        <w:rPr>
          <w:rFonts w:ascii="Arial" w:cs="Arial" w:eastAsia="Arial" w:hAnsi="Arial"/>
          <w:sz w:val="14"/>
          <w:szCs w:val="14"/>
          <w:color w:val="auto"/>
        </w:rPr>
        <w:t>521,220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52070</wp:posOffset>
            </wp:positionV>
            <wp:extent cx="1895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8260" w:space="420"/>
            <w:col w:w="2620"/>
          </w:cols>
          <w:pgMar w:left="240" w:top="121" w:right="359" w:bottom="1440" w:gutter="0" w:footer="0" w:header="0"/>
          <w:type w:val="continuous"/>
        </w:sect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121" w:right="35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consolidated balance sheet as of November 30, 2018, the consolidated statement of stockholders’ equity for the three and six months ended November 30, 2018 and 2017, and the consolidated statements of income, consolidated statements of comprehensive income (loss) for the three and six months ended November 30, 2018 and 2017, and consolidated statements of cash flows for the six months ended November 30, 2018 and 2017 have been prepared by us and are unaudited. The consolidated balance sheet as of May 31, 2018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November 30, 2018 (and for all periods presented) have been made.</w:t>
      </w:r>
    </w:p>
    <w:p>
      <w:pPr>
        <w:spacing w:after="0" w:line="167"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The unaudited interim consolidated financial statements for the three and six months ended November 30, 2018 and 2017 include the accounts of AngioDynamics, Inc. and its wholly owned subsidiaries, collectively, the “Company”. All intercompany balances and transactions have been eliminated.</w:t>
      </w:r>
    </w:p>
    <w:p>
      <w:pPr>
        <w:spacing w:after="0" w:line="120" w:lineRule="exact"/>
        <w:rPr>
          <w:sz w:val="20"/>
          <w:szCs w:val="20"/>
          <w:color w:val="auto"/>
        </w:rPr>
      </w:pPr>
    </w:p>
    <w:p>
      <w:pPr>
        <w:ind w:right="9600" w:firstLine="8"/>
        <w:spacing w:after="0" w:line="566" w:lineRule="auto"/>
        <w:tabs>
          <w:tab w:leader="none" w:pos="1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RadiaDyne Acquisition</w:t>
      </w:r>
    </w:p>
    <w:p>
      <w:pPr>
        <w:spacing w:after="0" w:line="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in contingent consideration is comprised of $16.5 million for the revenue milestones and $5.8 million for the technical milestones. The $4.6 million indemnification holdback is recorded in other long-term liabilities and the $0.2 million purchase price holdback is recorded in accrued liabilities.</w:t>
      </w:r>
    </w:p>
    <w:p>
      <w:pPr>
        <w:spacing w:after="0" w:line="112"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43"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The Company accounted for the RadiaDyne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Company has not disclosed the amount of revenue and earnings for sales of RadiaDyne products since acquisition, nor proforma information, because these amounts are not significant to the Company's financial statements. Acquisition-related costs associated with the RadiaDyne acquisition, which are included in acquisition, restructuring and other expenses, net in the accompanying consolidated statements of income, were approximately $1.6 million. The following table summarizes the preliminary aggregate purchase price allocated to the net assets acquired: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992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865"/>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ind w:left="20"/>
              <w:spacing w:after="0"/>
              <w:rPr>
                <w:sz w:val="20"/>
                <w:szCs w:val="20"/>
                <w:color w:val="auto"/>
              </w:rPr>
            </w:pPr>
            <w:r>
              <w:rPr>
                <w:rFonts w:ascii="Arial" w:cs="Arial" w:eastAsia="Arial" w:hAnsi="Arial"/>
                <w:sz w:val="14"/>
                <w:szCs w:val="14"/>
                <w:color w:val="auto"/>
              </w:rPr>
              <w:t>(in thousands)</w:t>
            </w:r>
          </w:p>
        </w:tc>
        <w:tc>
          <w:tcPr>
            <w:tcW w:w="8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Sep 21, 2018</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 acquired</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900</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732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880" w:type="dxa"/>
            <w:vAlign w:val="bottom"/>
            <w:gridSpan w:val="2"/>
          </w:tcPr>
          <w:p>
            <w:pPr>
              <w:ind w:left="260"/>
              <w:spacing w:after="0"/>
              <w:rPr>
                <w:sz w:val="20"/>
                <w:szCs w:val="20"/>
                <w:color w:val="auto"/>
              </w:rPr>
            </w:pPr>
            <w:r>
              <w:rPr>
                <w:rFonts w:ascii="Arial" w:cs="Arial" w:eastAsia="Arial" w:hAnsi="Arial"/>
                <w:sz w:val="18"/>
                <w:szCs w:val="18"/>
                <w:color w:val="auto"/>
              </w:rPr>
              <w:t>RadiaDyne trademark</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OarTrac trademark</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60"/>
              <w:spacing w:after="0"/>
              <w:rPr>
                <w:sz w:val="20"/>
                <w:szCs w:val="20"/>
                <w:color w:val="auto"/>
              </w:rPr>
            </w:pPr>
            <w:r>
              <w:rPr>
                <w:rFonts w:ascii="Arial" w:cs="Arial" w:eastAsia="Arial" w:hAnsi="Arial"/>
                <w:sz w:val="18"/>
                <w:szCs w:val="18"/>
                <w:color w:val="auto"/>
              </w:rPr>
              <w:t>RadiaDyne legacy product technology</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OarTrac product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16,300</w:t>
            </w:r>
          </w:p>
        </w:tc>
      </w:tr>
      <w:tr>
        <w:trPr>
          <w:trHeight w:val="243"/>
        </w:trPr>
        <w:tc>
          <w:tcPr>
            <w:tcW w:w="40" w:type="dxa"/>
            <w:vAlign w:val="bottom"/>
          </w:tcPr>
          <w:p>
            <w:pPr>
              <w:spacing w:after="0"/>
              <w:rPr>
                <w:sz w:val="21"/>
                <w:szCs w:val="21"/>
                <w:color w:val="auto"/>
              </w:rPr>
            </w:pPr>
          </w:p>
        </w:tc>
        <w:tc>
          <w:tcPr>
            <w:tcW w:w="9880" w:type="dxa"/>
            <w:vAlign w:val="bottom"/>
            <w:gridSpan w:val="2"/>
          </w:tcPr>
          <w:p>
            <w:pPr>
              <w:ind w:left="260"/>
              <w:spacing w:after="0"/>
              <w:rPr>
                <w:sz w:val="20"/>
                <w:szCs w:val="20"/>
                <w:color w:val="auto"/>
              </w:rPr>
            </w:pPr>
            <w:r>
              <w:rPr>
                <w:rFonts w:ascii="Arial" w:cs="Arial" w:eastAsia="Arial" w:hAnsi="Arial"/>
                <w:sz w:val="18"/>
                <w:szCs w:val="18"/>
                <w:color w:val="auto"/>
              </w:rPr>
              <w:t>RadiaDyne customer relationships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3,700</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51,482</w:t>
            </w:r>
          </w:p>
        </w:tc>
      </w:tr>
      <w:tr>
        <w:trPr>
          <w:trHeight w:val="237"/>
        </w:trPr>
        <w:tc>
          <w:tcPr>
            <w:tcW w:w="40" w:type="dxa"/>
            <w:vAlign w:val="bottom"/>
          </w:tcPr>
          <w:p>
            <w:pPr>
              <w:spacing w:after="0"/>
              <w:rPr>
                <w:sz w:val="20"/>
                <w:szCs w:val="20"/>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75,445</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352</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37"/>
        </w:trPr>
        <w:tc>
          <w:tcPr>
            <w:tcW w:w="40" w:type="dxa"/>
            <w:vAlign w:val="bottom"/>
          </w:tcPr>
          <w:p>
            <w:pPr>
              <w:spacing w:after="0"/>
              <w:rPr>
                <w:sz w:val="20"/>
                <w:szCs w:val="20"/>
                <w:color w:val="auto"/>
              </w:rPr>
            </w:pPr>
          </w:p>
        </w:tc>
        <w:tc>
          <w:tcPr>
            <w:tcW w:w="9880" w:type="dxa"/>
            <w:vAlign w:val="bottom"/>
            <w:gridSpan w:val="2"/>
          </w:tcPr>
          <w:p>
            <w:pPr>
              <w:ind w:left="2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458</w:t>
            </w: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74,987</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10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The values assigned to the RadiaDyne and OarTrac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trademarks are deemed to have a useful life of five to seven years and the product technologies are deemed to have a useful life of seven to ten years. Both are amortized on a straight-line basis over their useful life.</w:t>
      </w:r>
    </w:p>
    <w:p>
      <w:pPr>
        <w:spacing w:after="0" w:line="112"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fifteen years.</w:t>
      </w:r>
    </w:p>
    <w:p>
      <w:pPr>
        <w:spacing w:after="0" w:line="10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BioSentry Acquisition</w:t>
      </w:r>
    </w:p>
    <w:p>
      <w:pPr>
        <w:spacing w:after="0" w:line="14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August 14, 2018, the Company acquired the BioSentry product from Surgical Specialties, LLC (“SSC”), for an aggregate purchase price of $39.8 million of which $37.0 million was paid on August 14, 2018 and $2.8 million was recorded as contingent consideration. The contingent consideration liability was recorded at fair value and will be payable to SSC upon fulfillment of certain hydrogel orders.</w:t>
      </w:r>
    </w:p>
    <w:p>
      <w:pPr>
        <w:spacing w:after="0" w:line="10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Company accounted for the BioSentry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deductible for income tax purposes.</w:t>
      </w:r>
    </w:p>
    <w:p>
      <w:pPr>
        <w:spacing w:after="0" w:line="8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 has not disclosed the amount of revenue and earnings for sales of BioSentry products since acquisition, nor proforma information, because these amounts are not significant to the Company's financial statements. Acquisition-related costs associated with the BioSentry acquisition, which are included in acquisition, restructuring and other expenses, net in the accompanying consolidated statements of income, were approximately $1.0 million. The following table summarizes the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4"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preliminary aggregate purchase price allocated to the net assets acquired: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80"/>
              <w:spacing w:after="0"/>
              <w:rPr>
                <w:sz w:val="20"/>
                <w:szCs w:val="20"/>
                <w:color w:val="auto"/>
              </w:rPr>
            </w:pPr>
            <w:r>
              <w:rPr>
                <w:rFonts w:ascii="Arial" w:cs="Arial" w:eastAsia="Arial" w:hAnsi="Arial"/>
                <w:sz w:val="14"/>
                <w:szCs w:val="14"/>
                <w:color w:val="auto"/>
              </w:rPr>
              <w:t>Preliminary allocation</w:t>
            </w: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color w:val="auto"/>
              </w:rPr>
              <w:t xml:space="preserve">Adjustments </w:t>
            </w:r>
            <w:r>
              <w:rPr>
                <w:rFonts w:ascii="Arial" w:cs="Arial" w:eastAsia="Arial" w:hAnsi="Arial"/>
                <w:sz w:val="10"/>
                <w:szCs w:val="10"/>
                <w:color w:val="auto"/>
              </w:rPr>
              <w:t>(1)</w:t>
            </w:r>
          </w:p>
        </w:tc>
        <w:tc>
          <w:tcPr>
            <w:tcW w:w="240" w:type="dxa"/>
            <w:vAlign w:val="bottom"/>
          </w:tcPr>
          <w:p>
            <w:pPr>
              <w:spacing w:after="0"/>
              <w:rPr>
                <w:sz w:val="16"/>
                <w:szCs w:val="16"/>
                <w:color w:val="auto"/>
              </w:rPr>
            </w:pPr>
          </w:p>
        </w:tc>
        <w:tc>
          <w:tcPr>
            <w:tcW w:w="1580" w:type="dxa"/>
            <w:vAlign w:val="bottom"/>
          </w:tcPr>
          <w:p>
            <w:pPr>
              <w:jc w:val="right"/>
              <w:ind w:right="292"/>
              <w:spacing w:after="0"/>
              <w:rPr>
                <w:sz w:val="20"/>
                <w:szCs w:val="20"/>
                <w:color w:val="auto"/>
              </w:rPr>
            </w:pPr>
            <w:r>
              <w:rPr>
                <w:rFonts w:ascii="Arial" w:cs="Arial" w:eastAsia="Arial" w:hAnsi="Arial"/>
                <w:sz w:val="14"/>
                <w:szCs w:val="14"/>
                <w:color w:val="auto"/>
              </w:rPr>
              <w:t>Revised allocation</w:t>
            </w:r>
          </w:p>
        </w:tc>
      </w:tr>
      <w:tr>
        <w:trPr>
          <w:trHeight w:val="264"/>
        </w:trPr>
        <w:tc>
          <w:tcPr>
            <w:tcW w:w="5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BioSentry trademark</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BioSentry product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2,200</w:t>
            </w: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21,740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14,140</w:t>
            </w: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39,800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39,800</w:t>
            </w: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60" w:firstLine="8"/>
        <w:spacing w:after="0" w:line="355" w:lineRule="auto"/>
        <w:tabs>
          <w:tab w:leader="none" w:pos="234" w:val="left"/>
        </w:tabs>
        <w:numPr>
          <w:ilvl w:val="0"/>
          <w:numId w:val="4"/>
        </w:numPr>
        <w:rPr>
          <w:rFonts w:ascii="Arial" w:cs="Arial" w:eastAsia="Arial" w:hAnsi="Arial"/>
          <w:sz w:val="14"/>
          <w:szCs w:val="14"/>
          <w:color w:val="auto"/>
        </w:rPr>
      </w:pPr>
      <w:r>
        <w:rPr>
          <w:rFonts w:ascii="Arial" w:cs="Arial" w:eastAsia="Arial" w:hAnsi="Arial"/>
          <w:sz w:val="14"/>
          <w:szCs w:val="14"/>
          <w:color w:val="auto"/>
        </w:rPr>
        <w:t>Measurement period adjustments are recognized on a prospective basis in the period of change, instead of restating prior periods. There was no impact to reported earnings in connection with these measurement period adjustments for the periods presented. Amounts represent adjustments to the preliminary purchase price allocation first presented in the Company's Quarterly Report on Form 10-Q for the quarter ended August 31, 2018 resulting from revising the Company's purchase price allocation for this acquisition.</w:t>
      </w:r>
    </w:p>
    <w:p>
      <w:pPr>
        <w:spacing w:after="0" w:line="5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 allocation of the purchase price to the assets acquired and liabilities assumed, including the amount allocated to goodwill, is subject to change within the measurement period (up to one year from the acquisition date) as additional information that existed at the date of the acquisition related to the values of assets acquired and liabilities assumed is obtained.</w:t>
      </w:r>
    </w:p>
    <w:p>
      <w:pPr>
        <w:spacing w:after="0" w:line="100" w:lineRule="exact"/>
        <w:rPr>
          <w:sz w:val="20"/>
          <w:szCs w:val="20"/>
          <w:color w:val="auto"/>
        </w:rPr>
      </w:pPr>
    </w:p>
    <w:p>
      <w:pPr>
        <w:ind w:right="240" w:firstLine="405"/>
        <w:spacing w:after="0" w:line="276" w:lineRule="auto"/>
        <w:rPr>
          <w:sz w:val="20"/>
          <w:szCs w:val="20"/>
          <w:color w:val="auto"/>
        </w:rPr>
      </w:pPr>
      <w:r>
        <w:rPr>
          <w:rFonts w:ascii="Arial" w:cs="Arial" w:eastAsia="Arial" w:hAnsi="Arial"/>
          <w:sz w:val="17"/>
          <w:szCs w:val="17"/>
          <w:color w:val="auto"/>
        </w:rPr>
        <w:t>The values assigned to the BioSentry trademark and product technologies were derived using the relief-from-royalties method under the income approach. This approach is used to estimate the cost savings that accrue for the owner of an intangible asset who would otherwise have to pay royalties or licensing fees on revenues earned through the use of the asset if they had not owned the rights to use the assets. The net after-tax royalty savings are calculated for each year in the remaining economic life of the intangible asset and discounted to present value. The trademark and product technologies are deemed to have a fifteen year useful life and are amortized on a straight-line basis over their useful life.</w:t>
      </w:r>
    </w:p>
    <w:p>
      <w:pPr>
        <w:spacing w:after="0" w:line="91"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The value assigned to customer relationships was derived using the multi-period excess earnings method under the income approach. This approach estimates the excess earnings generated over the lives of the customers that existed as of the acquisition date and discounts such earnings to present value. Customer relationships are amortized on a straight-line basis over ten years.</w:t>
      </w:r>
    </w:p>
    <w:p>
      <w:pPr>
        <w:spacing w:after="0" w:line="100"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ASC Topic 606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w:t>
      </w:r>
    </w:p>
    <w:p>
      <w:pPr>
        <w:spacing w:after="0" w:line="17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 xml:space="preserve">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on June 1, 2018 using the modified retrospective method for all contracts not completed as of the date of adoption. The reported results for fiscal 2019 reflect the application of ASC 606 guidance while the reported results for fiscal 2018 were prepared under the guidance of ASC 605, Revenue Recognition (“ASC 605”). For discussion of the Company’s accounting policy for revenue recognition under ASC 605, refer to Item 8 of the Annual Report on Form 10-K for the year ended May 31, 2018. The adoption of ASC 606 did not have an impact on the Company’s consolidated balance sheet, results of operations, equity or cash flows as of the adoption date or for the periods presented, other than the enhanced disclosures included in this footnote.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60" w:firstLine="405"/>
        <w:spacing w:after="0" w:line="276"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following tables summarize net product revenue by Global Business Unit ("GBU") and geography for the three and six months ended November 30,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color w:val="auto"/>
                <w:w w:val="91"/>
              </w:rPr>
              <w:t>Three months ended November 30, 2018</w:t>
            </w:r>
          </w:p>
        </w:tc>
        <w:tc>
          <w:tcPr>
            <w:tcW w:w="0" w:type="dxa"/>
            <w:vAlign w:val="bottom"/>
          </w:tcPr>
          <w:p>
            <w:pPr>
              <w:spacing w:after="0"/>
              <w:rPr>
                <w:sz w:val="1"/>
                <w:szCs w:val="1"/>
                <w:color w:val="auto"/>
              </w:rPr>
            </w:pPr>
          </w:p>
        </w:tc>
      </w:tr>
      <w:tr>
        <w:trPr>
          <w:trHeight w:val="264"/>
        </w:trPr>
        <w:tc>
          <w:tcPr>
            <w:tcW w:w="778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260" w:type="dxa"/>
            <w:vAlign w:val="bottom"/>
          </w:tcPr>
          <w:p>
            <w:pPr>
              <w:spacing w:after="0"/>
              <w:rPr>
                <w:sz w:val="22"/>
                <w:szCs w:val="22"/>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42,826</w:t>
            </w:r>
          </w:p>
        </w:tc>
        <w:tc>
          <w:tcPr>
            <w:tcW w:w="40" w:type="dxa"/>
            <w:vAlign w:val="bottom"/>
          </w:tcPr>
          <w:p>
            <w:pPr>
              <w:spacing w:after="0"/>
              <w:rPr>
                <w:sz w:val="21"/>
                <w:szCs w:val="21"/>
                <w:color w:val="auto"/>
              </w:rPr>
            </w:pPr>
          </w:p>
        </w:tc>
        <w:tc>
          <w:tcPr>
            <w:tcW w:w="24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9,668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52,494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6,310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71,883</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1"/>
          </w:tcPr>
          <w:p>
            <w:pPr>
              <w:jc w:val="center"/>
              <w:ind w:right="54"/>
              <w:spacing w:after="0"/>
              <w:rPr>
                <w:sz w:val="20"/>
                <w:szCs w:val="20"/>
                <w:color w:val="auto"/>
              </w:rPr>
            </w:pPr>
            <w:r>
              <w:rPr>
                <w:rFonts w:ascii="Arial" w:cs="Arial" w:eastAsia="Arial" w:hAnsi="Arial"/>
                <w:sz w:val="14"/>
                <w:szCs w:val="14"/>
                <w:color w:val="auto"/>
                <w:w w:val="92"/>
              </w:rPr>
              <w:t>Six months ended November 30, 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74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color w:val="auto"/>
              </w:rPr>
              <w:t>International</w:t>
            </w:r>
          </w:p>
        </w:tc>
        <w:tc>
          <w:tcPr>
            <w:tcW w:w="260" w:type="dxa"/>
            <w:vAlign w:val="bottom"/>
          </w:tcPr>
          <w:p>
            <w:pPr>
              <w:spacing w:after="0"/>
              <w:rPr>
                <w:sz w:val="22"/>
                <w:szCs w:val="22"/>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8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ind w:right="16"/>
              <w:spacing w:after="0"/>
              <w:rPr>
                <w:sz w:val="20"/>
                <w:szCs w:val="20"/>
                <w:color w:val="auto"/>
              </w:rPr>
            </w:pPr>
            <w:r>
              <w:rPr>
                <w:rFonts w:ascii="Arial" w:cs="Arial" w:eastAsia="Arial" w:hAnsi="Arial"/>
                <w:sz w:val="18"/>
                <w:szCs w:val="18"/>
                <w:color w:val="auto"/>
              </w:rPr>
              <w:t>84,864</w:t>
            </w:r>
          </w:p>
        </w:tc>
        <w:tc>
          <w:tcPr>
            <w:tcW w:w="40" w:type="dxa"/>
            <w:vAlign w:val="bottom"/>
          </w:tcPr>
          <w:p>
            <w:pPr>
              <w:spacing w:after="0"/>
              <w:rPr>
                <w:sz w:val="21"/>
                <w:szCs w:val="21"/>
                <w:color w:val="auto"/>
              </w:rPr>
            </w:pPr>
          </w:p>
        </w:tc>
        <w:tc>
          <w:tcPr>
            <w:tcW w:w="2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4"/>
              <w:spacing w:after="0"/>
              <w:rPr>
                <w:sz w:val="20"/>
                <w:szCs w:val="20"/>
                <w:color w:val="auto"/>
              </w:rPr>
            </w:pPr>
            <w:r>
              <w:rPr>
                <w:rFonts w:ascii="Arial" w:cs="Arial" w:eastAsia="Arial" w:hAnsi="Arial"/>
                <w:sz w:val="18"/>
                <w:szCs w:val="18"/>
                <w:color w:val="auto"/>
              </w:rPr>
              <w:t>17,624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4"/>
              <w:spacing w:after="0"/>
              <w:rPr>
                <w:sz w:val="20"/>
                <w:szCs w:val="20"/>
                <w:color w:val="auto"/>
              </w:rPr>
            </w:pPr>
            <w:r>
              <w:rPr>
                <w:rFonts w:ascii="Arial" w:cs="Arial" w:eastAsia="Arial" w:hAnsi="Arial"/>
                <w:sz w:val="18"/>
                <w:szCs w:val="18"/>
                <w:color w:val="auto"/>
              </w:rPr>
              <w:t>102,488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40,528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47,513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380"/>
              <w:spacing w:after="0"/>
              <w:rPr>
                <w:sz w:val="20"/>
                <w:szCs w:val="20"/>
                <w:color w:val="auto"/>
              </w:rPr>
            </w:pPr>
            <w:r>
              <w:rPr>
                <w:rFonts w:ascii="Arial" w:cs="Arial" w:eastAsia="Arial" w:hAnsi="Arial"/>
                <w:sz w:val="18"/>
                <w:szCs w:val="18"/>
                <w:color w:val="auto"/>
              </w:rPr>
              <w:t>Oncology</w:t>
            </w: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14,175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12,667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26,842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2"/>
                <w:szCs w:val="22"/>
                <w:color w:val="auto"/>
              </w:rPr>
            </w:pPr>
          </w:p>
        </w:tc>
        <w:tc>
          <w:tcPr>
            <w:tcW w:w="77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139,567</w:t>
            </w: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176,843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48"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temporarily implanted for short- or longer-term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Transaction prices of products are typically based on contracted rates. Product revenue is measured as the amount of consideration the Company expects to receive in exchange for transferring products to a customer. To the extent the transaction price includes variable consideration, the Company estimates the amount of variable consideration that should be included in the transaction price utilizing the expected value method. As such, revenue is recorded net of rebates, returns and other deductions.</w:t>
      </w:r>
    </w:p>
    <w:p>
      <w:pPr>
        <w:spacing w:after="0" w:line="133"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2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Revenues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current liability.</w:t>
      </w:r>
    </w:p>
    <w:p>
      <w:pPr>
        <w:spacing w:after="0" w:line="127"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 The Company establishes a liability for such amounts, which is included in accrued expenses in the accompanying condensed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six months ended November 30, 2018,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48"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A receivable is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condensed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60" w:type="dxa"/>
            <w:vAlign w:val="bottom"/>
            <w:gridSpan w:val="2"/>
          </w:tcPr>
          <w:p>
            <w:pPr>
              <w:ind w:left="320"/>
              <w:spacing w:after="0"/>
              <w:rPr>
                <w:sz w:val="20"/>
                <w:szCs w:val="20"/>
                <w:color w:val="auto"/>
              </w:rPr>
            </w:pPr>
            <w:r>
              <w:rPr>
                <w:rFonts w:ascii="Arial" w:cs="Arial" w:eastAsia="Arial" w:hAnsi="Arial"/>
                <w:sz w:val="14"/>
                <w:szCs w:val="14"/>
                <w:color w:val="auto"/>
              </w:rPr>
              <w:t>Nov 30, 2018</w:t>
            </w:r>
          </w:p>
        </w:tc>
        <w:tc>
          <w:tcPr>
            <w:tcW w:w="420" w:type="dxa"/>
            <w:vAlign w:val="bottom"/>
          </w:tcPr>
          <w:p>
            <w:pPr>
              <w:spacing w:after="0"/>
              <w:rPr>
                <w:sz w:val="16"/>
                <w:szCs w:val="16"/>
                <w:color w:val="auto"/>
              </w:rPr>
            </w:pPr>
          </w:p>
        </w:tc>
        <w:tc>
          <w:tcPr>
            <w:tcW w:w="1860" w:type="dxa"/>
            <w:vAlign w:val="bottom"/>
          </w:tcPr>
          <w:p>
            <w:pPr>
              <w:jc w:val="right"/>
              <w:ind w:right="654"/>
              <w:spacing w:after="0"/>
              <w:rPr>
                <w:sz w:val="20"/>
                <w:szCs w:val="20"/>
                <w:color w:val="auto"/>
              </w:rPr>
            </w:pPr>
            <w:r>
              <w:rPr>
                <w:rFonts w:ascii="Arial" w:cs="Arial" w:eastAsia="Arial" w:hAnsi="Arial"/>
                <w:sz w:val="14"/>
                <w:szCs w:val="14"/>
                <w:color w:val="auto"/>
              </w:rPr>
              <w:t>May 31, 2018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4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43,374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Contract assets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1,203</w:t>
            </w:r>
          </w:p>
        </w:tc>
      </w:tr>
      <w:tr>
        <w:trPr>
          <w:trHeight w:val="27"/>
        </w:trPr>
        <w:tc>
          <w:tcPr>
            <w:tcW w:w="6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During the six months ended November 30, 2018, the Company recognized $0.2 million in revenue that was included in contract liabilities as of the beginning of the period. This was offset by additions to contract liabilities of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Prior to the adoption of ASC 606, the Company expensed incremental commissions paid to sales representatives for obtaining product sales. 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4"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are stated at lower of cost and net realizable value (using the first-in, first-out method). Inventories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Nov 30, 2018</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May 31, 2018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10,808</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19,430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48,916</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 moving inventory. The total inventory reserve at November 30, 2018 and May 31, 2018 was $5.0 million and $6.1 million, respectively. Of the $5.0 million reserve as of November 30, 2018, $0.4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 Of the $6.1 million reserve as of May 31, 2018, $1.6 million relates to the inventory reserve for Acculis inventory as a result of the recall announced in the fourth quarter of fiscal year 2017 and $0.7 million relates to a specific reserve related to the termination of an agreement with a Japanese distributor in the second quarter of fiscal year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88"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the carrying amount of goodwill for the six months ended November 30, 2018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balance at May 31, 2018</w:t>
            </w:r>
          </w:p>
        </w:tc>
        <w:tc>
          <w:tcPr>
            <w:tcW w:w="59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361,252</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Additions for BioSentry acquisition (Note 2)</w:t>
            </w:r>
          </w:p>
        </w:tc>
        <w:tc>
          <w:tcPr>
            <w:tcW w:w="5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RadiaDyne acquisition (Note 2)</w:t>
            </w:r>
          </w:p>
        </w:tc>
        <w:tc>
          <w:tcPr>
            <w:tcW w:w="55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51,482</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Goodwill balance at November 30, 2018</w:t>
            </w:r>
          </w:p>
        </w:tc>
        <w:tc>
          <w:tcPr>
            <w:tcW w:w="55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426,874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5580" w:type="dxa"/>
            <w:vAlign w:val="bottom"/>
            <w:vMerge w:val="restart"/>
          </w:tcPr>
          <w:p>
            <w:pPr>
              <w:jc w:val="right"/>
              <w:ind w:right="4170"/>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58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2017.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8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Even though the Company determined that there was no goodwill impairment as of December 31, 2017,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2018. The Company continued to assess for potential impairment through November 30, 2018 and noted no events that would be considered a triggering event.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3"/>
              </w:rPr>
              <w:t>Nov 30, 2018</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2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214"/>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value</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color w:val="auto"/>
                <w:w w:val="96"/>
              </w:rPr>
              <w:t>amortization</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185,872</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(74,415)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111,457</w:t>
            </w:r>
          </w:p>
        </w:tc>
        <w:tc>
          <w:tcPr>
            <w:tcW w:w="100" w:type="dxa"/>
            <w:vAlign w:val="bottom"/>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62,284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37,032</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31,500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18,415</w:t>
            </w:r>
          </w:p>
        </w:tc>
        <w:tc>
          <w:tcPr>
            <w:tcW w:w="100" w:type="dxa"/>
            <w:vAlign w:val="bottom"/>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30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286,658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168,706</w:t>
            </w:r>
          </w:p>
        </w:tc>
        <w:tc>
          <w:tcPr>
            <w:tcW w:w="10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0"/>
        </w:trPr>
        <w:tc>
          <w:tcPr>
            <w:tcW w:w="7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4"/>
              </w:rPr>
              <w:t>May 31, 2018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6"/>
        </w:trPr>
        <w:tc>
          <w:tcPr>
            <w:tcW w:w="7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ind w:left="280"/>
              <w:spacing w:after="0" w:line="157" w:lineRule="exact"/>
              <w:rPr>
                <w:sz w:val="20"/>
                <w:szCs w:val="20"/>
                <w:color w:val="auto"/>
              </w:rPr>
            </w:pPr>
            <w:r>
              <w:rPr>
                <w:rFonts w:ascii="Arial" w:cs="Arial" w:eastAsia="Arial" w:hAnsi="Arial"/>
                <w:sz w:val="14"/>
                <w:szCs w:val="14"/>
                <w:color w:val="auto"/>
              </w:rPr>
              <w:t>Gross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134"/>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8"/>
        </w:trPr>
        <w:tc>
          <w:tcPr>
            <w:tcW w:w="7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value</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4"/>
              </w:rPr>
              <w:t>amortization</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value</w:t>
            </w:r>
          </w:p>
        </w:tc>
        <w:tc>
          <w:tcPr>
            <w:tcW w:w="100" w:type="dxa"/>
            <w:vAlign w:val="bottom"/>
            <w:tcBorders>
              <w:bottom w:val="single" w:sz="8" w:color="auto"/>
            </w:tcBorders>
          </w:tcPr>
          <w:p>
            <w:pPr>
              <w:spacing w:after="0"/>
              <w:rPr>
                <w:sz w:val="16"/>
                <w:szCs w:val="16"/>
                <w:color w:val="auto"/>
              </w:rPr>
            </w:pPr>
          </w:p>
        </w:tc>
      </w:tr>
      <w:tr>
        <w:trPr>
          <w:trHeight w:val="264"/>
        </w:trPr>
        <w:tc>
          <w:tcPr>
            <w:tcW w:w="70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technologies</w:t>
            </w:r>
          </w:p>
        </w:tc>
        <w:tc>
          <w:tcPr>
            <w:tcW w:w="30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147,175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(68,880)</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(23,237)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33,191</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(11,809)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Licenses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(4,357)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relationships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7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239,005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(108,695)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130,310</w:t>
            </w:r>
          </w:p>
        </w:tc>
        <w:tc>
          <w:tcPr>
            <w:tcW w:w="100" w:type="dxa"/>
            <w:vAlign w:val="bottom"/>
            <w:tcBorders>
              <w:top w:val="single" w:sz="8" w:color="auto"/>
            </w:tcBorders>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Amortization expense for the three months ended November 30, 2018 and 2017 was $5.2 million and $4.1 million, respectively. Amortization expense for the six months ended November 30, 2018 and 2017 was $9.3 million and $8.2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future amortization expense related to the intangible assets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2020</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18,963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2022</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16,919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16,468</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5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88,275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spacing w:after="0"/>
              <w:rPr>
                <w:sz w:val="22"/>
                <w:szCs w:val="22"/>
                <w:color w:val="auto"/>
              </w:rPr>
            </w:pPr>
          </w:p>
        </w:tc>
        <w:tc>
          <w:tcPr>
            <w:tcW w:w="642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168,706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Nov 30, 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8"/>
              </w:rPr>
              <w:t>May 31, 2018</w:t>
            </w:r>
          </w:p>
        </w:tc>
      </w:tr>
      <w:tr>
        <w:trPr>
          <w:trHeight w:val="264"/>
        </w:trPr>
        <w:tc>
          <w:tcPr>
            <w:tcW w:w="89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6"/>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Royalties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1,537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severance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1,940</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Sales and franchise taxes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683</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Outside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2,396</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Litigation matters</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12,500</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5,135</w:t>
            </w:r>
          </w:p>
        </w:tc>
      </w:tr>
      <w:tr>
        <w:trPr>
          <w:trHeight w:val="237"/>
        </w:trPr>
        <w:tc>
          <w:tcPr>
            <w:tcW w:w="89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21,272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34,426</w:t>
            </w:r>
          </w:p>
        </w:tc>
      </w:tr>
      <w:tr>
        <w:trPr>
          <w:trHeight w:val="27"/>
        </w:trPr>
        <w:tc>
          <w:tcPr>
            <w:tcW w:w="8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 TERM DEBT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November 7, 2016, the Company entered into a Credit Agreement (the “Credit Agreement”) with the lenders party thereto, JPMorgan Chase Bank, N.A., as administrative agent, Bank of America, N.A. and Keybank National Association as co-syndication agents, and JPMorgan Chase Bank, N.A., Merrill Lynch, Pierce, Fenner &amp; Smith Incorporated and Keybank National Association as joint bookrunners and joint lead arrangers.</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Credit Agreement provides for a $100.0 million senior secured term loan facility (“Term Loan”) and a $150.0 million senior secured revolving credit facility, which includes up to a $20.0 million sublimit for letters of credit and a $5.0 million sublimit for swingline loans (the “Revolving Facility”, and together with the Term Loan, the “Facilities”).</w:t>
      </w:r>
    </w:p>
    <w:p>
      <w:pPr>
        <w:spacing w:after="0" w:line="18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November 7, 2016, the Company borrowed $100.0 million under the Term Loan and approximately $16.5 million under the Revolving Facility to repay the balance of $116.5 million under the former credit agreement. As of November 30, 2018 and May 31, 2018 the carrying value of long-term debt approximates its fair market value.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interest rate on the Term Loan at November 30, 2018 was 3.80%.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November 30, 2018.</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maturities of principal obligations under the Credit Agreement are as follows, as of November 30,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10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7,500</w:t>
            </w:r>
          </w:p>
        </w:tc>
      </w:tr>
      <w:tr>
        <w:trPr>
          <w:trHeight w:val="27"/>
        </w:trPr>
        <w:tc>
          <w:tcPr>
            <w:tcW w:w="10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68,750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term loan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 xml:space="preserve">Revolving facility </w:t>
            </w:r>
            <w:r>
              <w:rPr>
                <w:rFonts w:ascii="Arial" w:cs="Arial" w:eastAsia="Arial" w:hAnsi="Arial"/>
                <w:sz w:val="14"/>
                <w:szCs w:val="14"/>
                <w:color w:val="auto"/>
              </w:rPr>
              <w:t>(1)</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55,000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145,000</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0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144,266</w:t>
            </w:r>
          </w:p>
        </w:tc>
      </w:tr>
      <w:tr>
        <w:trPr>
          <w:trHeight w:val="243"/>
        </w:trPr>
        <w:tc>
          <w:tcPr>
            <w:tcW w:w="10220" w:type="dxa"/>
            <w:vAlign w:val="bottom"/>
          </w:tcPr>
          <w:p>
            <w:pPr>
              <w:ind w:left="4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10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10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long-term debt,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139,266</w:t>
            </w:r>
          </w:p>
        </w:tc>
      </w:tr>
      <w:tr>
        <w:trPr>
          <w:trHeight w:val="20"/>
        </w:trPr>
        <w:tc>
          <w:tcPr>
            <w:tcW w:w="10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The revolving facility is due in fiscal year 2022.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1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26.3% in the second quarter of fiscal 2019, as compared to 59.8% for the same period in fiscal 2018. In fiscal 2019, the Company’s effective tax rate differs from the U.S. statutory rate primarily due to the impact of the valuation allowance, foreign taxes and state taxes.</w:t>
      </w:r>
    </w:p>
    <w:p>
      <w:pPr>
        <w:spacing w:after="0" w:line="133"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On December 22, 2017, the United States enacted the Tax Cuts and Jobs Act of 2017 (the “Tax Reform Act”). The Tax Reform Act is significant and has wide-ranging effects.</w:t>
      </w:r>
    </w:p>
    <w:p>
      <w:pPr>
        <w:spacing w:after="0" w:line="116" w:lineRule="exact"/>
        <w:rPr>
          <w:sz w:val="20"/>
          <w:szCs w:val="20"/>
          <w:color w:val="auto"/>
        </w:rPr>
      </w:pPr>
    </w:p>
    <w:p>
      <w:pPr>
        <w:ind w:right="40" w:firstLine="392"/>
        <w:spacing w:after="0" w:line="272" w:lineRule="auto"/>
        <w:rPr>
          <w:sz w:val="20"/>
          <w:szCs w:val="20"/>
          <w:color w:val="auto"/>
        </w:rPr>
      </w:pPr>
      <w:r>
        <w:rPr>
          <w:rFonts w:ascii="Arial" w:cs="Arial" w:eastAsia="Arial" w:hAnsi="Arial"/>
          <w:sz w:val="17"/>
          <w:szCs w:val="17"/>
          <w:color w:val="auto"/>
        </w:rPr>
        <w:t>The Company is still studying all of the ramifications of the Tax Reform Act, but expects the primary material impact of the Act to be the remeasurement of the Company’s naked credit deferred tax liability, which was recorded in fiscal 2018 as a result of the reduction in U.S. corporate tax rates from 35% to 21%. The Tax Reform Act imposes a one-time transition tax on the deemed repatriation of post-1986 undistributed foreign subsidiaries’ earnings. Based on the information available as of December 31, 2017, the Company estimated undistributed foreign earnings in fiscal 2018. The taxable income arising from this deemed repatriation is expected to result in the utilization of net operating loss carryforwards and other tax credits, offset by changes in the valuation allowance, resulting in no net impact to tax expense. No changes have been made to these estimates and the Company expects to complete its accounting for these items within the prescribed measurement period.</w:t>
      </w:r>
    </w:p>
    <w:p>
      <w:pPr>
        <w:spacing w:after="0" w:line="124" w:lineRule="exact"/>
        <w:rPr>
          <w:sz w:val="20"/>
          <w:szCs w:val="20"/>
          <w:color w:val="auto"/>
        </w:rPr>
      </w:pPr>
    </w:p>
    <w:p>
      <w:pPr>
        <w:ind w:right="80" w:firstLine="392"/>
        <w:spacing w:after="0" w:line="286" w:lineRule="auto"/>
        <w:rPr>
          <w:sz w:val="20"/>
          <w:szCs w:val="20"/>
          <w:color w:val="auto"/>
        </w:rPr>
      </w:pPr>
      <w:r>
        <w:rPr>
          <w:rFonts w:ascii="Arial" w:cs="Arial" w:eastAsia="Arial" w:hAnsi="Arial"/>
          <w:sz w:val="17"/>
          <w:szCs w:val="17"/>
          <w:color w:val="auto"/>
        </w:rPr>
        <w:t>The Tax Reform Act also creates a new requirement that certain income earned by foreign subsidiaries (“GILTI”), must be included in U.S. gross income. The FASB allows an accounting policy election of either recognizing deferred taxes for temporary differences expected to reverse as GILTI in future years or recognizing such taxes as a current period expense when incurred. The Company has not yet adopted an accounting policy.</w:t>
      </w:r>
    </w:p>
    <w:p>
      <w:pPr>
        <w:spacing w:after="0" w:line="11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10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2018.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has two stock-based compensation plans that provide for the issuance of up to approximately 11.3 million shares of common stock. The</w:t>
      </w:r>
    </w:p>
    <w:p>
      <w:pPr>
        <w:spacing w:after="0" w:line="46"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2004 Stock and Incentive Award Plan (the "2004 Plan") provides for the grant of incentive options to the Company's employees and for the grant of non-statutory stock options, restricted stock, stock appreciation rights, performance units, performance shares and other incentive awards to the Company's employees, directors and other service providers. The Company also has an employee stock purchase plan.</w:t>
      </w:r>
    </w:p>
    <w:p>
      <w:pPr>
        <w:spacing w:after="0" w:line="190"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For the three months ended November 30, 2018 and 2017, share-based compensation expense was $2.6 million and $2.0 million, respectively. For the six months ended November 30, 2018 and 2017, share-based compensation expense was $4.7 million and $3.8 million, respectively.</w:t>
      </w:r>
    </w:p>
    <w:p>
      <w:pPr>
        <w:spacing w:after="0" w:line="14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During the six months ended November 30, 2018 and 2017, the Company granted stock options and restricted stock units under the 2004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shares on the date of grant and then amortized on a straight-line basis over the requisite service period of the award.</w:t>
      </w:r>
    </w:p>
    <w:p>
      <w:pPr>
        <w:spacing w:after="0" w:line="171"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the first six months of fiscal year 2019, the Company granted market-based performance share awards under the 2004 Plan to certain employees. The awards may be earned by achieving relative performance levels over the three year requisite service period. The performance criteria are based on the total shareholder return ("TSR") of the Company's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relative to the TSR of the common stock of a pre-defined industry peer-group. The fair value of these awards are based on the closing trading value of the Company's shares on the date of grant and use a Monte Carlo simulation model.</w:t>
      </w:r>
    </w:p>
    <w:p>
      <w:pPr>
        <w:spacing w:after="0" w:line="170"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November 30, 2018, there was $18.0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reconciles basic to diluted weighted-average shares outstanding for the three and six months ended November 30, 2018 and 2017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80" w:type="dxa"/>
            <w:vAlign w:val="bottom"/>
            <w:gridSpan w:val="2"/>
          </w:tcPr>
          <w:p>
            <w:pPr>
              <w:ind w:left="180"/>
              <w:spacing w:after="0"/>
              <w:rPr>
                <w:sz w:val="20"/>
                <w:szCs w:val="20"/>
                <w:color w:val="auto"/>
              </w:rPr>
            </w:pPr>
            <w:r>
              <w:rPr>
                <w:rFonts w:ascii="Arial" w:cs="Arial" w:eastAsia="Arial" w:hAnsi="Arial"/>
                <w:sz w:val="14"/>
                <w:szCs w:val="14"/>
                <w:color w:val="auto"/>
              </w:rPr>
              <w:t>Nov 30, 2018</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2017</w:t>
            </w:r>
          </w:p>
        </w:tc>
        <w:tc>
          <w:tcPr>
            <w:tcW w:w="1240" w:type="dxa"/>
            <w:vAlign w:val="bottom"/>
            <w:gridSpan w:val="2"/>
          </w:tcPr>
          <w:p>
            <w:pPr>
              <w:ind w:left="180"/>
              <w:spacing w:after="0"/>
              <w:rPr>
                <w:sz w:val="20"/>
                <w:szCs w:val="20"/>
                <w:color w:val="auto"/>
              </w:rPr>
            </w:pPr>
            <w:r>
              <w:rPr>
                <w:rFonts w:ascii="Arial" w:cs="Arial" w:eastAsia="Arial" w:hAnsi="Arial"/>
                <w:sz w:val="14"/>
                <w:szCs w:val="14"/>
                <w:color w:val="auto"/>
              </w:rPr>
              <w:t>Nov 30, 2018</w:t>
            </w:r>
          </w:p>
        </w:tc>
        <w:tc>
          <w:tcPr>
            <w:tcW w:w="1140" w:type="dxa"/>
            <w:vAlign w:val="bottom"/>
          </w:tcPr>
          <w:p>
            <w:pPr>
              <w:jc w:val="right"/>
              <w:ind w:right="94"/>
              <w:spacing w:after="0"/>
              <w:rPr>
                <w:sz w:val="20"/>
                <w:szCs w:val="20"/>
                <w:color w:val="auto"/>
              </w:rPr>
            </w:pPr>
            <w:r>
              <w:rPr>
                <w:rFonts w:ascii="Arial" w:cs="Arial" w:eastAsia="Arial" w:hAnsi="Arial"/>
                <w:sz w:val="14"/>
                <w:szCs w:val="14"/>
                <w:color w:val="auto"/>
              </w:rPr>
              <w:t>Nov 30, 2017</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36,983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339</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38,117</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38,131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excluded as their inclusion would be anti-dilutive</w:t>
            </w:r>
          </w:p>
        </w:tc>
        <w:tc>
          <w:tcPr>
            <w:tcW w:w="1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1,095</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229"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2017</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Vascular Interventions &amp; Therapies</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6"/>
              <w:spacing w:after="0"/>
              <w:rPr>
                <w:sz w:val="20"/>
                <w:szCs w:val="20"/>
                <w:color w:val="auto"/>
              </w:rPr>
            </w:pPr>
            <w:r>
              <w:rPr>
                <w:rFonts w:ascii="Arial" w:cs="Arial" w:eastAsia="Arial" w:hAnsi="Arial"/>
                <w:sz w:val="18"/>
                <w:szCs w:val="18"/>
                <w:color w:val="auto"/>
              </w:rPr>
              <w:t>52,494</w:t>
            </w:r>
          </w:p>
        </w:tc>
        <w:tc>
          <w:tcPr>
            <w:tcW w:w="10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4"/>
              <w:spacing w:after="0"/>
              <w:rPr>
                <w:sz w:val="20"/>
                <w:szCs w:val="20"/>
                <w:color w:val="auto"/>
              </w:rPr>
            </w:pPr>
            <w:r>
              <w:rPr>
                <w:rFonts w:ascii="Arial" w:cs="Arial" w:eastAsia="Arial" w:hAnsi="Arial"/>
                <w:sz w:val="18"/>
                <w:szCs w:val="18"/>
                <w:color w:val="auto"/>
              </w:rPr>
              <w:t>51,368</w:t>
            </w:r>
          </w:p>
        </w:tc>
        <w:tc>
          <w:tcPr>
            <w:tcW w:w="100" w:type="dxa"/>
            <w:vAlign w:val="bottom"/>
          </w:tcPr>
          <w:p>
            <w:pPr>
              <w:spacing w:after="0"/>
              <w:rPr>
                <w:sz w:val="21"/>
                <w:szCs w:val="2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6"/>
              <w:spacing w:after="0"/>
              <w:rPr>
                <w:sz w:val="20"/>
                <w:szCs w:val="20"/>
                <w:color w:val="auto"/>
              </w:rPr>
            </w:pPr>
            <w:r>
              <w:rPr>
                <w:rFonts w:ascii="Arial" w:cs="Arial" w:eastAsia="Arial" w:hAnsi="Arial"/>
                <w:sz w:val="18"/>
                <w:szCs w:val="18"/>
                <w:color w:val="auto"/>
              </w:rPr>
              <w:t>102,488</w:t>
            </w:r>
          </w:p>
        </w:tc>
        <w:tc>
          <w:tcPr>
            <w:tcW w:w="100" w:type="dxa"/>
            <w:vAlign w:val="bottom"/>
          </w:tcPr>
          <w:p>
            <w:pPr>
              <w:spacing w:after="0"/>
              <w:rPr>
                <w:sz w:val="21"/>
                <w:szCs w:val="2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101,234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Vascular Access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47,513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45,812</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Oncology</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12,764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25,071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91,503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176,843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172,117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net sales by geographic area based on external customer location: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color w:val="auto"/>
              </w:rPr>
              <w:t>Six Months Ended</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40" w:type="dxa"/>
            <w:vAlign w:val="bottom"/>
          </w:tcPr>
          <w:p>
            <w:pPr>
              <w:spacing w:after="0"/>
              <w:rPr>
                <w:sz w:val="22"/>
                <w:szCs w:val="22"/>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color w:val="auto"/>
                <w:w w:val="93"/>
              </w:rPr>
              <w:t>Nov 30, 2017</w:t>
            </w: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71,883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68,301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139,567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137,232</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34,885</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91,503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86,706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176,843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172,117</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27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Company's financial instruments include cash and cash equivalents, marketable securities,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the Company's marketable securities, which are comprised of auction rate securities, and contingent consideration.</w:t>
      </w:r>
    </w:p>
    <w:p>
      <w:pPr>
        <w:spacing w:after="0" w:line="18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 as of November 30, 2018 and May 31,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w w:val="94"/>
              </w:rPr>
              <w:t>Fair Value at November</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30, 2018</w:t>
            </w:r>
          </w:p>
        </w:tc>
        <w:tc>
          <w:tcPr>
            <w:tcW w:w="0" w:type="dxa"/>
            <w:vAlign w:val="bottom"/>
          </w:tcPr>
          <w:p>
            <w:pPr>
              <w:spacing w:after="0"/>
              <w:rPr>
                <w:sz w:val="1"/>
                <w:szCs w:val="1"/>
                <w:color w:val="auto"/>
              </w:rPr>
            </w:pPr>
          </w:p>
        </w:tc>
      </w:tr>
      <w:tr>
        <w:trPr>
          <w:trHeight w:val="264"/>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2"/>
                <w:szCs w:val="22"/>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4"/>
            <w:vMerge w:val="restart"/>
          </w:tcPr>
          <w:p>
            <w:pPr>
              <w:ind w:left="40"/>
              <w:spacing w:after="0" w:line="196" w:lineRule="exact"/>
              <w:rPr>
                <w:sz w:val="20"/>
                <w:szCs w:val="20"/>
                <w:color w:val="auto"/>
              </w:rPr>
            </w:pPr>
            <w:r>
              <w:rPr>
                <w:rFonts w:ascii="Arial" w:cs="Arial" w:eastAsia="Arial" w:hAnsi="Arial"/>
                <w:sz w:val="18"/>
                <w:szCs w:val="18"/>
                <w:color w:val="auto"/>
              </w:rPr>
              <w:t>Financial 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60" w:type="dxa"/>
            <w:vAlign w:val="bottom"/>
            <w:gridSpan w:val="4"/>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3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26,518</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26,518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150"/>
              <w:spacing w:after="0"/>
              <w:rPr>
                <w:sz w:val="20"/>
                <w:szCs w:val="20"/>
                <w:color w:val="auto"/>
              </w:rPr>
            </w:pPr>
            <w:r>
              <w:rPr>
                <w:rFonts w:ascii="Arial" w:cs="Arial" w:eastAsia="Arial" w:hAnsi="Arial"/>
                <w:sz w:val="14"/>
                <w:szCs w:val="14"/>
                <w:color w:val="auto"/>
                <w:w w:val="92"/>
              </w:rPr>
              <w:t>Fair Value Measurements using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Fair Value at May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2"/>
              </w:rPr>
              <w:t>inputs considered as: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4"/>
        </w:trPr>
        <w:tc>
          <w:tcPr>
            <w:tcW w:w="5160" w:type="dxa"/>
            <w:vAlign w:val="bottom"/>
            <w:gridSpan w:val="4"/>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2"/>
                <w:szCs w:val="22"/>
                <w:color w:val="auto"/>
              </w:rPr>
            </w:pPr>
          </w:p>
        </w:tc>
        <w:tc>
          <w:tcPr>
            <w:tcW w:w="1100" w:type="dxa"/>
            <w:vAlign w:val="bottom"/>
          </w:tcPr>
          <w:p>
            <w:pPr>
              <w:jc w:val="right"/>
              <w:ind w:right="373"/>
              <w:spacing w:after="0"/>
              <w:rPr>
                <w:sz w:val="20"/>
                <w:szCs w:val="20"/>
                <w:color w:val="auto"/>
              </w:rPr>
            </w:pPr>
            <w:r>
              <w:rPr>
                <w:rFonts w:ascii="Arial" w:cs="Arial" w:eastAsia="Arial" w:hAnsi="Arial"/>
                <w:sz w:val="14"/>
                <w:szCs w:val="14"/>
                <w:color w:val="auto"/>
              </w:rPr>
              <w:t>Level 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Level 2</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Level 3</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Financial Assets</w:t>
            </w:r>
          </w:p>
        </w:tc>
        <w:tc>
          <w:tcPr>
            <w:tcW w:w="3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3"/>
          </w:tcPr>
          <w:p>
            <w:pPr>
              <w:ind w:left="1100"/>
              <w:spacing w:after="0"/>
              <w:rPr>
                <w:sz w:val="20"/>
                <w:szCs w:val="20"/>
                <w:color w:val="auto"/>
              </w:rPr>
            </w:pPr>
            <w:r>
              <w:rPr>
                <w:rFonts w:ascii="Arial" w:cs="Arial" w:eastAsia="Arial" w:hAnsi="Arial"/>
                <w:sz w:val="18"/>
                <w:szCs w:val="18"/>
                <w:color w:val="auto"/>
              </w:rPr>
              <w:t>Total Financial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6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51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color w:val="auto"/>
              </w:rPr>
              <w:t>Financial Liabilities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368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Contingent consideration for acquisition earn outs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8"/>
                <w:szCs w:val="18"/>
                <w:color w:val="auto"/>
              </w:rPr>
              <w:t>Total Financial Liabilities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cash and cash equivalents.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2 and 3 for the three and six months ended November 30,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table below presents the changes in fair value components of Level 3 instruments in the three and six months ended November 30,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gridSpan w:val="4"/>
          </w:tcPr>
          <w:p>
            <w:pPr>
              <w:jc w:val="right"/>
              <w:ind w:right="1234"/>
              <w:spacing w:after="0"/>
              <w:rPr>
                <w:sz w:val="20"/>
                <w:szCs w:val="20"/>
                <w:color w:val="auto"/>
              </w:rPr>
            </w:pPr>
            <w:r>
              <w:rPr>
                <w:rFonts w:ascii="Arial" w:cs="Arial" w:eastAsia="Arial" w:hAnsi="Arial"/>
                <w:sz w:val="14"/>
                <w:szCs w:val="14"/>
                <w:color w:val="auto"/>
              </w:rPr>
              <w:t>Three Months Ended November 30, 2018</w:t>
            </w:r>
          </w:p>
        </w:tc>
      </w:tr>
      <w:tr>
        <w:trPr>
          <w:trHeight w:val="243"/>
        </w:trPr>
        <w:tc>
          <w:tcPr>
            <w:tcW w:w="6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Financial Assets</w:t>
            </w:r>
          </w:p>
        </w:tc>
        <w:tc>
          <w:tcPr>
            <w:tcW w:w="260" w:type="dxa"/>
            <w:vAlign w:val="bottom"/>
          </w:tcPr>
          <w:p>
            <w:pPr>
              <w:spacing w:after="0"/>
              <w:rPr>
                <w:sz w:val="21"/>
                <w:szCs w:val="21"/>
                <w:color w:val="auto"/>
              </w:rPr>
            </w:pPr>
          </w:p>
        </w:tc>
        <w:tc>
          <w:tcPr>
            <w:tcW w:w="2220" w:type="dxa"/>
            <w:vAlign w:val="bottom"/>
          </w:tcPr>
          <w:p>
            <w:pPr>
              <w:jc w:val="center"/>
              <w:ind w:right="174"/>
              <w:spacing w:after="0"/>
              <w:rPr>
                <w:sz w:val="20"/>
                <w:szCs w:val="20"/>
                <w:color w:val="auto"/>
              </w:rPr>
            </w:pPr>
            <w:r>
              <w:rPr>
                <w:rFonts w:ascii="Arial" w:cs="Arial" w:eastAsia="Arial" w:hAnsi="Arial"/>
                <w:sz w:val="18"/>
                <w:szCs w:val="18"/>
                <w:color w:val="auto"/>
                <w:w w:val="95"/>
              </w:rPr>
              <w:t>Financial Liabilities</w:t>
            </w:r>
          </w:p>
        </w:tc>
      </w:tr>
      <w:tr>
        <w:trPr>
          <w:trHeight w:val="27"/>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3"/>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Fair Value Measurements</w:t>
            </w:r>
          </w:p>
        </w:tc>
        <w:tc>
          <w:tcPr>
            <w:tcW w:w="260" w:type="dxa"/>
            <w:vAlign w:val="bottom"/>
          </w:tcPr>
          <w:p>
            <w:pPr>
              <w:spacing w:after="0"/>
              <w:rPr>
                <w:sz w:val="18"/>
                <w:szCs w:val="18"/>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89"/>
              </w:rPr>
              <w:t>Fair Value Measurements</w:t>
            </w: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5"/>
              </w:rPr>
              <w:t>Using Significant</w:t>
            </w:r>
          </w:p>
        </w:tc>
        <w:tc>
          <w:tcPr>
            <w:tcW w:w="260" w:type="dxa"/>
            <w:vAlign w:val="bottom"/>
          </w:tcPr>
          <w:p>
            <w:pPr>
              <w:spacing w:after="0"/>
              <w:rPr>
                <w:sz w:val="17"/>
                <w:szCs w:val="17"/>
                <w:color w:val="auto"/>
              </w:rPr>
            </w:pPr>
          </w:p>
        </w:tc>
        <w:tc>
          <w:tcPr>
            <w:tcW w:w="2220" w:type="dxa"/>
            <w:vAlign w:val="bottom"/>
          </w:tcPr>
          <w:p>
            <w:pPr>
              <w:jc w:val="center"/>
              <w:ind w:right="154"/>
              <w:spacing w:after="0"/>
              <w:rPr>
                <w:sz w:val="20"/>
                <w:szCs w:val="20"/>
                <w:color w:val="auto"/>
              </w:rPr>
            </w:pPr>
            <w:r>
              <w:rPr>
                <w:rFonts w:ascii="Arial" w:cs="Arial" w:eastAsia="Arial" w:hAnsi="Arial"/>
                <w:sz w:val="16"/>
                <w:szCs w:val="16"/>
                <w:color w:val="auto"/>
                <w:w w:val="95"/>
              </w:rPr>
              <w:t>Using Significant</w:t>
            </w: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Unobservable Inputs</w:t>
            </w:r>
          </w:p>
        </w:tc>
        <w:tc>
          <w:tcPr>
            <w:tcW w:w="260" w:type="dxa"/>
            <w:vAlign w:val="bottom"/>
          </w:tcPr>
          <w:p>
            <w:pPr>
              <w:spacing w:after="0"/>
              <w:rPr>
                <w:sz w:val="17"/>
                <w:szCs w:val="17"/>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92"/>
              </w:rPr>
              <w:t>Unobservable Inputs</w:t>
            </w:r>
          </w:p>
        </w:tc>
      </w:tr>
      <w:tr>
        <w:trPr>
          <w:trHeight w:val="233"/>
        </w:trPr>
        <w:tc>
          <w:tcPr>
            <w:tcW w:w="62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20"/>
                <w:szCs w:val="20"/>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(Level 3)</w:t>
            </w:r>
          </w:p>
        </w:tc>
        <w:tc>
          <w:tcPr>
            <w:tcW w:w="260" w:type="dxa"/>
            <w:vAlign w:val="bottom"/>
          </w:tcPr>
          <w:p>
            <w:pPr>
              <w:spacing w:after="0"/>
              <w:rPr>
                <w:sz w:val="20"/>
                <w:szCs w:val="20"/>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96"/>
              </w:rPr>
              <w:t>(Level 3)</w:t>
            </w:r>
          </w:p>
        </w:tc>
      </w:tr>
      <w:tr>
        <w:trPr>
          <w:trHeight w:val="250"/>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August 31, 2018</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3,973</w:t>
            </w:r>
          </w:p>
        </w:tc>
      </w:tr>
      <w:tr>
        <w:trPr>
          <w:trHeight w:val="229"/>
        </w:trPr>
        <w:tc>
          <w:tcPr>
            <w:tcW w:w="6200" w:type="dxa"/>
            <w:vAlign w:val="bottom"/>
          </w:tcPr>
          <w:p>
            <w:pPr>
              <w:ind w:left="380"/>
              <w:spacing w:after="0"/>
              <w:rPr>
                <w:sz w:val="20"/>
                <w:szCs w:val="20"/>
                <w:color w:val="auto"/>
              </w:rPr>
            </w:pPr>
            <w:r>
              <w:rPr>
                <w:rFonts w:ascii="Arial" w:cs="Arial" w:eastAsia="Arial" w:hAnsi="Arial"/>
                <w:sz w:val="18"/>
                <w:szCs w:val="18"/>
                <w:color w:val="auto"/>
                <w:w w:val="98"/>
              </w:rPr>
              <w:t>Contingent consideration liability recorded as the result of the acquisitions</w:t>
            </w: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(Note 2)</w:t>
            </w:r>
          </w:p>
        </w:tc>
        <w:tc>
          <w:tcPr>
            <w:tcW w:w="280" w:type="dxa"/>
            <w:vAlign w:val="bottom"/>
          </w:tcPr>
          <w:p>
            <w:pPr>
              <w:spacing w:after="0"/>
              <w:rPr>
                <w:sz w:val="20"/>
                <w:szCs w:val="20"/>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20" w:type="dxa"/>
            <w:vAlign w:val="bottom"/>
          </w:tcPr>
          <w:p>
            <w:pPr>
              <w:jc w:val="right"/>
              <w:ind w:right="14"/>
              <w:spacing w:after="0"/>
              <w:rPr>
                <w:sz w:val="20"/>
                <w:szCs w:val="20"/>
                <w:color w:val="auto"/>
              </w:rPr>
            </w:pPr>
            <w:r>
              <w:rPr>
                <w:rFonts w:ascii="Arial" w:cs="Arial" w:eastAsia="Arial" w:hAnsi="Arial"/>
                <w:sz w:val="18"/>
                <w:szCs w:val="18"/>
                <w:color w:val="auto"/>
              </w:rPr>
              <w:t>22,301</w:t>
            </w: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8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Balance, November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26,518</w:t>
            </w:r>
          </w:p>
        </w:tc>
      </w:tr>
      <w:tr>
        <w:trPr>
          <w:trHeight w:val="27"/>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gridSpan w:val="2"/>
          </w:tcPr>
          <w:p>
            <w:pPr>
              <w:spacing w:after="0" w:line="20" w:lineRule="exact"/>
              <w:rPr>
                <w:sz w:val="1"/>
                <w:szCs w:val="1"/>
                <w:color w:val="auto"/>
              </w:rPr>
            </w:pPr>
          </w:p>
        </w:tc>
      </w:tr>
      <w:tr>
        <w:trPr>
          <w:trHeight w:val="380"/>
        </w:trPr>
        <w:tc>
          <w:tcPr>
            <w:tcW w:w="6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4"/>
          </w:tcPr>
          <w:p>
            <w:pPr>
              <w:jc w:val="right"/>
              <w:ind w:right="1314"/>
              <w:spacing w:after="0"/>
              <w:rPr>
                <w:sz w:val="20"/>
                <w:szCs w:val="20"/>
                <w:color w:val="auto"/>
              </w:rPr>
            </w:pPr>
            <w:r>
              <w:rPr>
                <w:rFonts w:ascii="Arial" w:cs="Arial" w:eastAsia="Arial" w:hAnsi="Arial"/>
                <w:sz w:val="14"/>
                <w:szCs w:val="14"/>
                <w:color w:val="auto"/>
              </w:rPr>
              <w:t>Six Months Ended November 30, 2018</w:t>
            </w:r>
          </w:p>
        </w:tc>
      </w:tr>
      <w:tr>
        <w:trPr>
          <w:trHeight w:val="243"/>
        </w:trPr>
        <w:tc>
          <w:tcPr>
            <w:tcW w:w="6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Financial Assets</w:t>
            </w:r>
          </w:p>
        </w:tc>
        <w:tc>
          <w:tcPr>
            <w:tcW w:w="260" w:type="dxa"/>
            <w:vAlign w:val="bottom"/>
          </w:tcPr>
          <w:p>
            <w:pPr>
              <w:spacing w:after="0"/>
              <w:rPr>
                <w:sz w:val="21"/>
                <w:szCs w:val="21"/>
                <w:color w:val="auto"/>
              </w:rPr>
            </w:pPr>
          </w:p>
        </w:tc>
        <w:tc>
          <w:tcPr>
            <w:tcW w:w="2220" w:type="dxa"/>
            <w:vAlign w:val="bottom"/>
          </w:tcPr>
          <w:p>
            <w:pPr>
              <w:jc w:val="center"/>
              <w:ind w:right="174"/>
              <w:spacing w:after="0"/>
              <w:rPr>
                <w:sz w:val="20"/>
                <w:szCs w:val="20"/>
                <w:color w:val="auto"/>
              </w:rPr>
            </w:pPr>
            <w:r>
              <w:rPr>
                <w:rFonts w:ascii="Arial" w:cs="Arial" w:eastAsia="Arial" w:hAnsi="Arial"/>
                <w:sz w:val="18"/>
                <w:szCs w:val="18"/>
                <w:color w:val="auto"/>
                <w:w w:val="95"/>
              </w:rPr>
              <w:t>Financial Liabilities</w:t>
            </w:r>
          </w:p>
        </w:tc>
      </w:tr>
      <w:tr>
        <w:trPr>
          <w:trHeight w:val="27"/>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3"/>
        </w:trPr>
        <w:tc>
          <w:tcPr>
            <w:tcW w:w="6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Fair Value Measurements</w:t>
            </w:r>
          </w:p>
        </w:tc>
        <w:tc>
          <w:tcPr>
            <w:tcW w:w="260" w:type="dxa"/>
            <w:vAlign w:val="bottom"/>
          </w:tcPr>
          <w:p>
            <w:pPr>
              <w:spacing w:after="0"/>
              <w:rPr>
                <w:sz w:val="18"/>
                <w:szCs w:val="18"/>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89"/>
              </w:rPr>
              <w:t>Fair Value Measurements</w:t>
            </w: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5"/>
              </w:rPr>
              <w:t>Using Significant</w:t>
            </w:r>
          </w:p>
        </w:tc>
        <w:tc>
          <w:tcPr>
            <w:tcW w:w="260" w:type="dxa"/>
            <w:vAlign w:val="bottom"/>
          </w:tcPr>
          <w:p>
            <w:pPr>
              <w:spacing w:after="0"/>
              <w:rPr>
                <w:sz w:val="17"/>
                <w:szCs w:val="17"/>
                <w:color w:val="auto"/>
              </w:rPr>
            </w:pPr>
          </w:p>
        </w:tc>
        <w:tc>
          <w:tcPr>
            <w:tcW w:w="2220" w:type="dxa"/>
            <w:vAlign w:val="bottom"/>
          </w:tcPr>
          <w:p>
            <w:pPr>
              <w:jc w:val="center"/>
              <w:ind w:right="154"/>
              <w:spacing w:after="0"/>
              <w:rPr>
                <w:sz w:val="20"/>
                <w:szCs w:val="20"/>
                <w:color w:val="auto"/>
              </w:rPr>
            </w:pPr>
            <w:r>
              <w:rPr>
                <w:rFonts w:ascii="Arial" w:cs="Arial" w:eastAsia="Arial" w:hAnsi="Arial"/>
                <w:sz w:val="16"/>
                <w:szCs w:val="16"/>
                <w:color w:val="auto"/>
                <w:w w:val="95"/>
              </w:rPr>
              <w:t>Using Significant</w:t>
            </w:r>
          </w:p>
        </w:tc>
      </w:tr>
      <w:tr>
        <w:trPr>
          <w:trHeight w:val="203"/>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Unobservable Inputs</w:t>
            </w:r>
          </w:p>
        </w:tc>
        <w:tc>
          <w:tcPr>
            <w:tcW w:w="260" w:type="dxa"/>
            <w:vAlign w:val="bottom"/>
          </w:tcPr>
          <w:p>
            <w:pPr>
              <w:spacing w:after="0"/>
              <w:rPr>
                <w:sz w:val="17"/>
                <w:szCs w:val="17"/>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92"/>
              </w:rPr>
              <w:t>Unobservable Inputs</w:t>
            </w:r>
          </w:p>
        </w:tc>
      </w:tr>
      <w:tr>
        <w:trPr>
          <w:trHeight w:val="206"/>
        </w:trPr>
        <w:tc>
          <w:tcPr>
            <w:tcW w:w="6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6"/>
                <w:szCs w:val="16"/>
                <w:color w:val="auto"/>
                <w:w w:val="93"/>
              </w:rPr>
              <w:t>(Level 3)</w:t>
            </w:r>
          </w:p>
        </w:tc>
        <w:tc>
          <w:tcPr>
            <w:tcW w:w="260" w:type="dxa"/>
            <w:vAlign w:val="bottom"/>
          </w:tcPr>
          <w:p>
            <w:pPr>
              <w:spacing w:after="0"/>
              <w:rPr>
                <w:sz w:val="17"/>
                <w:szCs w:val="17"/>
                <w:color w:val="auto"/>
              </w:rPr>
            </w:pPr>
          </w:p>
        </w:tc>
        <w:tc>
          <w:tcPr>
            <w:tcW w:w="2220" w:type="dxa"/>
            <w:vAlign w:val="bottom"/>
          </w:tcPr>
          <w:p>
            <w:pPr>
              <w:jc w:val="center"/>
              <w:ind w:right="174"/>
              <w:spacing w:after="0"/>
              <w:rPr>
                <w:sz w:val="20"/>
                <w:szCs w:val="20"/>
                <w:color w:val="auto"/>
              </w:rPr>
            </w:pPr>
            <w:r>
              <w:rPr>
                <w:rFonts w:ascii="Arial" w:cs="Arial" w:eastAsia="Arial" w:hAnsi="Arial"/>
                <w:sz w:val="16"/>
                <w:szCs w:val="16"/>
                <w:color w:val="auto"/>
                <w:w w:val="96"/>
              </w:rPr>
              <w:t>(Level 3)</w:t>
            </w:r>
          </w:p>
        </w:tc>
      </w:tr>
      <w:tr>
        <w:trPr>
          <w:trHeight w:val="33"/>
        </w:trPr>
        <w:tc>
          <w:tcPr>
            <w:tcW w:w="6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May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3,261</w:t>
            </w:r>
          </w:p>
        </w:tc>
      </w:tr>
      <w:tr>
        <w:trPr>
          <w:trHeight w:val="229"/>
        </w:trPr>
        <w:tc>
          <w:tcPr>
            <w:tcW w:w="6200" w:type="dxa"/>
            <w:vAlign w:val="bottom"/>
          </w:tcPr>
          <w:p>
            <w:pPr>
              <w:ind w:left="380"/>
              <w:spacing w:after="0"/>
              <w:rPr>
                <w:sz w:val="20"/>
                <w:szCs w:val="20"/>
                <w:color w:val="auto"/>
              </w:rPr>
            </w:pPr>
            <w:r>
              <w:rPr>
                <w:rFonts w:ascii="Arial" w:cs="Arial" w:eastAsia="Arial" w:hAnsi="Arial"/>
                <w:sz w:val="18"/>
                <w:szCs w:val="18"/>
                <w:color w:val="auto"/>
                <w:w w:val="98"/>
              </w:rPr>
              <w:t>Contingent consideration liability recorded as the result of the acquisitions</w:t>
            </w: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6200" w:type="dxa"/>
            <w:vAlign w:val="bottom"/>
          </w:tcPr>
          <w:p>
            <w:pPr>
              <w:ind w:left="380"/>
              <w:spacing w:after="0"/>
              <w:rPr>
                <w:sz w:val="20"/>
                <w:szCs w:val="20"/>
                <w:color w:val="auto"/>
              </w:rPr>
            </w:pPr>
            <w:r>
              <w:rPr>
                <w:rFonts w:ascii="Arial" w:cs="Arial" w:eastAsia="Arial" w:hAnsi="Arial"/>
                <w:sz w:val="18"/>
                <w:szCs w:val="18"/>
                <w:color w:val="auto"/>
              </w:rPr>
              <w:t>(Note 2)</w:t>
            </w:r>
          </w:p>
        </w:tc>
        <w:tc>
          <w:tcPr>
            <w:tcW w:w="280" w:type="dxa"/>
            <w:vAlign w:val="bottom"/>
          </w:tcPr>
          <w:p>
            <w:pPr>
              <w:spacing w:after="0"/>
              <w:rPr>
                <w:sz w:val="20"/>
                <w:szCs w:val="20"/>
                <w:color w:val="auto"/>
              </w:rPr>
            </w:pPr>
          </w:p>
        </w:tc>
        <w:tc>
          <w:tcPr>
            <w:tcW w:w="2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20" w:type="dxa"/>
            <w:vAlign w:val="bottom"/>
          </w:tcPr>
          <w:p>
            <w:pPr>
              <w:jc w:val="right"/>
              <w:ind w:right="14"/>
              <w:spacing w:after="0"/>
              <w:rPr>
                <w:sz w:val="20"/>
                <w:szCs w:val="20"/>
                <w:color w:val="auto"/>
              </w:rPr>
            </w:pPr>
            <w:r>
              <w:rPr>
                <w:rFonts w:ascii="Arial" w:cs="Arial" w:eastAsia="Arial" w:hAnsi="Arial"/>
                <w:sz w:val="18"/>
                <w:szCs w:val="18"/>
                <w:color w:val="auto"/>
              </w:rPr>
              <w:t>25,101</w:t>
            </w: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present value of contingent consideration (1)</w:t>
            </w:r>
          </w:p>
        </w:tc>
        <w:tc>
          <w:tcPr>
            <w:tcW w:w="2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Fair market value adjustments</w:t>
            </w:r>
          </w:p>
        </w:tc>
        <w:tc>
          <w:tcPr>
            <w:tcW w:w="280" w:type="dxa"/>
            <w:vAlign w:val="bottom"/>
          </w:tcPr>
          <w:p>
            <w:pPr>
              <w:spacing w:after="0"/>
              <w:rPr>
                <w:sz w:val="21"/>
                <w:szCs w:val="21"/>
                <w:color w:val="auto"/>
              </w:rPr>
            </w:pPr>
          </w:p>
        </w:tc>
        <w:tc>
          <w:tcPr>
            <w:tcW w:w="222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w:t>
            </w:r>
          </w:p>
        </w:tc>
        <w:tc>
          <w:tcPr>
            <w:tcW w:w="28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color w:val="auto"/>
              </w:rPr>
              <w:t>Balance, November 30, 2018</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26,518</w:t>
            </w:r>
          </w:p>
        </w:tc>
      </w:tr>
      <w:tr>
        <w:trPr>
          <w:trHeight w:val="27"/>
        </w:trPr>
        <w:tc>
          <w:tcPr>
            <w:tcW w:w="6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Short-term investments consist of highly liquid investments in municipal bonds that reset on a weekly basis and can be called at any point in time.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75" w:lineRule="exact"/>
        <w:rPr>
          <w:sz w:val="20"/>
          <w:szCs w:val="20"/>
          <w:color w:val="auto"/>
        </w:rPr>
      </w:pPr>
    </w:p>
    <w:p>
      <w:pPr>
        <w:ind w:right="600" w:firstLine="405"/>
        <w:spacing w:after="0" w:line="264" w:lineRule="auto"/>
        <w:rPr>
          <w:sz w:val="20"/>
          <w:szCs w:val="20"/>
          <w:color w:val="auto"/>
        </w:rPr>
      </w:pPr>
      <w:r>
        <w:rPr>
          <w:rFonts w:ascii="Arial" w:cs="Arial" w:eastAsia="Arial" w:hAnsi="Arial"/>
          <w:sz w:val="18"/>
          <w:szCs w:val="18"/>
          <w:color w:val="auto"/>
        </w:rPr>
        <w:t>Marketable securities consist solely of an auction rate security. Assumptions associated with the auction rate security include the interest rate benchmarks, the probability of full repayment of the principal considering the credit quality and guarantees in place, and the rate of return required by investors to own such securities given the current liquidity risk.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income.</w:t>
      </w:r>
    </w:p>
    <w:p>
      <w:pPr>
        <w:spacing w:after="0" w:line="24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Increases or decreases in any valuation inputs in isolation may result in a significantly lower or higher fair value measurement in the future.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recurring Level 3 fair value measurements of the contingent consideration liabilities include the following significant unobservable inputs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color w:val="auto"/>
              </w:rPr>
              <w:t>Fair Value</w:t>
            </w:r>
          </w:p>
        </w:tc>
        <w:tc>
          <w:tcPr>
            <w:tcW w:w="120" w:type="dxa"/>
            <w:vAlign w:val="bottom"/>
          </w:tcPr>
          <w:p>
            <w:pPr>
              <w:spacing w:after="0"/>
              <w:rPr>
                <w:sz w:val="16"/>
                <w:szCs w:val="16"/>
                <w:color w:val="auto"/>
              </w:rPr>
            </w:pPr>
          </w:p>
        </w:tc>
        <w:tc>
          <w:tcPr>
            <w:tcW w:w="2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Valuation Technique</w:t>
            </w:r>
          </w:p>
        </w:tc>
        <w:tc>
          <w:tcPr>
            <w:tcW w:w="120" w:type="dxa"/>
            <w:vAlign w:val="bottom"/>
          </w:tcPr>
          <w:p>
            <w:pPr>
              <w:spacing w:after="0"/>
              <w:rPr>
                <w:sz w:val="16"/>
                <w:szCs w:val="16"/>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Unobservable Input</w:t>
            </w:r>
          </w:p>
        </w:tc>
        <w:tc>
          <w:tcPr>
            <w:tcW w:w="100" w:type="dxa"/>
            <w:vAlign w:val="bottom"/>
          </w:tcPr>
          <w:p>
            <w:pPr>
              <w:spacing w:after="0"/>
              <w:rPr>
                <w:sz w:val="16"/>
                <w:szCs w:val="16"/>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Range</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Revenue based payments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17,842</w:t>
            </w: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Discounted cash flow</w:t>
            </w:r>
          </w:p>
        </w:tc>
        <w:tc>
          <w:tcPr>
            <w:tcW w:w="3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4% - 5%</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Probability of payment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66% - 100%</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Projected fiscal year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2019 - 2023</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Technical milestones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5,855</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Estimated probability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year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2020</w:t>
            </w:r>
          </w:p>
        </w:tc>
      </w:tr>
      <w:tr>
        <w:trPr>
          <w:trHeight w:val="27"/>
        </w:trPr>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default holdback</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Estimated probability</w:t>
            </w: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Estimated probability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r>
      <w:tr>
        <w:trPr>
          <w:trHeight w:val="243"/>
        </w:trPr>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Projected fiscal year of payment</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
        </w:trPr>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26,518</w:t>
            </w:r>
          </w:p>
        </w:tc>
        <w:tc>
          <w:tcPr>
            <w:tcW w:w="1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At November 30, 2018, the range of estimated potential undiscounted future contingent consideration that the Company expects to pay as a result of all completed acquisitions is approximately $31.1 million to $41.1 million. The milestones, including revenue projections and technical milestones, associated with the contingent consideration must be reached in future periods ranging from fiscal years 2019 to 2023 in order for the associated consideration to be paid.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MARKETABLE SECURITIES</w:t>
      </w:r>
    </w:p>
    <w:p>
      <w:pPr>
        <w:spacing w:after="0" w:line="121"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Marketable securities, which can be government agency bonds, auction rate investments or corporate commercial paper, are classified as “available-for-sale securities” and are reported at fair value, with unrealized gains and losses excluded from operations and reported as accumulated other comprehensive income (loss), net of related tax effects, in stockholders' equity. Cost is determined using the specific identification method. The Company holds an investment in an auction rate security that is high credit quality and generally achieved with municipal bond insurance. Sell orders for any security traded through an auction process could exceed bids and, in such cases, the auction fails and the Company may be unable to liquidate its position in the security in the near term. The Company has not participated in any recent auctions. As of November 30, 2018 and May 31, 2018, the Company had $1.4 million and $1.3 million, respectively, in investments in one auction rate security. The authorities are current in their interest payments on the security. The auction rate security will mature in 2029.</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November 30, 2018 and May 31, 2018, marketable securities consisted of the following:</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color w:val="auto"/>
                <w:w w:val="94"/>
              </w:rPr>
              <w:t>November 30, 2018</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ind w:left="462"/>
              <w:spacing w:after="0"/>
              <w:rPr>
                <w:sz w:val="20"/>
                <w:szCs w:val="20"/>
                <w:color w:val="auto"/>
              </w:rPr>
            </w:pPr>
            <w:r>
              <w:rPr>
                <w:rFonts w:ascii="Arial" w:cs="Arial" w:eastAsia="Arial" w:hAnsi="Arial"/>
                <w:sz w:val="14"/>
                <w:szCs w:val="14"/>
                <w:color w:val="auto"/>
                <w:w w:val="94"/>
              </w:rPr>
              <w:t>May 31, 2018</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7"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3"/>
                <w:szCs w:val="13"/>
                <w:color w:val="auto"/>
              </w:rPr>
            </w:pPr>
          </w:p>
        </w:tc>
        <w:tc>
          <w:tcPr>
            <w:tcW w:w="1100" w:type="dxa"/>
            <w:vAlign w:val="bottom"/>
            <w:gridSpan w:val="2"/>
          </w:tcPr>
          <w:p>
            <w:pPr>
              <w:jc w:val="center"/>
              <w:ind w:right="380"/>
              <w:spacing w:after="0" w:line="157" w:lineRule="exact"/>
              <w:rPr>
                <w:sz w:val="20"/>
                <w:szCs w:val="20"/>
                <w:color w:val="auto"/>
              </w:rPr>
            </w:pPr>
            <w:r>
              <w:rPr>
                <w:rFonts w:ascii="Arial" w:cs="Arial" w:eastAsia="Arial" w:hAnsi="Arial"/>
                <w:sz w:val="14"/>
                <w:szCs w:val="14"/>
                <w:color w:val="auto"/>
                <w:w w:val="85"/>
              </w:rPr>
              <w:t>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Amortized</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Unrealized</w:t>
            </w:r>
          </w:p>
        </w:tc>
        <w:tc>
          <w:tcPr>
            <w:tcW w:w="26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cost</w:t>
            </w:r>
          </w:p>
        </w:tc>
        <w:tc>
          <w:tcPr>
            <w:tcW w:w="22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Gains</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color w:val="auto"/>
                <w:w w:val="90"/>
              </w:rPr>
              <w:t>Fair Value</w:t>
            </w:r>
          </w:p>
        </w:tc>
        <w:tc>
          <w:tcPr>
            <w:tcW w:w="0" w:type="dxa"/>
            <w:vAlign w:val="bottom"/>
          </w:tcPr>
          <w:p>
            <w:pPr>
              <w:spacing w:after="0"/>
              <w:rPr>
                <w:sz w:val="1"/>
                <w:szCs w:val="1"/>
                <w:color w:val="auto"/>
              </w:rPr>
            </w:pPr>
          </w:p>
        </w:tc>
      </w:tr>
      <w:tr>
        <w:trPr>
          <w:trHeight w:val="230"/>
        </w:trPr>
        <w:tc>
          <w:tcPr>
            <w:tcW w:w="41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60" w:type="dxa"/>
            <w:vAlign w:val="bottom"/>
          </w:tcPr>
          <w:p>
            <w:pPr>
              <w:spacing w:after="0"/>
              <w:rPr>
                <w:sz w:val="3"/>
                <w:szCs w:val="3"/>
                <w:color w:val="auto"/>
              </w:rPr>
            </w:pPr>
          </w:p>
        </w:tc>
        <w:tc>
          <w:tcPr>
            <w:tcW w:w="25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Government agency obligations</w:t>
            </w:r>
          </w:p>
        </w:tc>
        <w:tc>
          <w:tcPr>
            <w:tcW w:w="23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1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40000 claims subject to 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The PTO denied all three Rehearing Requests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An oral hearing in the case was held on September 5, 2018 and the court rendered its decision on September 28, 2018. The Federal Circuit affirmed that claims 1-5 and 10 of the ‘615 patent were invalid. The Federal Circuit also affirmed the Board’s decision that claims 6-7 of the 615 patent and 1-4 of the 302 patent were valid in light of the asserted prior art references. The Federal Circuit reversed the PTAB’s claim construction ruling and remanded for consideration of obviousness for the remaining claims under the new claim construction ruling and further findings with respect to whether one of the asserted references qualified as a printed publication. The parties are awaiting further instruction for proceeding from the USPTO in light of the decision. Meanwhile, the Utah Action has been stayed pending final resolution of the USPTO process.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96"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claiming certain of the Company's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The parties completed briefing on their respective case dispositive motions on April 27, 2018. On June 26, 2018, the Court denied all case dispositive motions, ruling that issues of material fact remained in dispute. On July 9, 2018, the Court continued the trial until March 2019. Meanwhile, a further Markman hearing is scheduled for January 9, 2019 to resolve two claim construction issues which are needed before the case goes to trial.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280" w:firstLine="392"/>
        <w:spacing w:after="0" w:line="259" w:lineRule="auto"/>
        <w:rPr>
          <w:sz w:val="20"/>
          <w:szCs w:val="20"/>
          <w:color w:val="auto"/>
        </w:rPr>
      </w:pPr>
      <w:r>
        <w:rPr>
          <w:rFonts w:ascii="Arial" w:cs="Arial" w:eastAsia="Arial" w:hAnsi="Arial"/>
          <w:sz w:val="18"/>
          <w:szCs w:val="18"/>
          <w:color w:val="auto"/>
        </w:rPr>
        <w:t>In June 2014, the Company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The Company fully cooperated with this investigation.</w:t>
      </w:r>
    </w:p>
    <w:p>
      <w:pPr>
        <w:spacing w:after="0" w:line="133" w:lineRule="exact"/>
        <w:rPr>
          <w:sz w:val="20"/>
          <w:szCs w:val="20"/>
          <w:color w:val="auto"/>
        </w:rPr>
      </w:pPr>
    </w:p>
    <w:p>
      <w:pPr>
        <w:ind w:right="120" w:firstLine="392"/>
        <w:spacing w:after="0" w:line="264" w:lineRule="auto"/>
        <w:rPr>
          <w:sz w:val="20"/>
          <w:szCs w:val="20"/>
          <w:color w:val="auto"/>
        </w:rPr>
      </w:pPr>
      <w:r>
        <w:rPr>
          <w:rFonts w:ascii="Arial" w:cs="Arial" w:eastAsia="Arial" w:hAnsi="Arial"/>
          <w:sz w:val="18"/>
          <w:szCs w:val="18"/>
          <w:color w:val="auto"/>
        </w:rPr>
        <w:t>In April 2015, the Company received a subpoena from the DOJ requesting documents in relation to a criminal and civil investigation the DOJ is conducting regarding purported promotion of certain of the Company's VenaCure EVLT products for un-cleared indications. The Company fully cooperated with this investigation.</w:t>
      </w:r>
    </w:p>
    <w:p>
      <w:pPr>
        <w:spacing w:after="0" w:line="12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 plus interest. In July 2018, the Company executed the final settlements and paid approximately $12.7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and six months ended November 30, 2018 and 2017 acquisition, restructuring and other items, net consisted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color w:val="auto"/>
              </w:rPr>
              <w:t>Six Months Ended</w:t>
            </w:r>
          </w:p>
        </w:tc>
      </w:tr>
      <w:tr>
        <w:trPr>
          <w:trHeight w:val="263"/>
        </w:trPr>
        <w:tc>
          <w:tcPr>
            <w:tcW w:w="60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2018</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Nov 30, 2017</w:t>
            </w:r>
          </w:p>
        </w:tc>
        <w:tc>
          <w:tcPr>
            <w:tcW w:w="18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color w:val="auto"/>
              </w:rPr>
              <w:t>Nov 30, 2018</w:t>
            </w:r>
          </w:p>
        </w:tc>
        <w:tc>
          <w:tcPr>
            <w:tcW w:w="180" w:type="dxa"/>
            <w:vAlign w:val="bottom"/>
          </w:tcPr>
          <w:p>
            <w:pPr>
              <w:spacing w:after="0"/>
              <w:rPr>
                <w:sz w:val="22"/>
                <w:szCs w:val="22"/>
                <w:color w:val="auto"/>
              </w:rPr>
            </w:pPr>
          </w:p>
        </w:tc>
        <w:tc>
          <w:tcPr>
            <w:tcW w:w="1080" w:type="dxa"/>
            <w:vAlign w:val="bottom"/>
          </w:tcPr>
          <w:p>
            <w:pPr>
              <w:jc w:val="right"/>
              <w:ind w:right="153"/>
              <w:spacing w:after="0"/>
              <w:rPr>
                <w:sz w:val="20"/>
                <w:szCs w:val="20"/>
                <w:color w:val="auto"/>
              </w:rPr>
            </w:pPr>
            <w:r>
              <w:rPr>
                <w:rFonts w:ascii="Arial" w:cs="Arial" w:eastAsia="Arial" w:hAnsi="Arial"/>
                <w:sz w:val="14"/>
                <w:szCs w:val="14"/>
                <w:color w:val="auto"/>
                <w:w w:val="98"/>
              </w:rPr>
              <w:t>Nov 30, 2017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Legal*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3,747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3,848</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Mergers and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w:t>
            </w: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2,636</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2,728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7,150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7,755</w:t>
            </w: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*Legal expenses related to litigation that is outside the normal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Consolidation</w:t>
      </w:r>
    </w:p>
    <w:p>
      <w:pPr>
        <w:spacing w:after="0" w:line="14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February 1, 2017, the Company announced to employees an operational consolidation plan (the “plan”) to consolidate its manufacturing facilities in Manchester, GA and Denmead, UK into the Glens Falls and Queensbury, NY facilities. This plan will streamline and optimize the manufacturing functions into one centralized location increasing the utilization of the Glens Falls and Queensbury facilities, optimizing inventory and reducing cost of goods sold through savings in overhead expenses and direct labor. The restructuring activities associated with the plan were completed in the fourth quarter of fiscal year 2018 with immaterial costs to be incurred in fiscal year 2019.</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The Company recorded restructuring charges related to the plan during the three and six months ended November 30, 2018 of $0.1 million and $0.3 million, respectively. During the three and six months ended November 30, 2017, the Company recorded $1.4 million and $2.6 million, respectively. Total restructuring charges recorded to date are $6.2 million. Termination benefits are only earned if an employee stays until their termination date; therefore, the expenses related to termination benefits are being recorded ratably over the service period.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restructuring reserve for the three and six months ended November 30, 2018:</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4"/>
                <w:szCs w:val="14"/>
                <w:color w:val="auto"/>
              </w:rPr>
              <w:t>Three Months Ended November 30, 2018</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56"/>
        </w:trPr>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w w:val="94"/>
              </w:rPr>
              <w:t>Contract Cancellation</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436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color w:val="auto"/>
              </w:rPr>
              <w:t>Termination Benefits</w:t>
            </w:r>
          </w:p>
        </w:tc>
        <w:tc>
          <w:tcPr>
            <w:tcW w:w="1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Plant Consolidation</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Regulatory Filings</w:t>
            </w:r>
          </w:p>
        </w:tc>
        <w:tc>
          <w:tcPr>
            <w:tcW w:w="400" w:type="dxa"/>
            <w:vAlign w:val="bottom"/>
          </w:tcPr>
          <w:p>
            <w:pPr>
              <w:spacing w:after="0"/>
              <w:rPr>
                <w:sz w:val="16"/>
                <w:szCs w:val="16"/>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Costs</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Total</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31, 2018</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Charges</w:t>
            </w:r>
          </w:p>
        </w:tc>
        <w:tc>
          <w:tcPr>
            <w:tcW w:w="5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128</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Balance at November 30, 2018</w:t>
            </w: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21"/>
        </w:trPr>
        <w:tc>
          <w:tcPr>
            <w:tcW w:w="43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4"/>
                <w:szCs w:val="14"/>
                <w:color w:val="auto"/>
              </w:rPr>
              <w:t>Six Months Ended November 30, 2018</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56"/>
        </w:trPr>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line="157" w:lineRule="exact"/>
              <w:rPr>
                <w:sz w:val="20"/>
                <w:szCs w:val="20"/>
                <w:color w:val="auto"/>
              </w:rPr>
            </w:pPr>
            <w:r>
              <w:rPr>
                <w:rFonts w:ascii="Arial" w:cs="Arial" w:eastAsia="Arial" w:hAnsi="Arial"/>
                <w:sz w:val="14"/>
                <w:szCs w:val="14"/>
                <w:color w:val="auto"/>
                <w:w w:val="94"/>
              </w:rPr>
              <w:t>Contract Cancellation</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8"/>
        </w:trPr>
        <w:tc>
          <w:tcPr>
            <w:tcW w:w="436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color w:val="auto"/>
              </w:rPr>
              <w:t>Termination Benefits</w:t>
            </w:r>
          </w:p>
        </w:tc>
        <w:tc>
          <w:tcPr>
            <w:tcW w:w="16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color w:val="auto"/>
              </w:rPr>
              <w:t>Plant Consolidation</w:t>
            </w:r>
          </w:p>
        </w:tc>
        <w:tc>
          <w:tcPr>
            <w:tcW w:w="1380" w:type="dxa"/>
            <w:vAlign w:val="bottom"/>
            <w:gridSpan w:val="3"/>
          </w:tcPr>
          <w:p>
            <w:pPr>
              <w:ind w:left="100"/>
              <w:spacing w:after="0"/>
              <w:rPr>
                <w:sz w:val="20"/>
                <w:szCs w:val="20"/>
                <w:color w:val="auto"/>
              </w:rPr>
            </w:pPr>
            <w:r>
              <w:rPr>
                <w:rFonts w:ascii="Arial" w:cs="Arial" w:eastAsia="Arial" w:hAnsi="Arial"/>
                <w:sz w:val="14"/>
                <w:szCs w:val="14"/>
                <w:color w:val="auto"/>
              </w:rPr>
              <w:t>Regulatory Filings</w:t>
            </w:r>
          </w:p>
        </w:tc>
        <w:tc>
          <w:tcPr>
            <w:tcW w:w="400" w:type="dxa"/>
            <w:vAlign w:val="bottom"/>
          </w:tcPr>
          <w:p>
            <w:pPr>
              <w:spacing w:after="0"/>
              <w:rPr>
                <w:sz w:val="16"/>
                <w:szCs w:val="16"/>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Costs</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color w:val="auto"/>
              </w:rPr>
              <w:t>Total</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2018</w:t>
            </w: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Charges</w:t>
            </w:r>
          </w:p>
        </w:tc>
        <w:tc>
          <w:tcPr>
            <w:tcW w:w="5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258</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57"/>
        </w:trPr>
        <w:tc>
          <w:tcPr>
            <w:tcW w:w="4360" w:type="dxa"/>
            <w:vAlign w:val="bottom"/>
          </w:tcPr>
          <w:p>
            <w:pPr>
              <w:ind w:left="40"/>
              <w:spacing w:after="0"/>
              <w:rPr>
                <w:sz w:val="20"/>
                <w:szCs w:val="20"/>
                <w:color w:val="auto"/>
              </w:rPr>
            </w:pPr>
            <w:r>
              <w:rPr>
                <w:rFonts w:ascii="Arial" w:cs="Arial" w:eastAsia="Arial" w:hAnsi="Arial"/>
                <w:sz w:val="18"/>
                <w:szCs w:val="18"/>
                <w:color w:val="auto"/>
              </w:rPr>
              <w:t>Balance at November 30, 2018</w:t>
            </w:r>
          </w:p>
        </w:tc>
        <w:tc>
          <w:tcPr>
            <w:tcW w:w="5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301</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Company’s restructuring liability of $0.3 million is mainly comprised of accruals for termination benefits and contract cancellation costs which are included in accrued expenses on the consolidated balance sheet.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Changes in each component of accumulated other comprehensive income (loss), net of tax, are as follows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Three months ended November 30, 2018</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3"/>
              </w:rPr>
              <w:t>Foreign currency</w:t>
            </w:r>
          </w:p>
        </w:tc>
        <w:tc>
          <w:tcPr>
            <w:tcW w:w="148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Unrealized gain (loss)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translation gain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4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Balance at August 31, 2018</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before reclassifications, net of tax</w:t>
            </w:r>
          </w:p>
        </w:tc>
        <w:tc>
          <w:tcPr>
            <w:tcW w:w="2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5480" w:type="dxa"/>
            <w:vAlign w:val="bottom"/>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other comprehensive loss</w:t>
            </w: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at November 30, 2018</w:t>
            </w:r>
          </w:p>
        </w:tc>
        <w:tc>
          <w:tcPr>
            <w:tcW w:w="20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20" w:type="dxa"/>
            <w:vAlign w:val="bottom"/>
            <w:vMerge w:val="restart"/>
          </w:tcPr>
          <w:p>
            <w:pPr>
              <w:jc w:val="right"/>
              <w:ind w:right="165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Six months ended November 30, 2018</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3"/>
              </w:rPr>
              <w:t>Foreign currency</w:t>
            </w:r>
          </w:p>
        </w:tc>
        <w:tc>
          <w:tcPr>
            <w:tcW w:w="148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Unrealized gain (loss)</w:t>
            </w: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translation gain</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on marketable</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5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93"/>
              </w:rPr>
              <w:t>(loss)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1"/>
              </w:rPr>
              <w:t>securities</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Balance at May 31, 2018</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Other comprehensive income (loss) before reclassifications, net of tax</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00" w:type="dxa"/>
            <w:vAlign w:val="bottom"/>
            <w:gridSpan w:val="2"/>
          </w:tcPr>
          <w:p>
            <w:pPr>
              <w:ind w:left="380"/>
              <w:spacing w:after="0"/>
              <w:rPr>
                <w:sz w:val="20"/>
                <w:szCs w:val="20"/>
                <w:color w:val="auto"/>
              </w:rPr>
            </w:pPr>
            <w:r>
              <w:rPr>
                <w:rFonts w:ascii="Arial" w:cs="Arial" w:eastAsia="Arial" w:hAnsi="Arial"/>
                <w:sz w:val="18"/>
                <w:szCs w:val="18"/>
                <w:color w:val="auto"/>
                <w:w w:val="92"/>
              </w:rPr>
              <w:t>Amounts reclassified from accumulated other comprehensive income</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other comprehensive income (loss)</w:t>
            </w:r>
          </w:p>
        </w:tc>
        <w:tc>
          <w:tcPr>
            <w:tcW w:w="2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00" w:type="dxa"/>
            <w:vAlign w:val="bottom"/>
            <w:gridSpan w:val="2"/>
          </w:tcPr>
          <w:p>
            <w:pPr>
              <w:ind w:left="20"/>
              <w:spacing w:after="0"/>
              <w:rPr>
                <w:sz w:val="20"/>
                <w:szCs w:val="20"/>
                <w:color w:val="auto"/>
              </w:rPr>
            </w:pPr>
            <w:r>
              <w:rPr>
                <w:rFonts w:ascii="Arial" w:cs="Arial" w:eastAsia="Arial" w:hAnsi="Arial"/>
                <w:sz w:val="18"/>
                <w:szCs w:val="18"/>
                <w:color w:val="auto"/>
              </w:rPr>
              <w:t>Balance at November 30, 2018</w:t>
            </w:r>
          </w:p>
        </w:tc>
        <w:tc>
          <w:tcPr>
            <w:tcW w:w="20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0" w:type="dxa"/>
            <w:vAlign w:val="bottom"/>
            <w:vMerge w:val="restart"/>
          </w:tcPr>
          <w:p>
            <w:pPr>
              <w:jc w:val="right"/>
              <w:ind w:right="165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RECENTLY ISSUED ACCOUNTING PRONOUNCEMENTS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 xml:space="preserve">ASU No. 2014-09, </w:t>
            </w:r>
            <w:r>
              <w:rPr>
                <w:rFonts w:ascii="Arial" w:cs="Arial" w:eastAsia="Arial" w:hAnsi="Arial"/>
                <w:sz w:val="18"/>
                <w:szCs w:val="18"/>
                <w:i w:val="1"/>
                <w:iCs w:val="1"/>
                <w:color w:val="auto"/>
                <w:w w:val="93"/>
              </w:rPr>
              <w:t>Revenue from</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This ASU provides a single, comprehensive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2018</w:t>
            </w:r>
          </w:p>
        </w:tc>
        <w:tc>
          <w:tcPr>
            <w:tcW w:w="3700" w:type="dxa"/>
            <w:vAlign w:val="bottom"/>
          </w:tcPr>
          <w:p>
            <w:pPr>
              <w:spacing w:after="0"/>
              <w:rPr>
                <w:sz w:val="20"/>
                <w:szCs w:val="20"/>
                <w:color w:val="auto"/>
              </w:rPr>
            </w:pPr>
            <w:r>
              <w:rPr>
                <w:rFonts w:ascii="Arial" w:cs="Arial" w:eastAsia="Arial" w:hAnsi="Arial"/>
                <w:sz w:val="18"/>
                <w:szCs w:val="18"/>
                <w:color w:val="auto"/>
              </w:rPr>
              <w:t>See Note 3, "Revenue from Contracts with</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w w:val="96"/>
              </w:rPr>
              <w:t>Contracts with Customers (ASU</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accounting model for revenues arising from</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3"/>
              </w:rPr>
              <w:t>Customers" for the required disclosures related to</w:t>
            </w:r>
          </w:p>
        </w:tc>
        <w:tc>
          <w:tcPr>
            <w:tcW w:w="20" w:type="dxa"/>
            <w:vAlign w:val="bottom"/>
          </w:tcPr>
          <w:p>
            <w:pPr>
              <w:spacing w:after="0"/>
              <w:rPr>
                <w:sz w:val="18"/>
                <w:szCs w:val="18"/>
                <w:color w:val="auto"/>
              </w:rPr>
            </w:pPr>
          </w:p>
        </w:tc>
      </w:tr>
      <w:tr>
        <w:trPr>
          <w:trHeight w:val="216"/>
        </w:trPr>
        <w:tc>
          <w:tcPr>
            <w:tcW w:w="25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2014-09)</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contracts with customers that supersedes most of the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the impact of adopting this standard.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existing revenue recognition guidance, including</w:t>
            </w:r>
          </w:p>
        </w:tc>
        <w:tc>
          <w:tcPr>
            <w:tcW w:w="1280" w:type="dxa"/>
            <w:vAlign w:val="bottom"/>
            <w:tcBorders>
              <w:right w:val="single" w:sz="8" w:color="auto"/>
            </w:tcBorders>
          </w:tcPr>
          <w:p>
            <w:pPr>
              <w:spacing w:after="0"/>
              <w:rPr>
                <w:sz w:val="18"/>
                <w:szCs w:val="18"/>
                <w:color w:val="auto"/>
              </w:rPr>
            </w:pPr>
          </w:p>
        </w:tc>
        <w:tc>
          <w:tcPr>
            <w:tcW w:w="3700" w:type="dxa"/>
            <w:vAlign w:val="bottom"/>
          </w:tcPr>
          <w:p>
            <w:pPr>
              <w:ind w:left="2920"/>
              <w:spacing w:after="0"/>
              <w:rPr>
                <w:sz w:val="20"/>
                <w:szCs w:val="20"/>
                <w:color w:val="auto"/>
              </w:rPr>
            </w:pPr>
            <w:r>
              <w:rPr>
                <w:rFonts w:ascii="Arial" w:cs="Arial" w:eastAsia="Arial" w:hAnsi="Arial"/>
                <w:sz w:val="18"/>
                <w:szCs w:val="18"/>
                <w:color w:val="auto"/>
              </w:rPr>
              <w:t>The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industry-specific guidance. Under this model,</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5"/>
              </w:rPr>
              <w:t>adoption of this standard did not have a material</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revenue is recognized at an amount that an entity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impact on the Company’s consolidated balance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3"/>
              </w:rPr>
              <w:t>expects to be entitled to upon transferring control of</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sheets and statements of operations.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goods or services to a customer, as opposed to when</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risks and rewards transfer to a customer under</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existing revenue recognition guidance.</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 xml:space="preserve">ASU No. 2016-15, </w:t>
            </w:r>
            <w:r>
              <w:rPr>
                <w:rFonts w:ascii="Arial" w:cs="Arial" w:eastAsia="Arial" w:hAnsi="Arial"/>
                <w:sz w:val="18"/>
                <w:szCs w:val="18"/>
                <w:i w:val="1"/>
                <w:iCs w:val="1"/>
                <w:color w:val="auto"/>
                <w:w w:val="97"/>
              </w:rPr>
              <w:t>Statement of</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This ASU identifies how certain cash receipts and</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June 1, 2018</w:t>
            </w:r>
          </w:p>
        </w:tc>
        <w:tc>
          <w:tcPr>
            <w:tcW w:w="3700" w:type="dxa"/>
            <w:vAlign w:val="bottom"/>
          </w:tcPr>
          <w:p>
            <w:pPr>
              <w:spacing w:after="0"/>
              <w:rPr>
                <w:sz w:val="20"/>
                <w:szCs w:val="20"/>
                <w:color w:val="auto"/>
              </w:rPr>
            </w:pPr>
            <w:r>
              <w:rPr>
                <w:rFonts w:ascii="Arial" w:cs="Arial" w:eastAsia="Arial" w:hAnsi="Arial"/>
                <w:sz w:val="18"/>
                <w:szCs w:val="18"/>
                <w:color w:val="auto"/>
              </w:rPr>
              <w:t>This adoption did not have an impact on the</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Cash Flows (Topic 230):</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cash payments are presented and classified in the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Company's financial statements.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Classification of Certain Cash</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Statement of Cash Flows under Topic 230.</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Receipts and Cash Payments</w:t>
            </w:r>
          </w:p>
        </w:tc>
        <w:tc>
          <w:tcPr>
            <w:tcW w:w="38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i w:val="1"/>
                <w:iCs w:val="1"/>
                <w:color w:val="auto"/>
              </w:rPr>
              <w:t>(ASU 2016-15)</w:t>
            </w:r>
          </w:p>
        </w:tc>
        <w:tc>
          <w:tcPr>
            <w:tcW w:w="38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72"/>
        </w:trPr>
        <w:tc>
          <w:tcPr>
            <w:tcW w:w="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Recently Issued Accounting Pronouncements - Not Yet Applicable or Adopted</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Standard</w:t>
            </w:r>
          </w:p>
        </w:tc>
        <w:tc>
          <w:tcPr>
            <w:tcW w:w="388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3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Effect on the Consolidated Financial Statements</w:t>
            </w:r>
          </w:p>
        </w:tc>
        <w:tc>
          <w:tcPr>
            <w:tcW w:w="20" w:type="dxa"/>
            <w:vAlign w:val="bottom"/>
            <w:tcBorders>
              <w:bottom w:val="single" w:sz="8" w:color="auto"/>
            </w:tcBorders>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2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 (Topic</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This ASU increases transparency and comparability</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June 1, 2019</w:t>
            </w:r>
          </w:p>
        </w:tc>
        <w:tc>
          <w:tcPr>
            <w:tcW w:w="3700" w:type="dxa"/>
            <w:vAlign w:val="bottom"/>
          </w:tcPr>
          <w:p>
            <w:pPr>
              <w:spacing w:after="0"/>
              <w:rPr>
                <w:sz w:val="20"/>
                <w:szCs w:val="20"/>
                <w:color w:val="auto"/>
              </w:rPr>
            </w:pPr>
            <w:r>
              <w:rPr>
                <w:rFonts w:ascii="Arial" w:cs="Arial" w:eastAsia="Arial" w:hAnsi="Arial"/>
                <w:sz w:val="18"/>
                <w:szCs w:val="18"/>
                <w:color w:val="auto"/>
              </w:rPr>
              <w:t>The Company is currently in the process of</w:t>
            </w:r>
          </w:p>
        </w:tc>
        <w:tc>
          <w:tcPr>
            <w:tcW w:w="20" w:type="dxa"/>
            <w:vAlign w:val="bottom"/>
          </w:tcPr>
          <w:p>
            <w:pPr>
              <w:spacing w:after="0"/>
              <w:rPr>
                <w:sz w:val="19"/>
                <w:szCs w:val="19"/>
                <w:color w:val="auto"/>
              </w:rPr>
            </w:pPr>
          </w:p>
        </w:tc>
      </w:tr>
      <w:tr>
        <w:trPr>
          <w:trHeight w:val="216"/>
        </w:trPr>
        <w:tc>
          <w:tcPr>
            <w:tcW w:w="25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842)</w:t>
            </w: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89"/>
              </w:rPr>
              <w:t>among organizations by recognizing lease assets and</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evaluating the impact of this ASU on its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liabilities on the balance sheet and disclosing key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information about leasing arrangements. For leases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a term of twelve months or less, a lessee is</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permitted to make an accounting policy election by</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class of underlying asset not to recognize lease</w:t>
            </w:r>
          </w:p>
        </w:tc>
        <w:tc>
          <w:tcPr>
            <w:tcW w:w="1280" w:type="dxa"/>
            <w:vAlign w:val="bottom"/>
            <w:tcBorders>
              <w:right w:val="single" w:sz="8" w:color="auto"/>
            </w:tcBorders>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assets and liabilities.</w:t>
            </w:r>
          </w:p>
        </w:tc>
        <w:tc>
          <w:tcPr>
            <w:tcW w:w="1280" w:type="dxa"/>
            <w:vAlign w:val="bottom"/>
            <w:tcBorders>
              <w:right w:val="single" w:sz="8" w:color="auto"/>
            </w:tcBorders>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88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80" w:type="dxa"/>
            <w:vAlign w:val="bottom"/>
          </w:tcPr>
          <w:p>
            <w:pPr>
              <w:ind w:left="3080"/>
              <w:spacing w:after="0"/>
              <w:rPr>
                <w:sz w:val="20"/>
                <w:szCs w:val="20"/>
                <w:color w:val="auto"/>
              </w:rPr>
            </w:pPr>
            <w:r>
              <w:rPr>
                <w:rFonts w:ascii="Arial" w:cs="Arial" w:eastAsia="Arial" w:hAnsi="Arial"/>
                <w:sz w:val="18"/>
                <w:szCs w:val="18"/>
                <w:color w:val="auto"/>
              </w:rPr>
              <w:t>26</w:t>
            </w:r>
          </w:p>
        </w:tc>
        <w:tc>
          <w:tcPr>
            <w:tcW w:w="1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4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following information should be read together with the consolidated financial statements and the notes thereto and other information included elsewhere in this quarterly report on Form 10-Q.</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40" w:firstLine="432"/>
        <w:spacing w:after="0" w:line="267"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or variations of such words and similar expressions, are forward-looking statements. These forward looking statements are not guarantees of future performance and are subject to risks and uncertainties. Investors are cautioned that actual events or results may differ from our expectations.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as well as our ability to integrate purchased businesses. Other risks and uncertainties include, but are not limited to, the factors described from time to time in our reports filed with the SEC.</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speak only as of the date made. AngioDynamics disclaims any obligation to update the forward-looking statements. Investors are cautioned not to place undue reliance on these forward-looking statements which speak only as of the date stated, or if no date is stated, as of the date of this document.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and Market</w:t>
      </w:r>
    </w:p>
    <w:p>
      <w:pPr>
        <w:spacing w:after="0" w:line="229"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Most of our products are intended to be used once and then discarded, or they may be temporarily implanted for short- or longer-term use.</w:t>
      </w:r>
    </w:p>
    <w:p>
      <w:pPr>
        <w:spacing w:after="0" w:line="14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to our product offerings are created through internal product development, technology licensing and strategic alliances. We recognize the importance of, and intend to continue to make investments in research and development activities and business development opportunities and feel confident that our existing capital structure and free cash flow generation will allow us to properly fund those activities. This was evident with the BioSentry and RadiaDyne acquisitions noted below.</w:t>
      </w:r>
    </w:p>
    <w:p>
      <w:pPr>
        <w:spacing w:after="0" w:line="188"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On August 14, 2018, the Company acquired the BioSentry Tract Sealant System (BioSentry) technology from Surgical Specialties, LLC, a medical device company headquartered in Westwood, Massachusetts for a total purchase price of $39.8 million of which $37.0 million was paid on August 14, 2018 and $2.8 million was recorded as contingent consideration. The contingent consideration liability was recorded at fair value and will be payable to SSC upon fulfillment of certain hydrogel orders. This is part of the Company’s strategic focus on building a continuum of care within the oncology space. Refer to Note 2 for further disclosure on the acquisition.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On September 21, 2018, the Company acquired RadiaDyne, a privately held medical diagnostic and device company that designs and develops patient dose monitoring technology to improve cancer treatment outcomes. The aggregate purchase price of $75.0 million included an upfront payment of $47.9 million, contingent consideration with an estimated fair value of $22.3 million, an indemnification holdback of $4.6 million and a purchase price holdback of $0.2 million. The fair value of $22.3 million is comprised of $16.5 million for the revenue milestones and $5.8 million for the technical milestones. The $4.6 million indemnification holdback is recorded in other long-term liabilities and the $0.2 million purchase price holdback is recorded in accrued liabilities. This acquisition expands the Company’s growing Oncology business by adding RadiaDyne’s early-stage, proprietary OARtrac® real-time radiation dose monitoring platform and other market-leading oncology solutions, including the IsoLoc®/ImmobiLoc® and Alatus® balloon stabilizing technologies.</w:t>
      </w:r>
    </w:p>
    <w:p>
      <w:pPr>
        <w:spacing w:after="0" w:line="86"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a direct sales and distributor relationships. We expect our businesses to grow in both sales and profitability through geographic expansion, market penetration, new product introductions and increasing our direct presence internationally.</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six months ended November 30, 2018 compared to the three and six months ended November 30, 2017 follows: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Three months ended November 30, 2018:</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increased by 5.5% to $91.5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increased 440 bps to 53.7%</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increased by $2.9 million to $4.0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per share increased by $0.05 to $0.06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Six months ended November 30, 2018:</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increased by 2.7% to $176.8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increased 410 bps to 52.9%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increased by $3.0 to $4.3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per share increased by $0.03 to $0.04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flow provided by operations decreased by $9.1 million to $4.1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new accounting pronouncements is included in Note 17 to our consolidated financial statements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November 30, 2018 and 2017</w:t>
      </w:r>
    </w:p>
    <w:p>
      <w:pPr>
        <w:spacing w:after="0" w:line="229" w:lineRule="exact"/>
        <w:rPr>
          <w:sz w:val="20"/>
          <w:szCs w:val="20"/>
          <w:color w:val="auto"/>
        </w:rPr>
      </w:pPr>
    </w:p>
    <w:p>
      <w:pPr>
        <w:ind w:right="480" w:firstLine="432"/>
        <w:spacing w:after="0" w:line="308" w:lineRule="auto"/>
        <w:rPr>
          <w:sz w:val="20"/>
          <w:szCs w:val="20"/>
          <w:color w:val="auto"/>
        </w:rPr>
      </w:pPr>
      <w:r>
        <w:rPr>
          <w:rFonts w:ascii="Arial" w:cs="Arial" w:eastAsia="Arial" w:hAnsi="Arial"/>
          <w:sz w:val="17"/>
          <w:szCs w:val="17"/>
          <w:color w:val="auto"/>
        </w:rPr>
        <w:t>For the three months ended November 30, 2018, we reported net income of $2.1 million, or $0.06 per diluted share, on net sales of $91.5 million, compared with net income of $0.2 million, or $0.01 per share, on net sales of $86.7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three months ended November 30, 2018 and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75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color w:val="auto"/>
                <w:w w:val="95"/>
              </w:rPr>
              <w:t>Three months ended</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64"/>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Nov 30,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Nov 30, 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Growth</w:t>
            </w: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Global Business Unit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40"/>
              <w:spacing w:after="0"/>
              <w:rPr>
                <w:sz w:val="20"/>
                <w:szCs w:val="20"/>
                <w:color w:val="auto"/>
              </w:rPr>
            </w:pPr>
            <w:r>
              <w:rPr>
                <w:rFonts w:ascii="Arial" w:cs="Arial" w:eastAsia="Arial" w:hAnsi="Arial"/>
                <w:sz w:val="18"/>
                <w:szCs w:val="18"/>
                <w:color w:val="auto"/>
              </w:rPr>
              <w:t>Vascular Interventions &amp; Therapies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52,494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51,368</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2.2%</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22,574</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5.1%</w:t>
            </w: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Oncology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12,764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19.8%</w:t>
            </w:r>
          </w:p>
        </w:tc>
      </w:tr>
      <w:tr>
        <w:trPr>
          <w:trHeight w:val="27"/>
        </w:trPr>
        <w:tc>
          <w:tcPr>
            <w:tcW w:w="102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91,503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86,706</w:t>
            </w:r>
          </w:p>
        </w:tc>
        <w:tc>
          <w:tcPr>
            <w:tcW w:w="12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5.5%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311"/>
        </w:trPr>
        <w:tc>
          <w:tcPr>
            <w:tcW w:w="10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71,883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68,301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5.2%</w:t>
            </w:r>
          </w:p>
        </w:tc>
      </w:tr>
      <w:tr>
        <w:trPr>
          <w:trHeight w:val="27"/>
        </w:trPr>
        <w:tc>
          <w:tcPr>
            <w:tcW w:w="10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18,405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6.6%</w:t>
            </w:r>
          </w:p>
        </w:tc>
      </w:tr>
      <w:tr>
        <w:trPr>
          <w:trHeight w:val="257"/>
        </w:trPr>
        <w:tc>
          <w:tcPr>
            <w:tcW w:w="7540" w:type="dxa"/>
            <w:vAlign w:val="bottom"/>
            <w:gridSpan w:val="2"/>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91,503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86,706</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5.5%</w:t>
            </w:r>
          </w:p>
        </w:tc>
      </w:tr>
      <w:tr>
        <w:trPr>
          <w:trHeight w:val="20"/>
        </w:trPr>
        <w:tc>
          <w:tcPr>
            <w:tcW w:w="10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firstLine="432"/>
        <w:spacing w:after="0" w:line="465" w:lineRule="auto"/>
        <w:rPr>
          <w:sz w:val="20"/>
          <w:szCs w:val="20"/>
          <w:color w:val="auto"/>
        </w:rPr>
      </w:pPr>
      <w:r>
        <w:rPr>
          <w:rFonts w:ascii="Arial" w:cs="Arial" w:eastAsia="Arial" w:hAnsi="Arial"/>
          <w:sz w:val="18"/>
          <w:szCs w:val="18"/>
          <w:color w:val="auto"/>
        </w:rPr>
        <w:t xml:space="preserve">For the three months ended November 30, 2018, net sales increased $4.8 million to $91.5 million compared to the same period in the prior year. </w:t>
      </w:r>
      <w:r>
        <w:rPr>
          <w:rFonts w:ascii="Arial" w:cs="Arial" w:eastAsia="Arial" w:hAnsi="Arial"/>
          <w:sz w:val="18"/>
          <w:szCs w:val="18"/>
          <w:u w:val="single" w:color="auto"/>
          <w:color w:val="auto"/>
        </w:rPr>
        <w:t>Vascular Interventions &amp; Therapies</w:t>
      </w:r>
    </w:p>
    <w:p>
      <w:pPr>
        <w:spacing w:after="0" w:line="8" w:lineRule="exact"/>
        <w:rPr>
          <w:sz w:val="20"/>
          <w:szCs w:val="20"/>
          <w:color w:val="auto"/>
        </w:rPr>
      </w:pPr>
    </w:p>
    <w:p>
      <w:pPr>
        <w:ind w:left="660" w:right="20" w:hanging="328"/>
        <w:spacing w:after="0" w:line="26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Total Vascular Interventions &amp; Therapies sales increased $1.1 million primarily attributable to strong performance in Fluid Management and AngioVac. The increase in Fluid Management was attributed to continued efforts around new custom kits. The Company continues to see strong case volumes in AngioVac. AngioVac case volume increased 10% from the prior year due to increased adoption of the Company's unique technology. These increases were partially offset by decreased sales volume of Venous products due to reimbursement challenges.</w:t>
      </w:r>
    </w:p>
    <w:p>
      <w:pPr>
        <w:spacing w:after="0" w:line="2" w:lineRule="exact"/>
        <w:rPr>
          <w:rFonts w:ascii="Arial" w:cs="Arial" w:eastAsia="Arial" w:hAnsi="Arial"/>
          <w:sz w:val="17"/>
          <w:szCs w:val="17"/>
          <w:color w:val="auto"/>
        </w:rPr>
      </w:pPr>
    </w:p>
    <w:p>
      <w:pPr>
        <w:ind w:left="660" w:right="30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$0.6 million due to an increase in volume in Fluid Management and AngioVac. This was partially offset by decreased sales volume of Venous products.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increased $0.5 million due to an increase in volume in Angiographic catheters.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hanging="328"/>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Vascular Access sales increased $1.1 million due to growth primarily in our BioFlo businesses. Our BioFlo product lines increased $0.7 million year over year. The Company's BioFlo portfolio now comprises 50% of overall Vascular Access sales, compared to 49% a year ago.</w:t>
      </w:r>
    </w:p>
    <w:p>
      <w:pPr>
        <w:jc w:val="both"/>
        <w:ind w:left="660" w:right="1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Vascular Access sales increased by $0.2 million due to growth in Midlines and BioFlo Dialysis products which continue to gain traction in the marketplace. In addition, there was $0.2 million of sales of the BIIM ultrasound product which was launched in FY19. This was partially offset by competitive pressures in the PICC product lines.</w:t>
      </w:r>
    </w:p>
    <w:p>
      <w:pPr>
        <w:spacing w:after="0" w:line="1" w:lineRule="exact"/>
        <w:rPr>
          <w:rFonts w:ascii="Arial" w:cs="Arial" w:eastAsia="Arial" w:hAnsi="Arial"/>
          <w:sz w:val="18"/>
          <w:szCs w:val="18"/>
          <w:color w:val="auto"/>
        </w:rPr>
      </w:pPr>
    </w:p>
    <w:p>
      <w:pPr>
        <w:ind w:left="660" w:right="30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Vascular Access sales increased by $0.9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25" w:lineRule="exact"/>
        <w:rPr>
          <w:sz w:val="20"/>
          <w:szCs w:val="20"/>
          <w:color w:val="auto"/>
        </w:rPr>
      </w:pPr>
    </w:p>
    <w:p>
      <w:pPr>
        <w:ind w:left="660" w:right="60" w:hanging="328"/>
        <w:spacing w:after="0" w:line="28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Oncology sales increased $2.5 million year over year primarily due to increased sales of NanoKnife capital and disposables along with $1.6 million in sales related to BioSentry products and $1.3 million in sales related to RadiaDyne products. This was partially offset by decreased sales in Radiofrequency Ablation and Microwave disposables. Microwave sales were negatively impacted by the timing of the Company's prior year replacement shipments of $0.9 million which took place in the second quarter of the prior year as a result of the market withdrawal of Acculis.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Oncology sales increased by $3.0 million, driven by BioSentry sales of $1.6 million and RadiaDyne sales of $1.3 million.</w:t>
      </w:r>
    </w:p>
    <w:p>
      <w:pPr>
        <w:spacing w:after="0" w:line="9" w:lineRule="exact"/>
        <w:rPr>
          <w:rFonts w:ascii="Arial" w:cs="Arial" w:eastAsia="Arial" w:hAnsi="Arial"/>
          <w:sz w:val="18"/>
          <w:szCs w:val="18"/>
          <w:color w:val="auto"/>
        </w:rPr>
      </w:pPr>
    </w:p>
    <w:p>
      <w:pPr>
        <w:ind w:left="660" w:right="4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Oncology sales decreased by $0.5 million year over year as a result of decreased RadioFrequency Ablation and Microwave sales which were partially offset by increased NanoKnife disposable sales.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4"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9"/>
              </w:rPr>
              <w:t>Three months ended</w:t>
            </w:r>
          </w:p>
        </w:tc>
        <w:tc>
          <w:tcPr>
            <w:tcW w:w="1200" w:type="dxa"/>
            <w:vAlign w:val="bottom"/>
            <w:tcBorders>
              <w:bottom w:val="single" w:sz="8" w:color="auto"/>
            </w:tcBorders>
          </w:tcPr>
          <w:p>
            <w:pPr>
              <w:spacing w:after="0"/>
              <w:rPr>
                <w:sz w:val="16"/>
                <w:szCs w:val="16"/>
                <w:color w:val="auto"/>
              </w:rPr>
            </w:pPr>
          </w:p>
        </w:tc>
      </w:tr>
      <w:tr>
        <w:trPr>
          <w:trHeight w:val="264"/>
        </w:trPr>
        <w:tc>
          <w:tcPr>
            <w:tcW w:w="75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2017</w:t>
            </w:r>
          </w:p>
        </w:tc>
        <w:tc>
          <w:tcPr>
            <w:tcW w:w="1200" w:type="dxa"/>
            <w:vAlign w:val="bottom"/>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42,731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6,107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18,967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7,540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 of sales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$6.4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volume and mix contributed $2.0 million of favorability offset by increased freight expense of $0.3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BioSentry and RadiaDyne products contributed $2.0 million to gross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 million of favorability as a result of the plant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year reserve of $1.7 million related to the discontinuation of our RadioFrequency Ablation product in Japan.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expiration of a royalty agreement in fiscal year 2018 resulted in $0.2 million of favorability compared to the prior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fluctuations had an unfavorable impact of $0.2 million.</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$1.3 million compared to the prior year. The increase is primarily attributable to the following:</w:t>
      </w:r>
    </w:p>
    <w:p>
      <w:pPr>
        <w:spacing w:after="0" w:line="225" w:lineRule="exact"/>
        <w:rPr>
          <w:sz w:val="20"/>
          <w:szCs w:val="20"/>
          <w:color w:val="auto"/>
        </w:rPr>
      </w:pPr>
    </w:p>
    <w:p>
      <w:pPr>
        <w:ind w:left="660" w:right="78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 million increase in new product development and clinical efforts related to the Company’s investment areas of NanoKnife, Thrombus Management and BioFlo.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$0.2 million increase in backfilling of open positions from prior year.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$1.3 million compared to the prior year. The increase is primarily attributable to the following:</w:t>
      </w:r>
    </w:p>
    <w:p>
      <w:pPr>
        <w:spacing w:after="0" w:line="225" w:lineRule="exact"/>
        <w:rPr>
          <w:sz w:val="20"/>
          <w:szCs w:val="20"/>
          <w:color w:val="auto"/>
        </w:rPr>
      </w:pPr>
    </w:p>
    <w:p>
      <w:pPr>
        <w:ind w:left="660" w:right="8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$0.4 million. $0.9 million of the increase is attributed to increased headcount as a result of the BioSentry and RadiaDyne acquisitions offset by lower variable compensation and decreased severance expense.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travel of $0.3 million as a result of the increased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Increased consulting spend of $0.2 million and increased spend related to marketing efforts for new product introductions of $0.4 million.</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$1.8 million compared to the prior year. The increase is primarily attributable to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120" w:hanging="328"/>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Compensation and benefits increase of approximately $1.0 million primarily as a result of increased variable compensation, inflation of salaries and benefits, backfilling of prior year openings, increased headcount from the RadiaDyne acquisition and stock based compensation.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legal and professional fees relating to ongoing litigation that is within the normal course of business of $0.3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other expenses including supplies of $0.3 million.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5"/>
              </w:rPr>
              <w:t>Three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6"/>
              </w:rPr>
              <w:t>Nov 30, 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96"/>
              </w:rPr>
              <w:t>Nov 30,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25" w:lineRule="exact"/>
        <w:rPr>
          <w:sz w:val="20"/>
          <w:szCs w:val="20"/>
          <w:color w:val="auto"/>
        </w:rPr>
      </w:pPr>
    </w:p>
    <w:p>
      <w:pPr>
        <w:ind w:left="660" w:right="40" w:hanging="328"/>
        <w:spacing w:after="0" w:line="28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increase in amortization expense from the prior year is due to intangible asset additions as a result of the BioSentry and RadiaDyne acquisitions. The BioSentry acquisition increased intangible assets by $25.6 million and resulted in additional amortization expense of $0.6 million. The RadiaDyne acquisition increased intangible assets by $22.1 million and resulted in additional amortization expense of $0.4 million.</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increase from the prior year is due to the contingent considerations that were recorded as part of the BioSentry and RadiaDyne acquisitions of</w:t>
      </w:r>
    </w:p>
    <w:p>
      <w:pPr>
        <w:spacing w:after="0" w:line="46" w:lineRule="exact"/>
        <w:rPr>
          <w:rFonts w:ascii="Arial" w:cs="Arial" w:eastAsia="Arial" w:hAnsi="Arial"/>
          <w:sz w:val="16"/>
          <w:szCs w:val="16"/>
          <w:color w:val="auto"/>
        </w:rPr>
      </w:pPr>
    </w:p>
    <w:p>
      <w:pPr>
        <w:ind w:left="660" w:right="20"/>
        <w:spacing w:after="0" w:line="254" w:lineRule="auto"/>
        <w:rPr>
          <w:rFonts w:ascii="Arial" w:cs="Arial" w:eastAsia="Arial" w:hAnsi="Arial"/>
          <w:sz w:val="16"/>
          <w:szCs w:val="16"/>
          <w:color w:val="auto"/>
        </w:rPr>
      </w:pPr>
      <w:r>
        <w:rPr>
          <w:rFonts w:ascii="Arial" w:cs="Arial" w:eastAsia="Arial" w:hAnsi="Arial"/>
          <w:sz w:val="18"/>
          <w:szCs w:val="18"/>
          <w:color w:val="auto"/>
        </w:rPr>
        <w:t>$2.8 million and $22.3 million, respectively. The change in the fair value in contingent consideration is the result of amortization of the present value discount of $0.2 million. In addition, in the second quarter of fiscal year 2018, the final minimum payment was made on the AngioVac product contingent consideration and a $2.1 million payment was made on the Microsulis contingent consideration during the first quarter of fiscal 2019. Only one minimum payment is remaining on the Microsulis contingent consideration.</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$2.0 million compared to the prior year. The decrease is primarily attributable to the following:</w:t>
      </w:r>
    </w:p>
    <w:p>
      <w:pPr>
        <w:spacing w:after="0" w:line="24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M&amp;A expenses of $1.5 million were incurred in the second quarter of fiscal year 2019 compared to $1.0 million in the prior year.</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$0.9 million were recorded in the second quarter of fiscal year 2019 compared to $2.2 million in the prior year.</w:t>
      </w:r>
    </w:p>
    <w:p>
      <w:pPr>
        <w:ind w:left="660" w:right="18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second quarter of fiscal year 2018, the Company incurred $1.4 million of expense which consisted of $0.6 million of severance and $0.8 million of costs to move the product lines related to the plant consolidation that was announced in the third quarter of fiscal year 2017. The plant consolidation was completed in the fourth quarter of fiscal year 2018; therefore, only $0.1 million of expense was incurred in the second quarter of fiscal year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25" w:lineRule="exact"/>
        <w:rPr>
          <w:sz w:val="20"/>
          <w:szCs w:val="20"/>
          <w:color w:val="auto"/>
        </w:rPr>
      </w:pPr>
    </w:p>
    <w:p>
      <w:pPr>
        <w:ind w:left="660" w:right="34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increase in other expenses from the prior year of $0.2 million is due to increased interest expense of $0.6 million primarily due to the $55.0 million draw on the revolver during the second quarter. In addition, other expenses also increased by $0.3 million. These increases were partially offset by foreign currency fluctuations of $0.6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color w:val="auto"/>
              </w:rPr>
              <w:t>Three months ended</w:t>
            </w:r>
          </w:p>
        </w:tc>
      </w:tr>
      <w:tr>
        <w:trPr>
          <w:trHeight w:val="264"/>
        </w:trPr>
        <w:tc>
          <w:tcPr>
            <w:tcW w:w="88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1100" w:type="dxa"/>
            <w:vAlign w:val="bottom"/>
          </w:tcPr>
          <w:p>
            <w:pPr>
              <w:jc w:val="right"/>
              <w:ind w:right="156"/>
              <w:spacing w:after="0"/>
              <w:rPr>
                <w:sz w:val="20"/>
                <w:szCs w:val="20"/>
                <w:color w:val="auto"/>
              </w:rPr>
            </w:pPr>
            <w:r>
              <w:rPr>
                <w:rFonts w:ascii="Arial" w:cs="Arial" w:eastAsia="Arial" w:hAnsi="Arial"/>
                <w:sz w:val="14"/>
                <w:szCs w:val="14"/>
                <w:color w:val="auto"/>
              </w:rPr>
              <w:t>Nov 30, 2017</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(0.2)</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Our effective tax rate including discrete items for the three month periods ended November 30, 2018 and 2017 was 21.6% and negative (200.0)%, respectively. In fiscal 2019, the Company's effective tax rate differs from the U.S. statutory rate primarily due to the impact of the valuation allowance, foreign taxes and state taxes.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26.3% in the second quarter of fiscal 2019, as compared to 59.8% for the same period in fiscal 2018.</w:t>
      </w:r>
    </w:p>
    <w:p>
      <w:pPr>
        <w:spacing w:after="0" w:line="17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10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2018.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November 30, 2018 and 2017</w:t>
      </w:r>
    </w:p>
    <w:p>
      <w:pPr>
        <w:spacing w:after="0" w:line="229" w:lineRule="exact"/>
        <w:rPr>
          <w:sz w:val="20"/>
          <w:szCs w:val="20"/>
          <w:color w:val="auto"/>
        </w:rPr>
      </w:pPr>
    </w:p>
    <w:p>
      <w:pPr>
        <w:ind w:right="560" w:firstLine="432"/>
        <w:spacing w:after="0" w:line="308" w:lineRule="auto"/>
        <w:rPr>
          <w:sz w:val="20"/>
          <w:szCs w:val="20"/>
          <w:color w:val="auto"/>
        </w:rPr>
      </w:pPr>
      <w:r>
        <w:rPr>
          <w:rFonts w:ascii="Arial" w:cs="Arial" w:eastAsia="Arial" w:hAnsi="Arial"/>
          <w:sz w:val="17"/>
          <w:szCs w:val="17"/>
          <w:color w:val="auto"/>
        </w:rPr>
        <w:t>For the six months ended November 30, 2018, we reported net income of $1.7 million, or $0.04 per diluted share, on net sales of $176.8 million, compared with net income of $0.2 million, or $0.01 per share, on net sales of $172.1 million during the same quarter of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 -</w:t>
      </w:r>
      <w:r>
        <w:rPr>
          <w:rFonts w:ascii="Arial" w:cs="Arial" w:eastAsia="Arial" w:hAnsi="Arial"/>
          <w:sz w:val="18"/>
          <w:szCs w:val="18"/>
          <w:color w:val="auto"/>
        </w:rPr>
        <w:t xml:space="preserve"> Net sales are derived from the sale of our products and related freight charges, less discounts and returns.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the six months ended November 30, 2018 and 2017:</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Six Months Ended</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Nov 30, 2018</w:t>
            </w:r>
          </w:p>
        </w:tc>
        <w:tc>
          <w:tcPr>
            <w:tcW w:w="180" w:type="dxa"/>
            <w:vAlign w:val="bottom"/>
          </w:tcPr>
          <w:p>
            <w:pPr>
              <w:spacing w:after="0"/>
              <w:rPr>
                <w:sz w:val="22"/>
                <w:szCs w:val="22"/>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color w:val="auto"/>
                <w:w w:val="98"/>
              </w:rPr>
              <w:t>Nov 30, 2017</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7"/>
              </w:rPr>
              <w:t>% Growth</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Global Business Unit</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102,488</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101,234</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1.2%</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45,812</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3.7%</w:t>
            </w: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Oncology</w:t>
            </w:r>
          </w:p>
        </w:tc>
        <w:tc>
          <w:tcPr>
            <w:tcW w:w="18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25,071</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7.1%</w:t>
            </w:r>
          </w:p>
        </w:tc>
      </w:tr>
      <w:tr>
        <w:trPr>
          <w:trHeight w:val="27"/>
        </w:trPr>
        <w:tc>
          <w:tcPr>
            <w:tcW w:w="7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176,843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172,117</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2.7%</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by Geography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139,567</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137,232</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1.7%</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34,885</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6.9%</w:t>
            </w:r>
          </w:p>
        </w:tc>
      </w:tr>
      <w:tr>
        <w:trPr>
          <w:trHeight w:val="257"/>
        </w:trPr>
        <w:tc>
          <w:tcPr>
            <w:tcW w:w="7540" w:type="dxa"/>
            <w:vAlign w:val="bottom"/>
          </w:tcPr>
          <w:p>
            <w:pPr>
              <w:ind w:left="5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176,843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172,117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2.7%</w:t>
            </w: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six months ended November 30, 2018, net sales increased $4.7 million to $176.8 million compared to the same period in the prior year.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Interventions &amp; Therapies</w:t>
      </w:r>
    </w:p>
    <w:p>
      <w:pPr>
        <w:spacing w:after="0" w:line="225" w:lineRule="exact"/>
        <w:rPr>
          <w:sz w:val="20"/>
          <w:szCs w:val="20"/>
          <w:color w:val="auto"/>
        </w:rPr>
      </w:pPr>
    </w:p>
    <w:p>
      <w:pPr>
        <w:ind w:left="660" w:right="40" w:hanging="328"/>
        <w:spacing w:after="0" w:line="25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Vascular Interventions &amp; Therapies sales increased $1.3 million primarily attributable to strong performance in Fluid Management, Angiographic catheters and AngioVac. The increase in Fluid Management was attributed to continued efforts around new custom kits. The Company continues to see strong results in the Angiographic catheters business and has maintained the majority of the business from a competitor's recall. The Company continues to see strong case volumes in AngioVac. AngioVac case volume increased 12% percent from the prior year due to increased adoption of the Company's unique technology. These increases were partially offset by decreased sales volume of Venous products due to reimbursement challenges.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Vascular Interventions &amp; Therapies sales increased $0.8 million due to an increase in volume in Fluid Management, Angiographic catheters and AngioVac. This was partially offset by decreased sales volume of Venous products.</w:t>
      </w: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International Vascular Interventions &amp; Therapies sales increased $0.5 million due to an increase in volume in Venous and Angiographic catheters.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25" w:lineRule="exact"/>
        <w:rPr>
          <w:sz w:val="20"/>
          <w:szCs w:val="20"/>
          <w:color w:val="auto"/>
        </w:rPr>
      </w:pPr>
    </w:p>
    <w:p>
      <w:pPr>
        <w:ind w:left="660" w:hanging="328"/>
        <w:spacing w:after="0" w:line="27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Total Vascular Access sales increased $1.7 million due to growth primarily in our BioFlo businesses. Our BioFlo product lines increased $1.3 million year over year. The Company's BioFlo portfolio now comprises 50% of overall Vascular Access sales, compared to 49% a year ago.</w:t>
      </w:r>
    </w:p>
    <w:p>
      <w:pPr>
        <w:ind w:left="660" w:right="1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Vascular Access sales increased by $0.1 million due to growth in Midlines and BioFlo Dialysis products which continue to gain traction in the marketplace. This was partially offset by competitive pressures in the PICC product line.</w:t>
      </w:r>
    </w:p>
    <w:p>
      <w:pPr>
        <w:ind w:left="660" w:right="300" w:hanging="32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International Vascular Access sales increased by $1.6 million as the Company continues to expand its global reach of its Vascular Access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25" w:lineRule="exact"/>
        <w:rPr>
          <w:sz w:val="20"/>
          <w:szCs w:val="20"/>
          <w:color w:val="auto"/>
        </w:rPr>
      </w:pPr>
    </w:p>
    <w:p>
      <w:pPr>
        <w:ind w:left="660" w:right="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Oncology sales increased $1.8 million year over year primarily due to increased sales of NanoKnife capital and disposables of $1.2 million along with $1.9 million in sales from BioSentry products and $1.3 million in sales from RadiaDyne products. This was partially offset by decreased sales in Radiofrequency Ablation and Microwave disposables. Microwave sales were negatively impacted by the timing of the Company's prior year replacement shipments of $2.5 million which took place in the first and second quarters of the prior year as a result of the market withdrawal of Acculis.</w:t>
      </w:r>
    </w:p>
    <w:p>
      <w:pPr>
        <w:spacing w:after="0" w:line="3" w:lineRule="exact"/>
        <w:rPr>
          <w:rFonts w:ascii="Arial" w:cs="Arial" w:eastAsia="Arial" w:hAnsi="Arial"/>
          <w:sz w:val="18"/>
          <w:szCs w:val="18"/>
          <w:color w:val="auto"/>
        </w:rPr>
      </w:pPr>
    </w:p>
    <w:p>
      <w:pPr>
        <w:jc w:val="both"/>
        <w:ind w:left="660" w:right="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 Oncology sales increased by $2.0 million primarily due to increased sales of NanoKnife capital and disposables along with $1.9 million in sales related to BioSentry products and $1.3 million in sales related to RadiaDyne products. This was partially offset by a $0.7 million decrease in sales of RadioFrequency Ablation and Microwave capital and disposables.</w:t>
      </w:r>
    </w:p>
    <w:p>
      <w:pPr>
        <w:spacing w:after="0" w:line="1" w:lineRule="exact"/>
        <w:rPr>
          <w:rFonts w:ascii="Arial" w:cs="Arial" w:eastAsia="Arial" w:hAnsi="Arial"/>
          <w:sz w:val="18"/>
          <w:szCs w:val="18"/>
          <w:color w:val="auto"/>
        </w:rPr>
      </w:pPr>
    </w:p>
    <w:p>
      <w:pPr>
        <w:ind w:left="660" w:right="2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Oncology sales decreased by $0.2 million due to decreased RadioFrequency Ablation and Microwave sales of $1.4 million, partially offset by increased NanoKnife capital and disposable sales of $1.2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Six months ended</w:t>
            </w:r>
          </w:p>
        </w:tc>
        <w:tc>
          <w:tcPr>
            <w:tcW w:w="1200" w:type="dxa"/>
            <w:vAlign w:val="bottom"/>
            <w:tcBorders>
              <w:bottom w:val="single" w:sz="8" w:color="auto"/>
            </w:tcBorders>
          </w:tcPr>
          <w:p>
            <w:pPr>
              <w:spacing w:after="0"/>
              <w:rPr>
                <w:sz w:val="16"/>
                <w:szCs w:val="16"/>
                <w:color w:val="auto"/>
              </w:rPr>
            </w:pPr>
          </w:p>
        </w:tc>
      </w:tr>
      <w:tr>
        <w:trPr>
          <w:trHeight w:val="264"/>
        </w:trPr>
        <w:tc>
          <w:tcPr>
            <w:tcW w:w="3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37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98"/>
              </w:rPr>
              <w:t>Nov 30, 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 Change</w:t>
            </w: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83,960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Gross profit % of sales</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12,548</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 of sales</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39,702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38,369</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 of sales</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15,596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 of sales</w:t>
            </w:r>
          </w:p>
        </w:tc>
        <w:tc>
          <w:tcPr>
            <w:tcW w:w="3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702"/>
        </w:trPr>
        <w:tc>
          <w:tcPr>
            <w:tcW w:w="3800" w:type="dxa"/>
            <w:vAlign w:val="bottom"/>
          </w:tcPr>
          <w:p>
            <w:pPr>
              <w:spacing w:after="0"/>
              <w:rPr>
                <w:sz w:val="24"/>
                <w:szCs w:val="24"/>
                <w:color w:val="auto"/>
              </w:rPr>
            </w:pPr>
          </w:p>
        </w:tc>
        <w:tc>
          <w:tcPr>
            <w:tcW w:w="3780" w:type="dxa"/>
            <w:vAlign w:val="bottom"/>
          </w:tcPr>
          <w:p>
            <w:pPr>
              <w:jc w:val="right"/>
              <w:ind w:right="169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$9.6 million compared to the prior year. The increase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volume/mix contributed $2.6 million of favorability year over year offset by increased freight expense of $0.6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BioSentry and RadiaDyne products contributed $2.3 million to gross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 million of favorability as a result of the plant consolidation.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year reserve of $1.7 million related to the discontinuation of our RadioFrequency Ablation product in Japan.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expiration of a royalty agreement in fiscal year 2018 resulted in $1.5 million of favorability compared to the prior year.</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Research and development expenses</w:t>
      </w:r>
      <w:r>
        <w:rPr>
          <w:rFonts w:ascii="Arial" w:cs="Arial" w:eastAsia="Arial" w:hAnsi="Arial"/>
          <w:sz w:val="18"/>
          <w:szCs w:val="18"/>
          <w:color w:val="auto"/>
        </w:rPr>
        <w:t xml:space="preserve"> - Research and development (“R&amp;D”) expenses include internal and external costs to develop new products, enhance existing products, validate new and enhanced products, and manage clinical, regulatory and medical affairs.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$2.5 million compared to the prior year. The increase is primarily attributable to the following:</w:t>
      </w:r>
    </w:p>
    <w:p>
      <w:pPr>
        <w:spacing w:after="0" w:line="225" w:lineRule="exact"/>
        <w:rPr>
          <w:sz w:val="20"/>
          <w:szCs w:val="20"/>
          <w:color w:val="auto"/>
        </w:rPr>
      </w:pPr>
    </w:p>
    <w:p>
      <w:pPr>
        <w:ind w:left="660" w:right="78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$1.8 million increase in new product development and clinical efforts related to the Company’s investment areas of NanoKnife, Thrombus Management and BioFlo.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$0.6 million increase in backfilling of open positions from prior year.</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u w:val="single" w:color="auto"/>
          <w:color w:val="auto"/>
        </w:rPr>
        <w:t>Sales and marketing expenses</w:t>
      </w:r>
      <w:r>
        <w:rPr>
          <w:rFonts w:ascii="Arial" w:cs="Arial" w:eastAsia="Arial" w:hAnsi="Arial"/>
          <w:sz w:val="18"/>
          <w:szCs w:val="18"/>
          <w:color w:val="auto"/>
        </w:rPr>
        <w:t xml:space="preserve"> - Sales and marketing (“S&amp;M”) expenses consist primarily of salaries, commissions, travel and related business expenses, attendance at medical society meetings, product promotions and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S&amp;M expense increased $1.3 million compared to the prior year. The increase is primarily attributable to the following:</w:t>
      </w:r>
    </w:p>
    <w:p>
      <w:pPr>
        <w:spacing w:after="0" w:line="225" w:lineRule="exact"/>
        <w:rPr>
          <w:sz w:val="20"/>
          <w:szCs w:val="20"/>
          <w:color w:val="auto"/>
        </w:rPr>
      </w:pPr>
    </w:p>
    <w:p>
      <w:pPr>
        <w:ind w:left="660" w:right="8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Compensation and benefits increase of approximately $0.5 million. $0.8 million of the increase is attributed to increased headcount as a result of the BioSentry and RadiaDyne acquisitions offset by lower variable compensation and decreased severance expense.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travel of $0.5 million as a result of the increased headcount.</w:t>
      </w:r>
    </w:p>
    <w:p>
      <w:pPr>
        <w:spacing w:after="0" w:line="9" w:lineRule="exact"/>
        <w:rPr>
          <w:rFonts w:ascii="Arial" w:cs="Arial" w:eastAsia="Arial" w:hAnsi="Arial"/>
          <w:sz w:val="18"/>
          <w:szCs w:val="18"/>
          <w:color w:val="auto"/>
        </w:rPr>
      </w:pPr>
    </w:p>
    <w:p>
      <w:pPr>
        <w:ind w:left="660" w:right="2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consulting spend of $0.2 million and increased spend for trade shows and meeting expenses of $0.4 million were partially offset by $0.2 million decrease in office supplies and $0.1 million in lease expense.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General and administrative expenses</w:t>
      </w:r>
      <w:r>
        <w:rPr>
          <w:rFonts w:ascii="Arial" w:cs="Arial" w:eastAsia="Arial" w:hAnsi="Arial"/>
          <w:sz w:val="18"/>
          <w:szCs w:val="18"/>
          <w:color w:val="auto"/>
        </w:rPr>
        <w:t xml:space="preserve"> - General and administrative (“G&amp;A”) expenses include executive management, finance, information technology, human resources, business development, legal, and the administrative and professional costs associated with those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G&amp;A expense increased $2.2 million compared to the prior year. The increase is primarily attributable to the following:</w:t>
      </w:r>
    </w:p>
    <w:p>
      <w:pPr>
        <w:spacing w:after="0" w:line="225" w:lineRule="exact"/>
        <w:rPr>
          <w:sz w:val="20"/>
          <w:szCs w:val="20"/>
          <w:color w:val="auto"/>
        </w:rPr>
      </w:pPr>
    </w:p>
    <w:p>
      <w:pPr>
        <w:ind w:left="660" w:right="120" w:hanging="328"/>
        <w:spacing w:after="0" w:line="274"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Compensation and benefits increase of approximately $1.8 million primarily as a result of increased variable compensation, inflation of salaries and benefits, backfilling of prior year openings, increased headcount from the RadiaDyne acquisition and stock based compensation.</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other expenses including supplies of $0.2 million and lease expense of $0.1 million.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2"/>
              </w:rPr>
              <w:t>Six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2018</w:t>
            </w: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Nov 30, 2017</w:t>
            </w:r>
          </w:p>
        </w:tc>
        <w:tc>
          <w:tcPr>
            <w:tcW w:w="220" w:type="dxa"/>
            <w:vAlign w:val="bottom"/>
          </w:tcPr>
          <w:p>
            <w:pPr>
              <w:spacing w:after="0"/>
              <w:rPr>
                <w:sz w:val="22"/>
                <w:szCs w:val="22"/>
                <w:color w:val="auto"/>
              </w:rPr>
            </w:pPr>
          </w:p>
        </w:tc>
        <w:tc>
          <w:tcPr>
            <w:tcW w:w="920" w:type="dxa"/>
            <w:vAlign w:val="bottom"/>
          </w:tcPr>
          <w:p>
            <w:pPr>
              <w:jc w:val="right"/>
              <w:ind w:right="214"/>
              <w:spacing w:after="0"/>
              <w:rPr>
                <w:sz w:val="20"/>
                <w:szCs w:val="20"/>
                <w:color w:val="auto"/>
              </w:rPr>
            </w:pPr>
            <w:r>
              <w:rPr>
                <w:rFonts w:ascii="Arial" w:cs="Arial" w:eastAsia="Arial" w:hAnsi="Arial"/>
                <w:sz w:val="14"/>
                <w:szCs w:val="14"/>
                <w:color w:val="auto"/>
                <w:w w:val="98"/>
              </w:rPr>
              <w:t>$ Change</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restructuring and other items,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(857)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right="40" w:hanging="328"/>
        <w:spacing w:after="0" w:line="28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increase in amortization expense from the prior year is due to intangible asset additions as a result of the BioSentry and RadiaDyne acquisitions. The BioSentry acquisition increased intangible assets by $25.6 million and resulted in additional amortization expense of $0.6 million. The RadiaDyne acquisition increased intangible assets by $22.1 million and resulted in additional amortization expense of $0.4 million.</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4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increase from the prior year is due to the contingent considerations that were recorded as part of the BioSentry and RadiaDyne acquisitions of</w:t>
      </w:r>
    </w:p>
    <w:p>
      <w:pPr>
        <w:spacing w:after="0" w:line="46" w:lineRule="exact"/>
        <w:rPr>
          <w:rFonts w:ascii="Arial" w:cs="Arial" w:eastAsia="Arial" w:hAnsi="Arial"/>
          <w:sz w:val="16"/>
          <w:szCs w:val="16"/>
          <w:color w:val="auto"/>
        </w:rPr>
      </w:pPr>
    </w:p>
    <w:p>
      <w:pPr>
        <w:ind w:left="660" w:right="20"/>
        <w:spacing w:after="0" w:line="254" w:lineRule="auto"/>
        <w:rPr>
          <w:rFonts w:ascii="Arial" w:cs="Arial" w:eastAsia="Arial" w:hAnsi="Arial"/>
          <w:sz w:val="16"/>
          <w:szCs w:val="16"/>
          <w:color w:val="auto"/>
        </w:rPr>
      </w:pPr>
      <w:r>
        <w:rPr>
          <w:rFonts w:ascii="Arial" w:cs="Arial" w:eastAsia="Arial" w:hAnsi="Arial"/>
          <w:sz w:val="18"/>
          <w:szCs w:val="18"/>
          <w:color w:val="auto"/>
        </w:rPr>
        <w:t>$2.8 million and $22.3 million, respectively. The change in the fair value in contingent consideration is the result of amortization of the present value discount of $0.3 million. In addition, in the second quarter of fiscal year 2018, the final minimum payment was made on the AngioVac product contingent consideration and a $2.1 million payment was made on the Microsulis contingent consideration during the first quarter of fiscal 2019. Only one minimum payment is remaining on the Microsulis contingent consideration.</w:t>
      </w:r>
    </w:p>
    <w:p>
      <w:pPr>
        <w:spacing w:after="0" w:line="1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$0.6 million compared to the prior year. The decrease is primarily attributable to the following:</w:t>
      </w:r>
    </w:p>
    <w:p>
      <w:pPr>
        <w:spacing w:after="0" w:line="24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M&amp;A expenses of $2.9 million were incurred in fiscal year 2019 compared to $1.1 million in the prior year.</w:t>
      </w:r>
    </w:p>
    <w:p>
      <w:pPr>
        <w:spacing w:after="0" w:line="23"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Legal expenses, related to litigation that is outside of the normal course of business, of $3.7 million was recorded in fiscal year 2019 compared to $3.8 million in fiscal year 2018.</w:t>
      </w:r>
    </w:p>
    <w:p>
      <w:pPr>
        <w:ind w:left="660" w:right="100" w:hanging="328"/>
        <w:spacing w:after="0" w:line="30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For the six months ended 2018, the Company incurred $2.6 million of expense which consisted of $1.1 million of severance and $1.4 million of costs to move the product lines related to the plant consolidation that was announced in the third quarter of fiscal year 2017. The plant consolidation was completed in the fourth quarter of fiscal year 2018; therefore, only $0.3 million of expense was incurred for the six months ended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expenses</w:t>
      </w:r>
      <w:r>
        <w:rPr>
          <w:rFonts w:ascii="Arial" w:cs="Arial" w:eastAsia="Arial" w:hAnsi="Arial"/>
          <w:sz w:val="18"/>
          <w:szCs w:val="18"/>
          <w:color w:val="auto"/>
        </w:rPr>
        <w:t xml:space="preserve"> - Other expenses include interest expense, foreign currency impacts, bank fees, and amortization of deferred financing costs.</w:t>
      </w:r>
    </w:p>
    <w:p>
      <w:pPr>
        <w:spacing w:after="0" w:line="23" w:lineRule="exact"/>
        <w:rPr>
          <w:sz w:val="20"/>
          <w:szCs w:val="20"/>
          <w:color w:val="auto"/>
        </w:rPr>
      </w:pPr>
    </w:p>
    <w:p>
      <w:pPr>
        <w:ind w:left="660" w:right="34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other expenses from the prior year of $0.9 million is due to increased interest expense of $0.7 million primarily due to the $55.0 million draw on the revolver during the second quarter. In addition, other expenses also increased by $0.5 million. These increases were partially offset by foreign currency fluctuations of $0.1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color w:val="auto"/>
              </w:rPr>
              <w:t>Six months ended</w:t>
            </w:r>
          </w:p>
        </w:tc>
      </w:tr>
      <w:tr>
        <w:trPr>
          <w:trHeight w:val="264"/>
        </w:trPr>
        <w:tc>
          <w:tcPr>
            <w:tcW w:w="88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1100" w:type="dxa"/>
            <w:vAlign w:val="bottom"/>
          </w:tcPr>
          <w:p>
            <w:pPr>
              <w:jc w:val="right"/>
              <w:ind w:right="156"/>
              <w:spacing w:after="0"/>
              <w:rPr>
                <w:sz w:val="20"/>
                <w:szCs w:val="20"/>
                <w:color w:val="auto"/>
              </w:rPr>
            </w:pPr>
            <w:r>
              <w:rPr>
                <w:rFonts w:ascii="Arial" w:cs="Arial" w:eastAsia="Arial" w:hAnsi="Arial"/>
                <w:sz w:val="14"/>
                <w:szCs w:val="14"/>
                <w:color w:val="auto"/>
              </w:rPr>
              <w:t>Nov 30, 2017</w:t>
            </w:r>
          </w:p>
        </w:tc>
      </w:tr>
      <w:tr>
        <w:trPr>
          <w:trHeight w:val="250"/>
        </w:trPr>
        <w:tc>
          <w:tcPr>
            <w:tcW w:w="8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(0.1)</w:t>
            </w:r>
          </w:p>
        </w:tc>
      </w:tr>
      <w:tr>
        <w:trPr>
          <w:trHeight w:val="243"/>
        </w:trPr>
        <w:tc>
          <w:tcPr>
            <w:tcW w:w="8840" w:type="dxa"/>
            <w:vAlign w:val="bottom"/>
          </w:tcPr>
          <w:p>
            <w:pPr>
              <w:ind w:left="40"/>
              <w:spacing w:after="0"/>
              <w:rPr>
                <w:sz w:val="20"/>
                <w:szCs w:val="20"/>
                <w:color w:val="auto"/>
              </w:rPr>
            </w:pPr>
            <w:r>
              <w:rPr>
                <w:rFonts w:ascii="Arial" w:cs="Arial" w:eastAsia="Arial" w:hAnsi="Arial"/>
                <w:sz w:val="18"/>
                <w:szCs w:val="18"/>
                <w:color w:val="auto"/>
              </w:rPr>
              <w:t>Effective tax rate including discrete items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(219.4)%</w:t>
            </w:r>
          </w:p>
        </w:tc>
      </w:tr>
    </w:tbl>
    <w:p>
      <w:pPr>
        <w:spacing w:after="0" w:line="229" w:lineRule="exact"/>
        <w:rPr>
          <w:sz w:val="20"/>
          <w:szCs w:val="20"/>
          <w:color w:val="auto"/>
        </w:rPr>
      </w:pPr>
    </w:p>
    <w:p>
      <w:pPr>
        <w:jc w:val="both"/>
        <w:ind w:right="480" w:firstLine="405"/>
        <w:spacing w:after="0" w:line="264" w:lineRule="auto"/>
        <w:rPr>
          <w:sz w:val="20"/>
          <w:szCs w:val="20"/>
          <w:color w:val="auto"/>
        </w:rPr>
      </w:pPr>
      <w:r>
        <w:rPr>
          <w:rFonts w:ascii="Arial" w:cs="Arial" w:eastAsia="Arial" w:hAnsi="Arial"/>
          <w:sz w:val="18"/>
          <w:szCs w:val="18"/>
          <w:color w:val="auto"/>
        </w:rPr>
        <w:t>Our effective tax rate including discrete items for the three month periods ended November 30, 2018 and 2017 was 25.9% and negative (219.4)%, respectively. In fiscal 2019, the Company's effective tax rate differs from the U.S. statutory rate primarily due to the impact of the valuation allowance, foreign taxes and state taxes.</w:t>
      </w:r>
    </w:p>
    <w:p>
      <w:pPr>
        <w:spacing w:after="0" w:line="18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26.3% in the second quarter of fiscal 2019, as compared to 59.8% for the same period in fiscal 2018.</w:t>
      </w:r>
    </w:p>
    <w:p>
      <w:pPr>
        <w:spacing w:after="0" w:line="170"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Evidence the Company considered included its history of net operating losses, which resulted in the Company recording a full valuation allowance for its deferred tax assets in fiscal 2016, except the naked credit deferred tax liability.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November 30, 2018.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Our cash and cash equivalents totaled $42.8 million as of November 30, 2018, compared with $74.1 million as of May 31, 2018. Marketable securities totaled $1.4 million as of November 30, 2018 and $1.3 million as of May 31, 2018, and consist of an auction rate security. As of November 30, 2018, total principal debt outstanding was $145.0 million and the fair value of contingent consideration payments was $26.5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cash flows for the six months ended November 30, 2018 and 2017: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color w:val="auto"/>
              </w:rPr>
              <w:t>Six Months Ended</w:t>
            </w:r>
          </w:p>
        </w:tc>
      </w:tr>
      <w:tr>
        <w:trPr>
          <w:trHeight w:val="264"/>
        </w:trPr>
        <w:tc>
          <w:tcPr>
            <w:tcW w:w="90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Nov 30, 2018</w:t>
            </w:r>
          </w:p>
        </w:tc>
        <w:tc>
          <w:tcPr>
            <w:tcW w:w="160" w:type="dxa"/>
            <w:vAlign w:val="bottom"/>
          </w:tcPr>
          <w:p>
            <w:pPr>
              <w:spacing w:after="0"/>
              <w:rPr>
                <w:sz w:val="22"/>
                <w:szCs w:val="22"/>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w w:val="93"/>
              </w:rPr>
              <w:t>Nov 30, 2017</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13,201</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51,254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(10,262)</w:t>
            </w:r>
          </w:p>
        </w:tc>
      </w:tr>
      <w:tr>
        <w:trPr>
          <w:trHeight w:val="27"/>
        </w:trPr>
        <w:tc>
          <w:tcPr>
            <w:tcW w:w="9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2,312</w:t>
            </w:r>
          </w:p>
        </w:tc>
      </w:tr>
      <w:tr>
        <w:trPr>
          <w:trHeight w:val="27"/>
        </w:trPr>
        <w:tc>
          <w:tcPr>
            <w:tcW w:w="9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November 30, 2018 and 2017, cash flows consisted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2018:</w:t>
      </w:r>
    </w:p>
    <w:p>
      <w:pPr>
        <w:spacing w:after="0" w:line="225" w:lineRule="exact"/>
        <w:rPr>
          <w:sz w:val="20"/>
          <w:szCs w:val="20"/>
          <w:color w:val="auto"/>
        </w:rPr>
      </w:pPr>
    </w:p>
    <w:p>
      <w:pPr>
        <w:ind w:left="1080" w:right="300" w:hanging="316"/>
        <w:spacing w:after="0" w:line="29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Net income was driven by increased sales and increased gross profit. This was partially offset by higher operating expenses in research and development, selling and marketing and general administrative as well as costs related to our acquisition and restructuring activities.</w:t>
      </w:r>
    </w:p>
    <w:p>
      <w:pPr>
        <w:ind w:left="1080" w:right="80" w:hanging="316"/>
        <w:spacing w:after="0" w:line="25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continues to focus on optimizing its cash conversion cycle. In the second quarter of fiscal year 2019, working capital was negatively impacted by increased inventory on hand of $1.0 million. Additionally, even though days sales outstanding ("DSO") decreased by two days, receivables negatively impacted working capital by $3.1 million as a result of increased sales in the quarter. Also, the $12.5 million DOJ settlement payment that was made during the first quarter of fiscal year 2019 negatively impacted working capital from accounts payable and accrued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2017:</w:t>
      </w:r>
    </w:p>
    <w:p>
      <w:pPr>
        <w:spacing w:after="0" w:line="225" w:lineRule="exact"/>
        <w:rPr>
          <w:sz w:val="20"/>
          <w:szCs w:val="20"/>
          <w:color w:val="auto"/>
        </w:rPr>
      </w:pPr>
    </w:p>
    <w:p>
      <w:pPr>
        <w:ind w:left="1080" w:hanging="316"/>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was driven by higher sales and higher gross margins.</w:t>
      </w:r>
    </w:p>
    <w:p>
      <w:pPr>
        <w:spacing w:after="0" w:line="23" w:lineRule="exact"/>
        <w:rPr>
          <w:rFonts w:ascii="Arial" w:cs="Arial" w:eastAsia="Arial" w:hAnsi="Arial"/>
          <w:sz w:val="18"/>
          <w:szCs w:val="18"/>
          <w:color w:val="auto"/>
        </w:rPr>
      </w:pPr>
    </w:p>
    <w:p>
      <w:pPr>
        <w:ind w:left="1080" w:right="60" w:hanging="316"/>
        <w:spacing w:after="0" w:line="261"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regards to working capital, the Company focused on optimizing DSO which contributed to $2.3 million of working capital improvement. This working capital improvement was offset by a $4.5 million decrease in accounts payable and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2018 and 2017:</w:t>
      </w:r>
    </w:p>
    <w:p>
      <w:pPr>
        <w:spacing w:after="0" w:line="225" w:lineRule="exact"/>
        <w:rPr>
          <w:sz w:val="20"/>
          <w:szCs w:val="20"/>
          <w:color w:val="auto"/>
        </w:rPr>
      </w:pPr>
    </w:p>
    <w:p>
      <w:pPr>
        <w:ind w:left="1080" w:hanging="316"/>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$1.4 million in fixed asset additions, primarily for maintenance of equipment versus $1.2 million in the prior year.</w:t>
      </w:r>
    </w:p>
    <w:p>
      <w:pPr>
        <w:spacing w:after="0" w:line="23" w:lineRule="exact"/>
        <w:rPr>
          <w:rFonts w:ascii="Arial" w:cs="Arial" w:eastAsia="Arial" w:hAnsi="Arial"/>
          <w:sz w:val="18"/>
          <w:szCs w:val="18"/>
          <w:color w:val="auto"/>
        </w:rPr>
      </w:pPr>
    </w:p>
    <w:p>
      <w:pPr>
        <w:ind w:left="1080" w:right="160" w:hanging="316"/>
        <w:spacing w:after="0" w:line="261"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$37.0 million cash payment to acquire the BioSentry product from SSC and a $47.9 million cash payment to acquire RadiaDyne as described in Note 2 to the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November 30, 2018 and 2017:</w:t>
      </w:r>
    </w:p>
    <w:p>
      <w:pPr>
        <w:spacing w:after="0" w:line="225" w:lineRule="exact"/>
        <w:rPr>
          <w:sz w:val="20"/>
          <w:szCs w:val="20"/>
          <w:color w:val="auto"/>
        </w:rPr>
      </w:pPr>
    </w:p>
    <w:p>
      <w:pPr>
        <w:ind w:left="1080" w:hanging="316"/>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$55.0 million draw on the revolver as a result of the RadiaDyne acquisition described in Note 2 to the financial statements.</w:t>
      </w:r>
    </w:p>
    <w:p>
      <w:pPr>
        <w:spacing w:after="0" w:line="23" w:lineRule="exact"/>
        <w:rPr>
          <w:rFonts w:ascii="Arial" w:cs="Arial" w:eastAsia="Arial" w:hAnsi="Arial"/>
          <w:sz w:val="18"/>
          <w:szCs w:val="18"/>
          <w:color w:val="auto"/>
        </w:rPr>
      </w:pPr>
    </w:p>
    <w:p>
      <w:pPr>
        <w:ind w:left="1080" w:hanging="316"/>
        <w:spacing w:after="0" w:line="250"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 million in repayments on long-term debt in both the current year and prior year. This is consistent with the required amortization payment on the Term Loan.</w:t>
      </w:r>
    </w:p>
    <w:p>
      <w:pPr>
        <w:ind w:left="1080" w:hanging="316"/>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$0.9 million of proceeds from stock option and ESPP activity versus $1.7 million in the prior year.</w:t>
      </w:r>
    </w:p>
    <w:p>
      <w:pPr>
        <w:spacing w:after="0" w:line="9" w:lineRule="exact"/>
        <w:rPr>
          <w:rFonts w:ascii="Arial" w:cs="Arial" w:eastAsia="Arial" w:hAnsi="Arial"/>
          <w:sz w:val="18"/>
          <w:szCs w:val="18"/>
          <w:color w:val="auto"/>
        </w:rPr>
      </w:pPr>
    </w:p>
    <w:p>
      <w:pPr>
        <w:ind w:left="1080" w:right="440" w:hanging="316"/>
        <w:spacing w:after="0" w:line="26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$2.1 million payment on earn-out liabilities in the current year compared to $9.5 million in the prior year as the Company made the final minimum payment on the AngioVac product contingent consideration.</w:t>
      </w:r>
    </w:p>
    <w:p>
      <w:pPr>
        <w:spacing w:after="0" w:line="18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On November 7, 2016, the Company entered into a Credit Agreement that provides for a $100.0 million senior secured term loan facility and a $150.0 million senior secured revolving credit facility, which includes up to a $20.0 million sublimit for letters of credit and a $5.0 million sublimit for swingline loans.</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believe that our current cash and investment balances, together with future cash generated from operations and our revolving credit facility capacity of up to $150.0 million as of November 30, 2018, will provide sufficient liquidity to meet our anticipated needs for capital for at least the next 12 months. As part of the RadiaDyne acquisition that closed on September 21, 2018, the Company drew $55.0 million on the revolving credit facility. Based on our current leverage ratio of net debt to EBITDA, as defined by the Credit Agreement, the Company could draw approximately $85.0 million more on the remaining $95.0 million of the revolving credit facility. If we seek to make significant acquisitions of other businesses or technologies in the future, we may require additional external financing.</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122" w:right="29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Approximately 8% of our sales in the second quarter of fiscal 2019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November 7, 2016, we entered into the Credit Agreement which provides for a $100 million senior secured Term Loan and a $150 million Revolving Facility. Interest on both the Term Loan and Revolving Facility is based on a base rate or Eurodollar rate plus an applicable margin which increases as our total leverage ratio increases, with the base rate and Eurodollar rate having ranges of 0.50% to 1.25% and 1.50% to 2.25% respectively. In the event of default, the interest rate may be increased by 2.0%. A 50 basis point (0.50%) increase or decrease in the interest rate would result approximately in a $2.0 million increase or decrease in interest expense over the life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70" w:lineRule="exact"/>
        <w:rPr>
          <w:sz w:val="20"/>
          <w:szCs w:val="20"/>
          <w:color w:val="auto"/>
        </w:rPr>
      </w:pPr>
    </w:p>
    <w:p>
      <w:pPr>
        <w:ind w:right="40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6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to which it grants credit terms in the normal course of business. Although the Company does not currently foresee a significant credit risk associated with the outstanding accounts receivable, repayment is dependent upon the financial stability of our customers.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November 30,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 Bard, Inc. v. AngioDynamics, Inc.</w:t>
      </w:r>
    </w:p>
    <w:p>
      <w:pPr>
        <w:spacing w:after="0" w:line="225"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January 11, 2012, C.R. Bard, Inc. (“Bard”) filed a suit in the United States District Court of Utah claiming certain of the Company's implantable port products infringe on three U.S. patents held by Bard (the "Utah Action"). Bard’s Complaint sought unspecified damages and other relief. The Company filed petitions for reexamination in the US Patent and Trademark Office ("USPTO") seeking to invalidate all three patents asserted by Bard in the litigation. The Company's petitions were granted and 40 of Bard's 41 patent claims were rejected and, following further proceedings, the Patent Office issued a Final Rejection of all 40000 claims subject to reexamination. Thereafter, Bard filed appeals to the USPTO Board of Appeals and Interferences for all three reexaminations. The Patent Office issued decisions in all three appeals. In one (issued on March 11, 2016 for US Patent No. 7,785,302), the rejections of six of the ten claims under reexamination were affirmed, but were reversed on four of the ten claims. In the second (issued on March 24, 2016 for U.S. Patent No. 7,959,615), the rejections of eight of the ten claims under reexamination were affirmed but the rejections of the other two of the ten claims were reversed. In the third (issued on March 29 for U.S. Patent No. 7,947.022) the rejections of all twenty claims under reexamination were affirmed. Thereafter, Bard filed Requests for Rehearing in all three reexamination appeals and the Company filed Requests for Rehearing in two of the reexamination appeals (the ‘302 and ‘615 patent reexaminations). The PTO denied all three Rehearing Requests - on February 1, 2017 for the ‘302; on February 17, 2017 for the ‘022; and on February 21, 2017 for the ‘615, but modified its characterization of one prior art reference for the ‘302 and ‘022 decisions. Bard filed a Notice of Appeal to the Federal Circuit Court of Appeals in all three reexams and the Company filed Cross-Appeals for the ‘302 and the ‘615 reexams. The parties have completed the process of filing the various appellate briefs. MedComp also filed an Amicus Brief in support of the Company on November 22, 2017. An oral hearing in the case was held on September 5, 2018 and the court rendered its decision on September 28, 2018. The Federal Circuit affirmed that claims 1-5 and 10 of the ‘615 patent were invalid. The Federal Circuit also affirmed the Board’s decision that claims 6-7 of the 615 patent and 1-4 of the 302 patent were valid in light of the asserted prior art references. The Federal Circuit reversed the PTAB’s claim construction ruling and remanded for consideration of obviousness for the remaining claims under the new claim construction ruling and further findings with respect to whether one of the asserted references qualified as a printed publication. The parties are awaiting further instruction for proceeding from the USPTO in light of the decision. Meanwhile, the Utah Action has been stayed pending final resolution of the USPTO process. On July 12, 2017, Bard assigned the asserted patents to Bard Peripheral Vascular, Inc. (“BPV”) which was added as Co-Appellant before the Federal Circuit and as a co-Plaintiff in the Utah action.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396"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On March 10, 2015, C.R. Bard, Inc. ("Bard") and Bard Peripheral Vascular, Inc. (“BPV”) filed suit in the United States District Court for the District of Delaware claiming certain of the Company's implantable port products infringe on three U.S. patents held by Bard (the “Delaware Action"). Bard's complaint seeks unspecified damages and other relief. The patents asserted in the Delaware Action are different than those asserted in the Utah Action. On June 1, 2015, the Company filed two motions in response to Bard’s Complaint - one sought transfer to the District of Utah where the Utah Action is currently pending, and the other sought dismissal of the entire complaint on grounds that none of the claims in the asserted patents is directed to patent eligible subject matter under Section 101 of the Patent Statute and in light of recent authority from the U. S. Supreme Court. On January 12, 2016, the Court issued a decision denying both motions. A Markman hearing was held on March 10, 2017 and the Court issued its Claim Construction Order on May 19, 2017. On May 19, 2017, Bard served its Final Infringement Contentions and on June 2, 2017, the Company served its Final Invalidity Contentions. On October 20, 2017, the scheduling order for the case was amended to, among other things, set a trial date commencing July 23, 2018. The parties completed Expert Discovery in January 2018. The parties completed briefing on their respective case dispositive motions on April 27, 2018. On June 26, 2018, the Court denied all case dispositive motions, ruling that issues of material fact remained in dispute. On July 9, 2018, the Court continued the trial until March 2019. Meanwhile, a further Markman hearing is scheduled for January 9, 2019 to resolve two claim construction issues which are needed before the case goes to trial.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AngioDynamics, Inc. v. C.R. Bard, Inc.</w:t>
      </w:r>
    </w:p>
    <w:p>
      <w:pPr>
        <w:spacing w:after="0" w:line="225"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Governmental Investigations</w:t>
      </w:r>
    </w:p>
    <w:p>
      <w:pPr>
        <w:spacing w:after="0" w:line="225"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In June 2014, the Company received a subpoena from the U.S. Department of Justice (the “DOJ”) requesting documents in relation to a criminal and civil investigation the DOJ is conducting regarding BTG International, Inc.’s LC Bead® product beginning in 2003. RITA Medical Systems and AngioDynamics, Inc., after its acquisition of RITA, was the exclusive distributor of LC Beads in the United States from 2006 through December 31, 2011. The Company fully cooperated with this investigation.</w:t>
      </w:r>
    </w:p>
    <w:p>
      <w:pPr>
        <w:spacing w:after="0" w:line="133" w:lineRule="exact"/>
        <w:rPr>
          <w:sz w:val="20"/>
          <w:szCs w:val="20"/>
          <w:color w:val="auto"/>
        </w:rPr>
      </w:pPr>
    </w:p>
    <w:p>
      <w:pPr>
        <w:ind w:right="80" w:firstLine="392"/>
        <w:spacing w:after="0" w:line="264" w:lineRule="auto"/>
        <w:rPr>
          <w:sz w:val="20"/>
          <w:szCs w:val="20"/>
          <w:color w:val="auto"/>
        </w:rPr>
      </w:pPr>
      <w:r>
        <w:rPr>
          <w:rFonts w:ascii="Arial" w:cs="Arial" w:eastAsia="Arial" w:hAnsi="Arial"/>
          <w:sz w:val="18"/>
          <w:szCs w:val="18"/>
          <w:color w:val="auto"/>
        </w:rPr>
        <w:t>In April 2015, the Company received a subpoena from the DOJ requesting documents in relation to a criminal and civil investigation the DOJ is conducting regarding purported promotion of certain of the Company's VenaCure EVLT products for un-cleared indications. The Company fully cooperated with this investigation.</w:t>
      </w:r>
    </w:p>
    <w:p>
      <w:pPr>
        <w:spacing w:after="0" w:line="12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As of May 31, 2017, the Company accrued $12.5 million for these matters and in August 2017 the Company agreed in principle with the government to resolve these matters for approximately $12.5 million plus interest. In July 2018, the Company executed the final settlements and paid approximately $12.7 million.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122" w:right="27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2018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122" w:right="4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with respect to the shares of the Company’s common stock repurchased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2018:</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w w:val="95"/>
              </w:rPr>
              <w:t>Issuer Purchases of Equity Securities</w:t>
            </w:r>
          </w:p>
        </w:tc>
        <w:tc>
          <w:tcPr>
            <w:tcW w:w="1200" w:type="dxa"/>
            <w:vAlign w:val="bottom"/>
            <w:tcBorders>
              <w:bottom w:val="single" w:sz="8" w:color="auto"/>
            </w:tcBorders>
          </w:tcPr>
          <w:p>
            <w:pPr>
              <w:spacing w:after="0"/>
              <w:rPr>
                <w:sz w:val="16"/>
                <w:szCs w:val="16"/>
                <w:color w:val="auto"/>
              </w:rPr>
            </w:pPr>
          </w:p>
        </w:tc>
      </w:tr>
      <w:tr>
        <w:trPr>
          <w:trHeight w:val="156"/>
        </w:trPr>
        <w:tc>
          <w:tcPr>
            <w:tcW w:w="6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82"/>
              <w:spacing w:after="0" w:line="157" w:lineRule="exact"/>
              <w:rPr>
                <w:sz w:val="20"/>
                <w:szCs w:val="20"/>
                <w:color w:val="auto"/>
              </w:rPr>
            </w:pPr>
            <w:r>
              <w:rPr>
                <w:rFonts w:ascii="Arial" w:cs="Arial" w:eastAsia="Arial" w:hAnsi="Arial"/>
                <w:sz w:val="14"/>
                <w:szCs w:val="14"/>
                <w:color w:val="auto"/>
                <w:w w:val="98"/>
              </w:rPr>
              <w:t>Maximum</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Approximate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4"/>
              </w:rPr>
              <w:t>Dollar Value</w:t>
            </w:r>
          </w:p>
        </w:tc>
      </w:tr>
      <w:tr>
        <w:trPr>
          <w:trHeight w:val="149"/>
        </w:trPr>
        <w:tc>
          <w:tcPr>
            <w:tcW w:w="6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60" w:type="dxa"/>
            <w:vAlign w:val="bottom"/>
          </w:tcPr>
          <w:p>
            <w:pPr>
              <w:spacing w:after="0"/>
              <w:rPr>
                <w:sz w:val="12"/>
                <w:szCs w:val="12"/>
                <w:color w:val="auto"/>
              </w:rPr>
            </w:pPr>
          </w:p>
        </w:tc>
        <w:tc>
          <w:tcPr>
            <w:tcW w:w="1200" w:type="dxa"/>
            <w:vAlign w:val="bottom"/>
          </w:tcPr>
          <w:p>
            <w:pPr>
              <w:jc w:val="center"/>
              <w:ind w:right="102"/>
              <w:spacing w:after="0" w:line="149" w:lineRule="exact"/>
              <w:rPr>
                <w:sz w:val="20"/>
                <w:szCs w:val="20"/>
                <w:color w:val="auto"/>
              </w:rPr>
            </w:pPr>
            <w:r>
              <w:rPr>
                <w:rFonts w:ascii="Arial" w:cs="Arial" w:eastAsia="Arial" w:hAnsi="Arial"/>
                <w:sz w:val="14"/>
                <w:szCs w:val="14"/>
                <w:color w:val="auto"/>
                <w:w w:val="90"/>
              </w:rPr>
              <w:t>of Shares</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Purchased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6"/>
              </w:rPr>
              <w:t>that May Yet</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as Part of</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Be</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Publicly</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89"/>
              </w:rPr>
              <w:t>Purchased</w:t>
            </w:r>
          </w:p>
        </w:tc>
      </w:tr>
      <w:tr>
        <w:trPr>
          <w:trHeight w:val="149"/>
        </w:trPr>
        <w:tc>
          <w:tcPr>
            <w:tcW w:w="664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Purchased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Price Paid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Announced</w:t>
            </w:r>
          </w:p>
        </w:tc>
        <w:tc>
          <w:tcPr>
            <w:tcW w:w="160" w:type="dxa"/>
            <w:vAlign w:val="bottom"/>
          </w:tcPr>
          <w:p>
            <w:pPr>
              <w:spacing w:after="0"/>
              <w:rPr>
                <w:sz w:val="12"/>
                <w:szCs w:val="12"/>
                <w:color w:val="auto"/>
              </w:rPr>
            </w:pPr>
          </w:p>
        </w:tc>
        <w:tc>
          <w:tcPr>
            <w:tcW w:w="1200" w:type="dxa"/>
            <w:vAlign w:val="bottom"/>
          </w:tcPr>
          <w:p>
            <w:pPr>
              <w:jc w:val="center"/>
              <w:ind w:right="82"/>
              <w:spacing w:after="0" w:line="149" w:lineRule="exact"/>
              <w:rPr>
                <w:sz w:val="20"/>
                <w:szCs w:val="20"/>
                <w:color w:val="auto"/>
              </w:rPr>
            </w:pPr>
            <w:r>
              <w:rPr>
                <w:rFonts w:ascii="Arial" w:cs="Arial" w:eastAsia="Arial" w:hAnsi="Arial"/>
                <w:sz w:val="14"/>
                <w:szCs w:val="14"/>
                <w:color w:val="auto"/>
                <w:w w:val="93"/>
              </w:rPr>
              <w:t>Under Plans</w:t>
            </w:r>
          </w:p>
        </w:tc>
      </w:tr>
      <w:tr>
        <w:trPr>
          <w:trHeight w:val="188"/>
        </w:trPr>
        <w:tc>
          <w:tcPr>
            <w:tcW w:w="66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color w:val="auto"/>
                <w:w w:val="87"/>
              </w:rPr>
              <w:t>per Share</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 (2)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3"/>
              </w:rPr>
              <w:t>or Programs (2)</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2018 - September 30, 2018</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October 1, 2018 - October 31, 2018</w:t>
            </w: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2018 - November 30, 2018</w:t>
            </w: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40" w:right="180" w:hanging="316"/>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did not repurchase shares during the three months ended November 30, 2018 from employees to satisfy tax withholding requirements on the vesting of restricted shares from equity-based awards.</w:t>
      </w:r>
    </w:p>
    <w:p>
      <w:pPr>
        <w:spacing w:after="0" w:line="1" w:lineRule="exact"/>
        <w:rPr>
          <w:rFonts w:ascii="Arial" w:cs="Arial" w:eastAsia="Arial" w:hAnsi="Arial"/>
          <w:sz w:val="18"/>
          <w:szCs w:val="18"/>
          <w:color w:val="auto"/>
        </w:rPr>
      </w:pPr>
    </w:p>
    <w:p>
      <w:pPr>
        <w:ind w:left="540" w:hanging="316"/>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are not applicable as the Company currently does not have a share repurchase program in effect.</w:t>
      </w:r>
    </w:p>
    <w:p>
      <w:pPr>
        <w:spacing w:after="0" w:line="36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8" w:lineRule="exact"/>
        <w:rPr>
          <w:sz w:val="20"/>
          <w:szCs w:val="20"/>
          <w:color w:val="auto"/>
        </w:rPr>
      </w:pPr>
    </w:p>
    <w:p>
      <w:pPr>
        <w:ind w:left="380"/>
        <w:spacing w:after="0"/>
        <w:tabs>
          <w:tab w:leader="none" w:pos="5820" w:val="left"/>
        </w:tabs>
        <w:rPr>
          <w:sz w:val="20"/>
          <w:szCs w:val="20"/>
          <w:color w:val="auto"/>
        </w:rPr>
      </w:pPr>
      <w:r>
        <w:rPr>
          <w:rFonts w:ascii="Arial" w:cs="Arial" w:eastAsia="Arial" w:hAnsi="Arial"/>
          <w:sz w:val="18"/>
          <w:szCs w:val="18"/>
          <w:b w:val="1"/>
          <w:bCs w:val="1"/>
          <w:u w:val="single" w:color="auto"/>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9980" w:type="dxa"/>
            <w:vAlign w:val="bottom"/>
            <w:gridSpan w:val="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9980" w:type="dxa"/>
            <w:vAlign w:val="bottom"/>
            <w:gridSpan w:val="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pursuant to Rule 13a-14(a) or 15d-14 under the Securities Exchange Act of 1934.</w:t>
              </w:r>
            </w:hyperlink>
          </w:p>
        </w:tc>
      </w:tr>
      <w:tr>
        <w:trPr>
          <w:trHeight w:val="20"/>
        </w:trPr>
        <w:tc>
          <w:tcPr>
            <w:tcW w:w="9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32.1</w:t>
            </w:r>
          </w:p>
        </w:tc>
        <w:tc>
          <w:tcPr>
            <w:tcW w:w="992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Chief Executive Officer pursuant to Title 18, United States Code, Section 1350, as adopted pursuant to Section 906 of the</w:t>
              </w:r>
            </w:hyperlink>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Sarbanes-Oxley Act of 2002</w:t>
              </w:r>
            </w:hyperlink>
          </w:p>
        </w:tc>
        <w:tc>
          <w:tcPr>
            <w:tcW w:w="7900" w:type="dxa"/>
            <w:vAlign w:val="bottom"/>
            <w:gridSpan w:val="4"/>
          </w:tcPr>
          <w:p>
            <w:pPr>
              <w:spacing w:after="0"/>
              <w:rPr>
                <w:sz w:val="17"/>
                <w:szCs w:val="17"/>
                <w:color w:val="auto"/>
              </w:rPr>
            </w:pPr>
          </w:p>
        </w:tc>
      </w:tr>
      <w:tr>
        <w:trPr>
          <w:trHeight w:val="574"/>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32.2</w:t>
            </w:r>
          </w:p>
        </w:tc>
        <w:tc>
          <w:tcPr>
            <w:tcW w:w="9980" w:type="dxa"/>
            <w:vAlign w:val="bottom"/>
            <w:gridSpan w:val="6"/>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Certification of Chief Financial Officer pursuant to Title 18, United States Code, Section 1350, as adopted pursuant to Section 906 of the</w:t>
              </w:r>
            </w:hyperlink>
          </w:p>
        </w:tc>
      </w:tr>
      <w:tr>
        <w:trPr>
          <w:trHeight w:val="196"/>
        </w:trPr>
        <w:tc>
          <w:tcPr>
            <w:tcW w:w="96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Sarbanes-Oxley Act of 2002</w:t>
              </w:r>
            </w:hyperlink>
          </w:p>
        </w:tc>
        <w:tc>
          <w:tcPr>
            <w:tcW w:w="7800" w:type="dxa"/>
            <w:vAlign w:val="bottom"/>
            <w:tcBorders>
              <w:top w:val="single" w:sz="8" w:color="0000FF"/>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615"/>
        </w:trPr>
        <w:tc>
          <w:tcPr>
            <w:tcW w:w="960" w:type="dxa"/>
            <w:vAlign w:val="bottom"/>
          </w:tcPr>
          <w:p>
            <w:pPr>
              <w:jc w:val="right"/>
              <w:ind w:right="190"/>
              <w:spacing w:after="0"/>
              <w:rPr>
                <w:sz w:val="20"/>
                <w:szCs w:val="20"/>
                <w:color w:val="auto"/>
              </w:rPr>
            </w:pPr>
            <w:r>
              <w:rPr>
                <w:rFonts w:ascii="Arial" w:cs="Arial" w:eastAsia="Arial" w:hAnsi="Arial"/>
                <w:sz w:val="18"/>
                <w:szCs w:val="18"/>
                <w:color w:val="auto"/>
              </w:rPr>
              <w:t>101.INS</w:t>
            </w:r>
          </w:p>
        </w:tc>
        <w:tc>
          <w:tcPr>
            <w:tcW w:w="9980" w:type="dxa"/>
            <w:vAlign w:val="bottom"/>
            <w:gridSpan w:val="6"/>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 document</w:t>
            </w:r>
          </w:p>
        </w:tc>
      </w:tr>
      <w:tr>
        <w:trPr>
          <w:trHeight w:val="810"/>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0"/>
              </w:rPr>
              <w:t>101.SCH</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4"/>
              </w:rPr>
              <w:t>101.CAL</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Calculation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2"/>
              </w:rPr>
              <w:t>101.DEF</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5"/>
              </w:rPr>
              <w:t>101.LAB</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Labels Linkbase Documents</w:t>
            </w:r>
          </w:p>
        </w:tc>
      </w:tr>
      <w:tr>
        <w:trPr>
          <w:trHeight w:val="594"/>
        </w:trPr>
        <w:tc>
          <w:tcPr>
            <w:tcW w:w="960" w:type="dxa"/>
            <w:vAlign w:val="bottom"/>
          </w:tcPr>
          <w:p>
            <w:pPr>
              <w:jc w:val="right"/>
              <w:ind w:right="190"/>
              <w:spacing w:after="0"/>
              <w:rPr>
                <w:sz w:val="20"/>
                <w:szCs w:val="20"/>
                <w:color w:val="auto"/>
              </w:rPr>
            </w:pPr>
            <w:r>
              <w:rPr>
                <w:rFonts w:ascii="Arial" w:cs="Arial" w:eastAsia="Arial" w:hAnsi="Arial"/>
                <w:sz w:val="18"/>
                <w:szCs w:val="18"/>
                <w:color w:val="auto"/>
                <w:w w:val="91"/>
              </w:rPr>
              <w:t>101.PRE</w:t>
            </w:r>
          </w:p>
        </w:tc>
        <w:tc>
          <w:tcPr>
            <w:tcW w:w="9980" w:type="dxa"/>
            <w:vAlign w:val="bottom"/>
            <w:gridSpan w:val="6"/>
          </w:tcPr>
          <w:p>
            <w:pPr>
              <w:spacing w:after="0"/>
              <w:rPr>
                <w:sz w:val="20"/>
                <w:szCs w:val="20"/>
                <w:color w:val="auto"/>
              </w:rPr>
            </w:pPr>
            <w:r>
              <w:rPr>
                <w:rFonts w:ascii="Arial" w:cs="Arial" w:eastAsia="Arial" w:hAnsi="Arial"/>
                <w:sz w:val="18"/>
                <w:szCs w:val="18"/>
                <w:color w:val="auto"/>
              </w:rPr>
              <w:t>XBRL Presentation Linkbase Documents</w:t>
            </w:r>
          </w:p>
        </w:tc>
      </w:tr>
      <w:tr>
        <w:trPr>
          <w:trHeight w:val="743"/>
        </w:trPr>
        <w:tc>
          <w:tcPr>
            <w:tcW w:w="960" w:type="dxa"/>
            <w:vAlign w:val="bottom"/>
          </w:tcPr>
          <w:p>
            <w:pPr>
              <w:spacing w:after="0"/>
              <w:rPr>
                <w:sz w:val="24"/>
                <w:szCs w:val="24"/>
                <w:color w:val="auto"/>
              </w:rPr>
            </w:pPr>
          </w:p>
        </w:tc>
        <w:tc>
          <w:tcPr>
            <w:tcW w:w="6820" w:type="dxa"/>
            <w:vAlign w:val="bottom"/>
            <w:gridSpan w:val="3"/>
          </w:tcPr>
          <w:p>
            <w:pPr>
              <w:ind w:left="4440"/>
              <w:spacing w:after="0"/>
              <w:rPr>
                <w:sz w:val="20"/>
                <w:szCs w:val="20"/>
                <w:color w:val="auto"/>
              </w:rPr>
            </w:pPr>
            <w:r>
              <w:rPr>
                <w:rFonts w:ascii="Arial" w:cs="Arial" w:eastAsia="Arial" w:hAnsi="Arial"/>
                <w:sz w:val="18"/>
                <w:szCs w:val="18"/>
                <w:color w:val="auto"/>
              </w:rPr>
              <w:t>44</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60"/>
          </w:cols>
          <w:pgMar w:left="240" w:top="121" w:right="49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ANGIODYNAMICS, INC.</w:t>
            </w:r>
          </w:p>
        </w:tc>
      </w:tr>
      <w:tr>
        <w:trPr>
          <w:trHeight w:val="270"/>
        </w:trPr>
        <w:tc>
          <w:tcPr>
            <w:tcW w:w="5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7, 2019</w:t>
            </w:r>
          </w:p>
        </w:tc>
        <w:tc>
          <w:tcPr>
            <w:tcW w:w="8200" w:type="dxa"/>
            <w:vAlign w:val="bottom"/>
          </w:tcPr>
          <w:p>
            <w:pPr>
              <w:ind w:left="2900"/>
              <w:spacing w:after="0"/>
              <w:rPr>
                <w:sz w:val="20"/>
                <w:szCs w:val="20"/>
                <w:color w:val="auto"/>
              </w:rPr>
            </w:pPr>
            <w:r>
              <w:rPr>
                <w:rFonts w:ascii="Arial" w:cs="Arial" w:eastAsia="Arial" w:hAnsi="Arial"/>
                <w:sz w:val="18"/>
                <w:szCs w:val="18"/>
                <w:color w:val="auto"/>
              </w:rPr>
              <w:t>/ S /  JAMES C. CLEMMER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89"/>
              </w:rPr>
              <w:t>James C. Clemmer,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594"/>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40"/>
              <w:spacing w:after="0"/>
              <w:rPr>
                <w:sz w:val="20"/>
                <w:szCs w:val="20"/>
                <w:color w:val="auto"/>
              </w:rPr>
            </w:pPr>
            <w:r>
              <w:rPr>
                <w:rFonts w:ascii="Arial" w:cs="Arial" w:eastAsia="Arial" w:hAnsi="Arial"/>
                <w:sz w:val="18"/>
                <w:szCs w:val="18"/>
                <w:color w:val="auto"/>
              </w:rPr>
              <w:t>January 7, 2019</w:t>
            </w:r>
          </w:p>
        </w:tc>
        <w:tc>
          <w:tcPr>
            <w:tcW w:w="8200" w:type="dxa"/>
            <w:vAlign w:val="bottom"/>
          </w:tcPr>
          <w:p>
            <w:pPr>
              <w:ind w:left="2780"/>
              <w:spacing w:after="0"/>
              <w:rPr>
                <w:sz w:val="20"/>
                <w:szCs w:val="20"/>
                <w:color w:val="auto"/>
              </w:rPr>
            </w:pPr>
            <w:r>
              <w:rPr>
                <w:rFonts w:ascii="Arial" w:cs="Arial" w:eastAsia="Arial" w:hAnsi="Arial"/>
                <w:sz w:val="18"/>
                <w:szCs w:val="18"/>
                <w:color w:val="auto"/>
              </w:rPr>
              <w:t>/ S /  MICHAEL C. GREINER</w:t>
            </w:r>
          </w:p>
        </w:tc>
      </w:tr>
      <w:tr>
        <w:trPr>
          <w:trHeight w:val="27"/>
        </w:trPr>
        <w:tc>
          <w:tcPr>
            <w:tcW w:w="5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r>
      <w:tr>
        <w:trPr>
          <w:trHeight w:val="218"/>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Michael C. Greiner, Executive Vice President,</w:t>
            </w:r>
          </w:p>
        </w:tc>
      </w:tr>
      <w:tr>
        <w:trPr>
          <w:trHeight w:val="216"/>
        </w:trPr>
        <w:tc>
          <w:tcPr>
            <w:tcW w:w="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20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r>
        <w:trPr>
          <w:trHeight w:val="702"/>
        </w:trPr>
        <w:tc>
          <w:tcPr>
            <w:tcW w:w="5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0" w:type="dxa"/>
            <w:vAlign w:val="bottom"/>
          </w:tcPr>
          <w:p>
            <w:pPr>
              <w:ind w:left="258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240" w:top="122" w:right="4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171" w:lineRule="exact"/>
        <w:rPr>
          <w:sz w:val="20"/>
          <w:szCs w:val="20"/>
          <w:color w:val="auto"/>
        </w:rPr>
      </w:pPr>
    </w:p>
    <w:p>
      <w:pPr>
        <w:ind w:left="500" w:hanging="465"/>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2019</w:t>
      </w:r>
    </w:p>
    <w:p>
      <w:pPr>
        <w:spacing w:after="0" w:line="225" w:lineRule="exact"/>
        <w:rPr>
          <w:sz w:val="20"/>
          <w:szCs w:val="20"/>
          <w:color w:val="auto"/>
        </w:rPr>
      </w:pPr>
    </w:p>
    <w:p>
      <w:pPr>
        <w:ind w:right="9240" w:firstLine="8"/>
        <w:spacing w:after="0" w:line="312" w:lineRule="auto"/>
        <w:tabs>
          <w:tab w:leader="none" w:pos="95" w:val="left"/>
        </w:tabs>
        <w:numPr>
          <w:ilvl w:val="0"/>
          <w:numId w:val="4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S / JAMES C. CLEMMER </w:t>
      </w:r>
      <w:r>
        <w:rPr>
          <w:rFonts w:ascii="Arial" w:cs="Arial" w:eastAsia="Arial" w:hAnsi="Arial"/>
          <w:sz w:val="16"/>
          <w:szCs w:val="16"/>
          <w:color w:val="auto"/>
        </w:rPr>
        <w:t>James C. Clemmer, President, 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C. Greiner, certify that:</w:t>
      </w:r>
    </w:p>
    <w:p>
      <w:pPr>
        <w:spacing w:after="0" w:line="171" w:lineRule="exact"/>
        <w:rPr>
          <w:sz w:val="20"/>
          <w:szCs w:val="20"/>
          <w:color w:val="auto"/>
        </w:rPr>
      </w:pPr>
    </w:p>
    <w:p>
      <w:pPr>
        <w:ind w:left="500" w:hanging="465"/>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63" w:lineRule="exact"/>
        <w:rPr>
          <w:rFonts w:ascii="Arial" w:cs="Arial" w:eastAsia="Arial" w:hAnsi="Arial"/>
          <w:sz w:val="18"/>
          <w:szCs w:val="18"/>
          <w:color w:val="auto"/>
        </w:rPr>
      </w:pPr>
    </w:p>
    <w:p>
      <w:pPr>
        <w:jc w:val="both"/>
        <w:ind w:left="500" w:right="460" w:hanging="465"/>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420" w:hanging="465"/>
        <w:spacing w:after="0" w:line="29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00" w:right="20" w:hanging="465"/>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sz w:val="20"/>
          <w:szCs w:val="20"/>
          <w:color w:val="auto"/>
        </w:rPr>
      </w:pPr>
    </w:p>
    <w:p>
      <w:pPr>
        <w:ind w:left="500" w:right="120" w:hanging="465"/>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180" w:hanging="465"/>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500" w:right="60" w:hanging="465"/>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500" w:right="120" w:hanging="465"/>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sz w:val="20"/>
          <w:szCs w:val="20"/>
          <w:color w:val="auto"/>
        </w:rPr>
      </w:pPr>
    </w:p>
    <w:p>
      <w:pPr>
        <w:ind w:left="500" w:right="360" w:hanging="465"/>
        <w:spacing w:after="0" w:line="29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00" w:right="160" w:hanging="465"/>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500" w:right="220" w:hanging="465"/>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MICHAEL C. GREINER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C. Greiner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James C. Clemmer, President, Chief Executive Officer and Director of ANGIODYNAMICS, Inc. (the "Company"), certify, pursuant to Section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 to the best of my knowledge:</w:t>
      </w:r>
    </w:p>
    <w:p>
      <w:pPr>
        <w:spacing w:after="0" w:line="157" w:lineRule="exact"/>
        <w:rPr>
          <w:sz w:val="20"/>
          <w:szCs w:val="20"/>
          <w:color w:val="auto"/>
        </w:rPr>
      </w:pPr>
    </w:p>
    <w:p>
      <w:pPr>
        <w:ind w:left="500" w:right="40" w:hanging="465"/>
        <w:spacing w:after="0" w:line="277"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2018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2019</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James C. Clemmer, President,</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Michael C. Greiner, Executive Vice President and Chief Financial Officer of ANGIODYNAMICS, Inc. (the "Company"), certify, pursuant to Section 906 of the Sarbanes-Oxley Act of 2002, 18 U.S.C. Section 1350, that, to the best of my knowledge:</w:t>
      </w:r>
    </w:p>
    <w:p>
      <w:pPr>
        <w:spacing w:after="0" w:line="116" w:lineRule="exact"/>
        <w:rPr>
          <w:sz w:val="20"/>
          <w:szCs w:val="20"/>
          <w:color w:val="auto"/>
        </w:rPr>
      </w:pPr>
    </w:p>
    <w:p>
      <w:pPr>
        <w:ind w:left="500" w:right="40" w:hanging="465"/>
        <w:spacing w:after="0" w:line="27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November 30, 2018 (the "Report") fully complies with the requirements of Section 13(a) or 15(d) of the Securities Exchange Act of 1934 (15 U.S.C. 78m or 78o(d)); and</w:t>
      </w:r>
    </w:p>
    <w:p>
      <w:pPr>
        <w:spacing w:after="0" w:line="8" w:lineRule="exact"/>
        <w:rPr>
          <w:rFonts w:ascii="Arial" w:cs="Arial" w:eastAsia="Arial" w:hAnsi="Arial"/>
          <w:sz w:val="18"/>
          <w:szCs w:val="18"/>
          <w:color w:val="auto"/>
        </w:rPr>
      </w:pPr>
    </w:p>
    <w:p>
      <w:pPr>
        <w:ind w:left="500" w:hanging="465"/>
        <w:spacing w:after="0"/>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January 7, 2019</w:t>
      </w:r>
    </w:p>
    <w:p>
      <w:pPr>
        <w:spacing w:after="0" w:line="3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s / Michael C.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Michael C. Greiner, Executive Vice President and</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decimal"/>
      <w:start w:val="5"/>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2019-12-28T17:09:41Z</dcterms:created>
  <dcterms:modified xsi:type="dcterms:W3CDTF">2019-12-28T17:09:41Z</dcterms:modified>
</cp:coreProperties>
</file>