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28,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6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Outstanding as of April 1, 2025</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7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40,606,986</w:t>
            </w: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Feb 29, 2024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116,183</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(177,986)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(187,736)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(170,900)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5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Feb 29, 2024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29, 2024</w:t>
            </w:r>
          </w:p>
        </w:tc>
      </w:tr>
      <w:tr>
        <w:trPr>
          <w:trHeight w:val="23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(170,900)</w:t>
            </w: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184"/>
        </w:trPr>
        <w:tc>
          <w:tcPr>
            <w:tcW w:w="534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$2,287 and $2,141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317,671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41,584,678 and 40,801,597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8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40,970,831 and 40,431,597 shares outstanding at February 28, 2025 and May 31, 2024,</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610,484</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(395,204)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613,847 and 370,000 shares at February 28, 2025 and May 31, 2024,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205,586</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317,671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Feb 29, 2024</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Transaction costs for disposition</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Impairment loss on indefinite-lived intangible assets</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Write-off of other assets</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6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134,500</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126,053</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arrangement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financing arrangement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6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78,451</w:t>
            </w: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r>
      <w:tr>
        <w:trPr>
          <w:trHeight w:val="310"/>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41,449,556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616,253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41,584,678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619,545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(423,147)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185,870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98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39,981,422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599,206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378,296</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45,884</w:t>
            </w: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386,031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40,586,641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603,759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(164,971)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427,804</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40,594,406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605,284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401,226</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(187,736)</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29,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40,794,533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608,588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(381,755)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218,698</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 and February 29, 2024, the Consolidated Balance Sheet as of February 28, 2025, the Consolidated Statements of Cash Flows for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February 28, 2025 and February 29, 2024, and the Consolidated Statements of Stockholders’ Equity for the nine months ended February 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February 29, 2024 have been prepared by the Company and are unaudited. The Consolidated Balance Sheet as of May 31, 2024 was derived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consolidated financial statements but does not include all disclosures required by accounting principles generally accepted in the United States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In the opinion of management, all adjustments (consisting of normal recurring adjustments) necessary to state fairly the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stockholders’ equity and comprehensive income, results of operations and cash flows as of and for the period ended February 28, 2025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periods presented) have been made.</w:t>
      </w:r>
    </w:p>
    <w:p>
      <w:pPr>
        <w:spacing w:after="0" w:line="153"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nine months ended February 28, 2025 and February 29, 2024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PICCs and Midlines</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Pursuant to an asset purchase agreement dated February 15, 2024 (the "Spectrum Asset Purchase Agreement"), the Company completed the divestiture of its PICC and Midline businesses (the "Spectrum Divestiture") to Spectrum Vascular ("Spectrum"). Total consideration received by the Company for the Spectrum Divestiture in the third quarter of fiscal year 2024 was $34.5 million in cash and resulted in a pre-tax book gain of $6.7 million. Included in the agreement is a $5.5 million earn-out related to the sales of divested products over a two-year period and a milestone payment of</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$5.0 million paid upon final transfer of the manufacturing to a third-party that Spectrum will pay to the Company upon achievement. The Company achieved the sales milestone related to the divested products in the third quarter of fiscal year 2025 and recorded a receivable of $5.5 million in "Earn-out receivable" on the Consolidated Balance Sheets which will be paid to the Company in the fourth quarter of fiscal year 2025.</w:t>
      </w:r>
    </w:p>
    <w:p>
      <w:pPr>
        <w:spacing w:after="0" w:line="18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and Spectrum entered into various agreements to facilitate the transition of the divested businesses to Spectrum, including a Transition Services Agreement and Transition Manufacturing Agreement. The Company determined that the divestiture of the businesses did not constitute a strategic shift that had a major effect on the Company's operations or financial results and as a result, this transaction is not classified as discontinued operations.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As of February 15, 2024</w:t>
            </w:r>
          </w:p>
        </w:tc>
        <w:tc>
          <w:tcPr>
            <w:tcW w:w="0" w:type="dxa"/>
            <w:vAlign w:val="bottom"/>
          </w:tcPr>
          <w:p>
            <w:pPr>
              <w:spacing w:after="0"/>
              <w:rPr>
                <w:sz w:val="1"/>
                <w:szCs w:val="1"/>
                <w:color w:val="auto"/>
              </w:rPr>
            </w:pPr>
          </w:p>
        </w:tc>
      </w:tr>
      <w:tr>
        <w:trPr>
          <w:trHeight w:val="23"/>
        </w:trPr>
        <w:tc>
          <w:tcPr>
            <w:tcW w:w="9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30"/>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and BioSentry</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Pursuant to an asset purchase agreement dated June 8, 2023 (the "Merit Asset Purchase Agreement"), the Company completed the divestiture of the dialysis and BioSentry tract sealant system biopsy businesses (the "Merit Divestiture") to Merit Medical Systems, Inc. ("Merit"). Total consideration received by the Company for the Merit Divestiture in the first quarter of fiscal year 2024 was $100.0 million in cash and resulted in a pre-tax book gain of $47.8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405"/>
        <w:spacing w:after="0" w:line="289" w:lineRule="auto"/>
        <w:rPr>
          <w:sz w:val="20"/>
          <w:szCs w:val="20"/>
          <w:color w:val="auto"/>
        </w:rPr>
      </w:pPr>
      <w:r>
        <w:rPr>
          <w:rFonts w:ascii="Times New Roman" w:cs="Times New Roman" w:eastAsia="Times New Roman" w:hAnsi="Times New Roman"/>
          <w:sz w:val="17"/>
          <w:szCs w:val="17"/>
          <w:color w:val="auto"/>
        </w:rPr>
        <w:t>The Company and Merit entered into various agreements to facilitate the transition of the divested businesses to Merit, including a Transition Services Agreement and Contract Manufacturing Agreement. The Company determined that the divestiture of the businesses did not constitute a strategic shift that had a major effect on the Company's operations or financial results and as a result, this transaction will not be classified as discontinued operations.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As of June 8, 2023</w:t>
            </w:r>
          </w:p>
        </w:tc>
      </w:tr>
      <w:tr>
        <w:trPr>
          <w:trHeight w:val="23"/>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9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30"/>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8"/>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that a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February 28, 2025</w:t>
            </w:r>
          </w:p>
        </w:tc>
        <w:tc>
          <w:tcPr>
            <w:tcW w:w="120" w:type="dxa"/>
            <w:vAlign w:val="bottom"/>
          </w:tcPr>
          <w:p>
            <w:pPr>
              <w:spacing w:after="0"/>
              <w:rPr>
                <w:sz w:val="16"/>
                <w:szCs w:val="16"/>
                <w:color w:val="auto"/>
              </w:rPr>
            </w:pPr>
          </w:p>
        </w:tc>
        <w:tc>
          <w:tcPr>
            <w:tcW w:w="3360" w:type="dxa"/>
            <w:vAlign w:val="bottom"/>
            <w:gridSpan w:val="9"/>
          </w:tcPr>
          <w:p>
            <w:pPr>
              <w:jc w:val="center"/>
              <w:ind w:right="35"/>
              <w:spacing w:after="0"/>
              <w:rPr>
                <w:sz w:val="20"/>
                <w:szCs w:val="20"/>
                <w:color w:val="auto"/>
              </w:rPr>
            </w:pPr>
            <w:r>
              <w:rPr>
                <w:rFonts w:ascii="Times New Roman" w:cs="Times New Roman" w:eastAsia="Times New Roman" w:hAnsi="Times New Roman"/>
                <w:sz w:val="14"/>
                <w:szCs w:val="14"/>
                <w:color w:val="auto"/>
              </w:rPr>
              <w:t>Three Months Ended February 29, 2024</w:t>
            </w:r>
          </w:p>
        </w:tc>
        <w:tc>
          <w:tcPr>
            <w:tcW w:w="0" w:type="dxa"/>
            <w:vAlign w:val="bottom"/>
          </w:tcPr>
          <w:p>
            <w:pPr>
              <w:spacing w:after="0"/>
              <w:rPr>
                <w:sz w:val="1"/>
                <w:szCs w:val="1"/>
                <w:color w:val="auto"/>
              </w:rPr>
            </w:pPr>
          </w:p>
        </w:tc>
      </w:tr>
      <w:tr>
        <w:trPr>
          <w:trHeight w:val="23"/>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9,029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0" w:type="dxa"/>
            <w:vAlign w:val="bottom"/>
          </w:tcPr>
          <w:p>
            <w:pPr>
              <w:spacing w:after="0"/>
              <w:rPr>
                <w:sz w:val="1"/>
                <w:szCs w:val="1"/>
                <w:color w:val="auto"/>
              </w:rPr>
            </w:pPr>
          </w:p>
        </w:tc>
      </w:tr>
      <w:tr>
        <w:trPr>
          <w:trHeight w:val="223"/>
        </w:trPr>
        <w:tc>
          <w:tcPr>
            <w:tcW w:w="4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12,840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rPr>
              <w:t>Nine Months Ended February 28, 2025</w:t>
            </w:r>
          </w:p>
        </w:tc>
        <w:tc>
          <w:tcPr>
            <w:tcW w:w="120" w:type="dxa"/>
            <w:vAlign w:val="bottom"/>
          </w:tcPr>
          <w:p>
            <w:pPr>
              <w:spacing w:after="0"/>
              <w:rPr>
                <w:sz w:val="24"/>
                <w:szCs w:val="24"/>
                <w:color w:val="auto"/>
              </w:rPr>
            </w:pPr>
          </w:p>
        </w:tc>
        <w:tc>
          <w:tcPr>
            <w:tcW w:w="3360" w:type="dxa"/>
            <w:vAlign w:val="bottom"/>
            <w:gridSpan w:val="9"/>
          </w:tcPr>
          <w:p>
            <w:pPr>
              <w:jc w:val="center"/>
              <w:ind w:right="55"/>
              <w:spacing w:after="0"/>
              <w:rPr>
                <w:sz w:val="20"/>
                <w:szCs w:val="20"/>
                <w:color w:val="auto"/>
              </w:rPr>
            </w:pPr>
            <w:r>
              <w:rPr>
                <w:rFonts w:ascii="Times New Roman" w:cs="Times New Roman" w:eastAsia="Times New Roman" w:hAnsi="Times New Roman"/>
                <w:sz w:val="14"/>
                <w:szCs w:val="14"/>
                <w:color w:val="auto"/>
              </w:rPr>
              <w:t>Nine Months Ended February 29, 2024</w:t>
            </w:r>
          </w:p>
        </w:tc>
        <w:tc>
          <w:tcPr>
            <w:tcW w:w="0" w:type="dxa"/>
            <w:vAlign w:val="bottom"/>
          </w:tcPr>
          <w:p>
            <w:pPr>
              <w:spacing w:after="0"/>
              <w:rPr>
                <w:sz w:val="1"/>
                <w:szCs w:val="1"/>
                <w:color w:val="auto"/>
              </w:rPr>
            </w:pPr>
          </w:p>
        </w:tc>
      </w:tr>
      <w:tr>
        <w:trPr>
          <w:trHeight w:val="23"/>
        </w:trPr>
        <w:tc>
          <w:tcPr>
            <w:tcW w:w="4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77,068</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155,866</w:t>
            </w:r>
          </w:p>
        </w:tc>
        <w:tc>
          <w:tcPr>
            <w:tcW w:w="0" w:type="dxa"/>
            <w:vAlign w:val="bottom"/>
          </w:tcPr>
          <w:p>
            <w:pPr>
              <w:spacing w:after="0"/>
              <w:rPr>
                <w:sz w:val="1"/>
                <w:szCs w:val="1"/>
                <w:color w:val="auto"/>
              </w:rPr>
            </w:pPr>
          </w:p>
        </w:tc>
      </w:tr>
      <w:tr>
        <w:trPr>
          <w:trHeight w:val="223"/>
        </w:trPr>
        <w:tc>
          <w:tcPr>
            <w:tcW w:w="4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28,841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42,191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40"/>
        <w:spacing w:after="0" w:line="438" w:lineRule="auto"/>
        <w:rPr>
          <w:sz w:val="20"/>
          <w:szCs w:val="20"/>
          <w:color w:val="auto"/>
        </w:rPr>
      </w:pPr>
      <w:r>
        <w:rPr>
          <w:rFonts w:ascii="Times New Roman" w:cs="Times New Roman" w:eastAsia="Times New Roman" w:hAnsi="Times New Roman"/>
          <w:sz w:val="18"/>
          <w:szCs w:val="18"/>
          <w:color w:val="auto"/>
        </w:rPr>
        <w:t xml:space="preserve">returns, including product recalls. During the nine months ended February 28, 2025 and February 29, 2024, such product returns were not material. </w:t>
      </w:r>
      <w:r>
        <w:rPr>
          <w:rFonts w:ascii="Times New Roman" w:cs="Times New Roman" w:eastAsia="Times New Roman" w:hAnsi="Times New Roman"/>
          <w:sz w:val="18"/>
          <w:szCs w:val="18"/>
          <w:b w:val="1"/>
          <w:bCs w:val="1"/>
          <w:color w:val="auto"/>
        </w:rPr>
        <w:t>Contract Balances with Customers</w:t>
      </w:r>
    </w:p>
    <w:p>
      <w:pPr>
        <w:spacing w:after="0" w:line="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as deferred revenue in "Accrued liabilities"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3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February 28, 2025, the Company had additions to contract liabilities of $0.2 million. This was offset by $0.3 million in revenue that was recognized during the nine months ended February 28,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28, 2025 and May 31, 2024 was $3.8 million and $3.3 million,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value of the assets or asset groups may not be recoverable. If an intangible asset or asset group is considered to be impaired, the amount of the impairment will equal the excess of the carrying value over the fair value of the asset.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Feb 28, 2025</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2024</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February 28, 2025 and February 29, 2024 was $2.6 million and $3.3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nine months ended February 28, 2025 and February 29, 2024 was $7.7 million and $10.5 million, respectively.</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service agreement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1.9% as of the third quarter of fiscal year 2025, as compared to 5.6% for the same period in fiscal year 2024.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as of February 28, 2025.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ind w:right="300" w:firstLine="405"/>
        <w:spacing w:after="0" w:line="275" w:lineRule="auto"/>
        <w:rPr>
          <w:sz w:val="20"/>
          <w:szCs w:val="20"/>
          <w:color w:val="auto"/>
        </w:rPr>
      </w:pPr>
      <w:r>
        <w:rPr>
          <w:rFonts w:ascii="Times New Roman" w:cs="Times New Roman" w:eastAsia="Times New Roman" w:hAnsi="Times New Roman"/>
          <w:sz w:val="17"/>
          <w:szCs w:val="17"/>
          <w:color w:val="auto"/>
        </w:rPr>
        <w:t>On October 13, 2020, the Company's shareholders approved the 2020 Stock and Incentive Award Plan (the “2020 Plan”), and authorized an initial reserve of 2.4 million shares of common stock available for grants.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and November 14, 2023, the Company’s shareholders approved amendments to the 2020 Plan to increase the reserve of shares of common stock available for grants by 1.95 million shares and 1.5 million shares,</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respectively. On November 12, 2024, the Company's shareholders approved an additional amendment to the 2020 Plan to increase the reserve of shares of common stock available for future grants by 3.2 million shares. As of February 28, 2025, there was a maximum of 4.0 million shares of common stock available for future grant under the 2020 Plan.</w:t>
      </w:r>
    </w:p>
    <w:p>
      <w:pPr>
        <w:spacing w:after="0" w:line="12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February 28, 2025, there was a maximum of 2.6 million shares of common stock available for future grant under the employee stock purchase plan.</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February 28, 2025 and February 29, 2024, share-based compensation expense was $2.4 million and $2.6 million, respectively. For the nine months ended February 28, 2025 and February 29, 2024, share-based compensation expense was $8.1 million and $8.6 million, respectively.</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February 28, 2025 and February 29, 2024,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w:t>
      </w:r>
    </w:p>
    <w:p>
      <w:pPr>
        <w:spacing w:after="0" w:line="13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February 28, 2025 and February 29, 2024,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February 28, 2025, there was $18.2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 repurchases during the third quarter of fiscal year 2025. During the second quarter of fiscal year 2025, the Company repurchased 171,706 shares of common stock in the open market at an aggregate cost of $1.1 million under the Repurchase Program. During the first quarter of fiscal year 2025, the Company repurchased 72,141 shares of common stock in the open market at an aggregate cost of $0.5 million under the Repurchase Program. As of February 28, 2025, $13.3 million remained available for repurchase under the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304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Feb 28, 2025</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Feb 29, 2024</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Feb 28, 2025</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2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0"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$285.4 million as of February 28, 2025.</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980" w:type="dxa"/>
            <w:vAlign w:val="bottom"/>
            <w:tcBorders>
              <w:top w:val="single" w:sz="8" w:color="0000FF"/>
            </w:tcBorders>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24"/>
                <w:szCs w:val="24"/>
                <w:color w:val="auto"/>
              </w:rPr>
            </w:pPr>
          </w:p>
        </w:tc>
        <w:tc>
          <w:tcPr>
            <w:tcW w:w="29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Feb 29,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tcBorders>
            <w:shd w:val="clear" w:color="auto" w:fill="CCEEFF"/>
          </w:tcPr>
          <w:p>
            <w:pPr>
              <w:spacing w:after="0"/>
              <w:rPr>
                <w:sz w:val="21"/>
                <w:szCs w:val="21"/>
                <w:color w:val="auto"/>
              </w:rPr>
            </w:pPr>
          </w:p>
        </w:tc>
        <w:tc>
          <w:tcPr>
            <w:tcW w:w="38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25,844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90,863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77,068</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48,400</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40,663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121,477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155,866</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58,089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67,783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75,182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212,340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232,934</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116,183</w:t>
            </w:r>
          </w:p>
        </w:tc>
        <w:tc>
          <w:tcPr>
            <w:tcW w:w="0" w:type="dxa"/>
            <w:vAlign w:val="bottom"/>
          </w:tcPr>
          <w:p>
            <w:pPr>
              <w:spacing w:after="0"/>
              <w:rPr>
                <w:sz w:val="1"/>
                <w:szCs w:val="1"/>
                <w:color w:val="auto"/>
              </w:rPr>
            </w:pPr>
          </w:p>
        </w:tc>
      </w:tr>
      <w:tr>
        <w:trPr>
          <w:trHeight w:val="236"/>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Feb 29,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61,340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10,664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42,191</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72,004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60" w:firstLine="445"/>
        <w:spacing w:after="0" w:line="260" w:lineRule="auto"/>
        <w:rPr>
          <w:sz w:val="20"/>
          <w:szCs w:val="20"/>
          <w:color w:val="auto"/>
        </w:rPr>
      </w:pPr>
      <w:r>
        <w:rPr>
          <w:rFonts w:ascii="Times New Roman" w:cs="Times New Roman" w:eastAsia="Times New Roman" w:hAnsi="Times New Roman"/>
          <w:sz w:val="17"/>
          <w:szCs w:val="17"/>
          <w:color w:val="auto"/>
        </w:rPr>
        <w:t>For the three months ended February 28, 2025 and February 29, 2024, international sales as a percentage of total net sales were 14.8% and 17.1%, respectively. For the nine months ended February 28, 2025 and February 29, 2024, international sales as a percentage of total net sales were 13.6% and</w:t>
      </w:r>
    </w:p>
    <w:p>
      <w:pPr>
        <w:spacing w:after="0" w:line="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18.1%, respectively. Sales to any one country outside the U.S., as determined by shipment destination, did not comprise a material portion of net sales in any of the last three fiscal years. In addition, no one customer represents more than 10% of consolidated net sales and 65% of long-lived assets are located within the United States.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at Feb 28,</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5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40" w:type="dxa"/>
            <w:vAlign w:val="bottom"/>
            <w:gridSpan w:val="7"/>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40" w:type="dxa"/>
            <w:vAlign w:val="bottom"/>
            <w:tcBorders>
              <w:bottom w:val="single" w:sz="8" w:color="auto"/>
            </w:tcBorders>
            <w:gridSpan w:val="7"/>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Level 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Level 2</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and nine months ended February 28, 2025 and February 29, 2024.</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Three Months Ended Feb 28,</w:t>
            </w:r>
          </w:p>
        </w:tc>
        <w:tc>
          <w:tcPr>
            <w:tcW w:w="0" w:type="dxa"/>
            <w:vAlign w:val="bottom"/>
          </w:tcPr>
          <w:p>
            <w:pPr>
              <w:spacing w:after="0"/>
              <w:rPr>
                <w:sz w:val="1"/>
                <w:szCs w:val="1"/>
                <w:color w:val="auto"/>
              </w:rPr>
            </w:pPr>
          </w:p>
        </w:tc>
      </w:tr>
      <w:tr>
        <w:trPr>
          <w:trHeight w:val="196"/>
        </w:trPr>
        <w:tc>
          <w:tcPr>
            <w:tcW w:w="9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35"/>
        </w:trPr>
        <w:tc>
          <w:tcPr>
            <w:tcW w:w="9260" w:type="dxa"/>
            <w:vAlign w:val="bottom"/>
          </w:tcPr>
          <w:p>
            <w:pPr>
              <w:spacing w:after="0"/>
              <w:rPr>
                <w:sz w:val="11"/>
                <w:szCs w:val="11"/>
                <w:color w:val="auto"/>
              </w:rPr>
            </w:pPr>
          </w:p>
        </w:tc>
        <w:tc>
          <w:tcPr>
            <w:tcW w:w="1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39"/>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9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8"/>
        </w:trPr>
        <w:tc>
          <w:tcPr>
            <w:tcW w:w="9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November 30,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26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Nine Months Ended February 28,</w:t>
            </w:r>
          </w:p>
        </w:tc>
        <w:tc>
          <w:tcPr>
            <w:tcW w:w="0" w:type="dxa"/>
            <w:vAlign w:val="bottom"/>
          </w:tcPr>
          <w:p>
            <w:pPr>
              <w:spacing w:after="0"/>
              <w:rPr>
                <w:sz w:val="1"/>
                <w:szCs w:val="1"/>
                <w:color w:val="auto"/>
              </w:rPr>
            </w:pPr>
          </w:p>
        </w:tc>
      </w:tr>
      <w:tr>
        <w:trPr>
          <w:trHeight w:val="193"/>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38"/>
        </w:trPr>
        <w:tc>
          <w:tcPr>
            <w:tcW w:w="9260" w:type="dxa"/>
            <w:vAlign w:val="bottom"/>
          </w:tcPr>
          <w:p>
            <w:pPr>
              <w:spacing w:after="0"/>
              <w:rPr>
                <w:sz w:val="11"/>
                <w:szCs w:val="11"/>
                <w:color w:val="auto"/>
              </w:rPr>
            </w:pPr>
          </w:p>
        </w:tc>
        <w:tc>
          <w:tcPr>
            <w:tcW w:w="19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49"/>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93"/>
        </w:trPr>
        <w:tc>
          <w:tcPr>
            <w:tcW w:w="9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120" w:firstLine="8"/>
        <w:spacing w:after="0" w:line="28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7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jc w:val="both"/>
        <w:ind w:right="560" w:firstLine="405"/>
        <w:spacing w:after="0" w:line="266"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0"/>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3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At February 28, 2025, the amount of undiscounted future contingent consideration that the Company expects to pay as a result of all completed acquisitions is approximately $5.0 million. The final milestone associated with the contingent consideration was reached during the third quarter of fiscal year 2025 and will be paid during the first quarter of fiscal year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and warehousing. The Company has financing arrangement for manufacturing and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years for the Queensbury, NY facility and $0.4 million over three years years for the Glens Falls, NY facility.</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 and interest expense, using the effective interest rate method. No gain or loss was recognized related to the financing arrangement for the three and nine months ended February 28, 2025.</w:t>
      </w:r>
    </w:p>
    <w:p>
      <w:pPr>
        <w:spacing w:after="0" w:line="12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As of February 28, 2025, the carrying value of the financing arrangement was $6.3 million, of which $0.4 million was classified as "Other current liabilities" and $5.9 million was classified as "Other long-term liabilities" on the Consolidated Balance Sheets. Interest expense associated with the financing arrangement was $0.1 million for the three and nine months ending February 28, 2025.</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Remaining future cash payments related to the financing arrangement as of February 28, 2025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Feb 28, 2025</w:t>
            </w:r>
          </w:p>
        </w:tc>
      </w:tr>
      <w:tr>
        <w:trPr>
          <w:trHeight w:val="23"/>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liability payments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1"/>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Feb 28, 2025</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454"/>
        </w:trPr>
        <w:tc>
          <w:tcPr>
            <w:tcW w:w="9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as of February 28, 2025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Feb 28, 2025</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During the three months ended February 28, 2025 and February 29, 2024, the Company recognized $0.7 million and $0.7 million of operating lease expense, respectively, which includes immaterial short-term leases. During the nine months ended February 28, 2025 and February 29, 2024, the Company recognized $2.0 million and $1.9 million of operating lease expense respective, which includes immaterial short-term leases. The expenses on the Consolidated Statement of Operations were classified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29,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0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w w:val="99"/>
              </w:rPr>
              <w:t>The following table presents supplemental cash flow and other information related to leases: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Pr>
          <w:p>
            <w:pPr>
              <w:spacing w:after="0"/>
              <w:rPr>
                <w:sz w:val="16"/>
                <w:szCs w:val="16"/>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9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16" w:lineRule="exact"/>
        <w:rPr>
          <w:sz w:val="20"/>
          <w:szCs w:val="20"/>
          <w:color w:val="auto"/>
        </w:rPr>
      </w:pPr>
    </w:p>
    <w:p>
      <w:pPr>
        <w:jc w:val="both"/>
        <w:ind w:right="20" w:firstLine="405"/>
        <w:spacing w:after="0" w:line="250"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217" w:lineRule="exact"/>
        <w:rPr>
          <w:sz w:val="20"/>
          <w:szCs w:val="20"/>
          <w:color w:val="auto"/>
        </w:rPr>
      </w:pPr>
    </w:p>
    <w:p>
      <w:pPr>
        <w:ind w:right="220"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starting in fiscal year 2025, and potential additional payments if six percent (6%) of annual net sales of the Company’s port products exceed the minimum payment.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Appellate briefing is closed, but an argument date has not yet been set. Neither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party admitted any liability and the agreement contains mutual covenants not to sue and releases. As of February 28, 2025, there was $3.5 million payable to BD recorded in other current liabilities and $8.9 million recorded in other long-term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243" w:lineRule="exact"/>
        <w:rPr>
          <w:sz w:val="20"/>
          <w:szCs w:val="20"/>
          <w:color w:val="auto"/>
        </w:rPr>
      </w:pPr>
    </w:p>
    <w:p>
      <w:pPr>
        <w:ind w:right="140" w:firstLine="405"/>
        <w:spacing w:after="0" w:line="241" w:lineRule="auto"/>
        <w:rPr>
          <w:sz w:val="20"/>
          <w:szCs w:val="20"/>
          <w:color w:val="auto"/>
        </w:rPr>
      </w:pPr>
      <w:r>
        <w:rPr>
          <w:rFonts w:ascii="Times New Roman" w:cs="Times New Roman" w:eastAsia="Times New Roman" w:hAnsi="Times New Roman"/>
          <w:sz w:val="18"/>
          <w:szCs w:val="18"/>
          <w:color w:val="auto"/>
        </w:rPr>
        <w:t>As of February 28, 2025, the Company is defending approximately 120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Feb 29, 2024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asset impairment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firstLine="8"/>
        <w:spacing w:after="0" w:line="267"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 For the three and nine months ended February 29, 2024, a $19.3 million settlement expense was recorded as a result of the Settlement Agreement that was entered into between the Company and BD.</w:t>
      </w: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expenses, related to the restructuring of our manufacturing footprint which was announced on January 5,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out of Queensbury, NY.</w:t>
      </w:r>
    </w:p>
    <w:p>
      <w:pPr>
        <w:spacing w:after="0" w:line="15" w:lineRule="exact"/>
        <w:rPr>
          <w:rFonts w:ascii="Times New Roman" w:cs="Times New Roman" w:eastAsia="Times New Roman" w:hAnsi="Times New Roman"/>
          <w:sz w:val="16"/>
          <w:szCs w:val="16"/>
          <w:color w:val="auto"/>
        </w:rPr>
      </w:pPr>
    </w:p>
    <w:p>
      <w:pPr>
        <w:ind w:right="80" w:firstLine="8"/>
        <w:spacing w:after="0" w:line="275"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$1.6 million in other for the nine months ended February 29, 2024 is $0.9 million of deferred financing fees that were written-off in conjunction with the divestiture of the Dialysis and BioSentry businesses and concurrent extinguishment of the debt.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of its manufacturing footprint and a shift to an outsourced model (the "Plan"). This Plan will transfer all product manufacturing processes to third-party manufacturers.</w:t>
      </w:r>
    </w:p>
    <w:p>
      <w:pPr>
        <w:spacing w:after="0" w:line="12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original and modified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82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300" w:type="dxa"/>
            <w:vAlign w:val="bottom"/>
          </w:tcPr>
          <w:p>
            <w:pPr>
              <w:spacing w:after="0"/>
              <w:rPr>
                <w:sz w:val="24"/>
                <w:szCs w:val="24"/>
                <w:color w:val="auto"/>
              </w:rPr>
            </w:pPr>
          </w:p>
        </w:tc>
        <w:tc>
          <w:tcPr>
            <w:tcW w:w="4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color w:val="auto"/>
              </w:rPr>
              <w:t>Total original estimated amount expected to be incurred</w:t>
            </w:r>
          </w:p>
        </w:tc>
        <w:tc>
          <w:tcPr>
            <w:tcW w:w="300" w:type="dxa"/>
            <w:vAlign w:val="bottom"/>
          </w:tcPr>
          <w:p>
            <w:pPr>
              <w:spacing w:after="0"/>
              <w:rPr>
                <w:sz w:val="24"/>
                <w:szCs w:val="24"/>
                <w:color w:val="auto"/>
              </w:rPr>
            </w:pPr>
          </w:p>
        </w:tc>
        <w:tc>
          <w:tcPr>
            <w:tcW w:w="3940" w:type="dxa"/>
            <w:vAlign w:val="bottom"/>
            <w:gridSpan w:val="4"/>
          </w:tcPr>
          <w:p>
            <w:pPr>
              <w:jc w:val="center"/>
              <w:ind w:right="210"/>
              <w:spacing w:after="0"/>
              <w:rPr>
                <w:sz w:val="20"/>
                <w:szCs w:val="20"/>
                <w:color w:val="auto"/>
              </w:rPr>
            </w:pPr>
            <w:r>
              <w:rPr>
                <w:rFonts w:ascii="Times New Roman" w:cs="Times New Roman" w:eastAsia="Times New Roman" w:hAnsi="Times New Roman"/>
                <w:sz w:val="14"/>
                <w:szCs w:val="14"/>
                <w:color w:val="auto"/>
              </w:rPr>
              <w:t>Total modified estimated amount expected to be incurred</w:t>
            </w:r>
          </w:p>
        </w:tc>
      </w:tr>
      <w:tr>
        <w:trPr>
          <w:trHeight w:val="23"/>
        </w:trPr>
        <w:tc>
          <w:tcPr>
            <w:tcW w:w="2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6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8"/>
        </w:trPr>
        <w:tc>
          <w:tcPr>
            <w:tcW w:w="9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760" w:firstLine="8"/>
        <w:spacing w:after="0" w:line="280"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original and modified estimate is approximately $13.6 million and $13.3 million of non-cash charges for accelerated depreciation and building impairment, respectively.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and nine months ended February 28, 2025 of $3.1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million, respectively. Total restructuring charges recorded to date are $21.3 million. Termination benefits are only earned if an employee stays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termination date; therefore, the expenses related to termination benefits are being recorded ratably over the service period.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table below presents the restructuring reserve for the three and nine months ended </w:t>
      </w:r>
      <w:r>
        <w:rPr>
          <w:rFonts w:ascii="Times New Roman" w:cs="Times New Roman" w:eastAsia="Times New Roman" w:hAnsi="Times New Roman"/>
          <w:sz w:val="16"/>
          <w:szCs w:val="16"/>
          <w:color w:val="auto"/>
        </w:rPr>
        <w:t>February 28, 2025</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13"/>
          </w:tcPr>
          <w:p>
            <w:pPr>
              <w:ind w:left="580"/>
              <w:spacing w:after="0"/>
              <w:rPr>
                <w:sz w:val="20"/>
                <w:szCs w:val="20"/>
                <w:color w:val="auto"/>
              </w:rPr>
            </w:pPr>
            <w:r>
              <w:rPr>
                <w:rFonts w:ascii="Times New Roman" w:cs="Times New Roman" w:eastAsia="Times New Roman" w:hAnsi="Times New Roman"/>
                <w:sz w:val="14"/>
                <w:szCs w:val="14"/>
                <w:color w:val="auto"/>
              </w:rPr>
              <w:t>Three Months Ended Feb 28, 2025</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40" w:type="dxa"/>
            <w:vAlign w:val="bottom"/>
            <w:gridSpan w:val="3"/>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3"/>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20" w:type="dxa"/>
            <w:vAlign w:val="bottom"/>
          </w:tcPr>
          <w:p>
            <w:pPr>
              <w:spacing w:after="0"/>
              <w:rPr>
                <w:sz w:val="11"/>
                <w:szCs w:val="11"/>
                <w:color w:val="auto"/>
              </w:rPr>
            </w:pPr>
          </w:p>
        </w:tc>
        <w:tc>
          <w:tcPr>
            <w:tcW w:w="116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40" w:type="dxa"/>
            <w:vAlign w:val="bottom"/>
          </w:tcPr>
          <w:p>
            <w:pPr>
              <w:spacing w:after="0"/>
              <w:rPr>
                <w:sz w:val="11"/>
                <w:szCs w:val="11"/>
                <w:color w:val="auto"/>
              </w:rPr>
            </w:pPr>
          </w:p>
        </w:tc>
        <w:tc>
          <w:tcPr>
            <w:tcW w:w="1040" w:type="dxa"/>
            <w:vAlign w:val="bottom"/>
            <w:gridSpan w:val="4"/>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60" w:type="dxa"/>
            <w:vAlign w:val="bottom"/>
            <w:gridSpan w:val="13"/>
          </w:tcPr>
          <w:p>
            <w:pPr>
              <w:ind w:left="600"/>
              <w:spacing w:after="0"/>
              <w:rPr>
                <w:sz w:val="20"/>
                <w:szCs w:val="20"/>
                <w:color w:val="auto"/>
              </w:rPr>
            </w:pPr>
            <w:r>
              <w:rPr>
                <w:rFonts w:ascii="Times New Roman" w:cs="Times New Roman" w:eastAsia="Times New Roman" w:hAnsi="Times New Roman"/>
                <w:sz w:val="14"/>
                <w:szCs w:val="14"/>
                <w:color w:val="auto"/>
              </w:rPr>
              <w:t>Nine Months Ended Feb 28, 2025</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40" w:type="dxa"/>
            <w:vAlign w:val="bottom"/>
            <w:gridSpan w:val="3"/>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20" w:type="dxa"/>
            <w:vAlign w:val="bottom"/>
          </w:tcPr>
          <w:p>
            <w:pPr>
              <w:spacing w:after="0"/>
              <w:rPr>
                <w:sz w:val="11"/>
                <w:szCs w:val="11"/>
                <w:color w:val="auto"/>
              </w:rPr>
            </w:pPr>
          </w:p>
        </w:tc>
        <w:tc>
          <w:tcPr>
            <w:tcW w:w="1160" w:type="dxa"/>
            <w:vAlign w:val="bottom"/>
            <w:gridSpan w:val="4"/>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40" w:type="dxa"/>
            <w:vAlign w:val="bottom"/>
          </w:tcPr>
          <w:p>
            <w:pPr>
              <w:spacing w:after="0"/>
              <w:rPr>
                <w:sz w:val="11"/>
                <w:szCs w:val="11"/>
                <w:color w:val="auto"/>
              </w:rPr>
            </w:pPr>
          </w:p>
        </w:tc>
        <w:tc>
          <w:tcPr>
            <w:tcW w:w="104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Closeout Fees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0" w:type="dxa"/>
            <w:vAlign w:val="bottom"/>
          </w:tcPr>
          <w:p>
            <w:pPr>
              <w:spacing w:after="0"/>
              <w:rPr>
                <w:sz w:val="1"/>
                <w:szCs w:val="1"/>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140" w:firstLine="8"/>
        <w:spacing w:after="0" w:line="466" w:lineRule="auto"/>
        <w:tabs>
          <w:tab w:leader="none" w:pos="27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4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24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gridSpan w:val="2"/>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reportable segment</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2024</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Reporting (Topic 280):</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disclosure requirements, primarily through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fiscal year 2025 and does not expect there to be a</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Improvements to Reportable</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enhanced disclosures about significant segment</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material impact to the consolidated financial</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Segment Disclosures</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requirements on an annual basis by requiring the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first quarter of fiscal year 2026 and does not</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Company to: (1) disclose specific categories in the</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rate reconciliation and (2) provide additional</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information for reconciling items that meet a</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quantitative threshold.</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right w:val="single" w:sz="8" w:color="auto"/>
            </w:tcBorders>
            <w:gridSpan w:val="2"/>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2027</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business entity's costs and expenses by requiring</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the Company to disclose more detailed information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Disaggregation of Income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2024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January 5, 2024, the Company announced a restructuring of its manufacturing footprint and a shift to an outsourced model (the "Plan"). This Plan will transfer all product manufacturing processes to third-party manufacturers. 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 The modified Plan is still expected to generate $15.0 million in annual cost savings starting in fiscal year 2027.</w:t>
      </w:r>
    </w:p>
    <w:p>
      <w:pPr>
        <w:spacing w:after="0" w:line="12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 repurchases during the third quarter of fiscal year 2025. During the first quarter of fiscal year 2025, the Company repurchased 72,141 shares of common stock in the open market at an aggregate cost of $0.5 million under the Repurchase Program. During the second quarter of fiscal year 2025, the Company repurchased 171,706 shares of common stock in the open market at an aggregate cost of $1.1 million under the Repurchase Program. As of February 28, 2025, $13.3 million remained available for repurchase under the Repurchase Program.</w:t>
      </w:r>
    </w:p>
    <w:p>
      <w:pPr>
        <w:spacing w:after="0" w:line="13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w:t>
      </w:r>
    </w:p>
    <w:p>
      <w:pPr>
        <w:spacing w:after="0" w:line="180"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and nine months ended February 28, 2025 compared to the three and nine months ended February 29, 2024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February 28, 2025:</w:t>
      </w:r>
    </w:p>
    <w:p>
      <w:pPr>
        <w:spacing w:after="0" w:line="17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4.2% to $72.0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21.3% and Med Device declined by 17.6%</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630 bps to 54.0%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increased 110 bps to 62.5% and Med Device gross profit increased 690 bps to 47.4%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$183.3 million to $4.4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$4.56 to $0.11</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Nine months ended February 28, 2025:</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8.8% to $212.3 million</w:t>
      </w:r>
    </w:p>
    <w:p>
      <w:pPr>
        <w:spacing w:after="0" w:line="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17.9% and Med Device declined by 22.1%</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450 bps to 54.4%</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increased 40 bps to 63.2% and Med Device gross profit increased 430 bps to 47.8%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$143.0 million to $27.9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$3.58 to $0.68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operations decreased by $4.2 million to $28.9 million</w:t>
      </w:r>
    </w:p>
    <w:p>
      <w:pPr>
        <w:spacing w:after="0" w:line="23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February 28, 2025, the decrease in revenue is due to the divestiture of the PICCs, Midline, dialysis and BioSentry businesses, along with the discontinuation of the RadioFrequency Ablation and Syntrax product lines, the total of which impacted sales by $9.2 million and $33.5 million compared to the three and nine months ended February 29, 2024, respectively. Our Med Tech revenue, comprised of Auryon, the thrombus management platform and NanoKnife, grew 21.3% in the third quarter of fiscal year 2025. Our Med Device revenue declined by 17.6% in the third quarter of fiscal year 2025 driven mainly by the divestiture of the PICCs, Midlines, dialysis and BioSentry businesses along with the discontinuation of the RadioFrequency Ablation product lines.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February 28, 2025, the Company reported net loss of $4.4 million, or diluted loss per share of $0.11, on net sales of $72.0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compared with a net loss of $187.7 million, or diluted loss per share of $4.67, on net sales of $75.2 million during the same quarter of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For the nine months ended February 28, 2025, the Company reported net loss of $27.9 million, or diluted loss per share of $0.68, on net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 million, compared with a net loss of $170.9 million, or diluted loss per share of $4.26, on net sales of $232.9 million during the same quarter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Feb 29, 2024</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 29, 2024</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77,068</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13,795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Med Device</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8"/>
              </w:rPr>
              <w:t>(8,675)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(34,389)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w w:val="98"/>
              </w:rPr>
              <w:t>(3,178)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8"/>
                <w:szCs w:val="18"/>
                <w:color w:val="auto"/>
              </w:rPr>
              <w:t>(20,594)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Feb 29, 2024</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 29, 2024</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(1,002)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190,743</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8"/>
              </w:rPr>
              <w:t>(2,176)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75,182</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w w:val="98"/>
              </w:rPr>
              <w:t>(3,178)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February 28, 2025, net sales decreased $3.2 million to $72.0 million compared to the three months ended February 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For the nine months ended February 28, 2025, net sales decreased $20.6 million to $212.3 million compared to the nine months ended February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At February 28, 2025, the Company had a sales order backlog of $0.5 million.</w:t>
      </w:r>
    </w:p>
    <w:p>
      <w:pPr>
        <w:spacing w:after="0" w:line="153"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$5.5 million and $13.8 million for the three and nine months ended February 28, 2025 compared to the three and nine months ended February 29, 2024, respectively. The change in sales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$2.0 million and $7.2 million compared to the same period in the prior year, respectively;</w:t>
      </w:r>
    </w:p>
    <w:p>
      <w:pPr>
        <w:spacing w:after="0" w:line="2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Syntrax of $0.2 million and $0.4 million, respectively, due to the discontinuation of this product line as of February 29, 2024;</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of the thrombus management platform of $3.3 million and $6.8 million compared to the same period in the prior year, respectively. This was driven by an increase in AngioVac and AlphaVac sales of $3.1 million and $6.3 million compared to the same periods in the prior year, respectively, and an increase in thrombolytic sales of $0.2 million and $0.5 million compared to the same periods in the prior year, respectively; and</w:t>
      </w:r>
    </w:p>
    <w:p>
      <w:pPr>
        <w:spacing w:after="0" w:line="1" w:lineRule="exact"/>
        <w:rPr>
          <w:rFonts w:ascii="Times New Roman" w:cs="Times New Roman" w:eastAsia="Times New Roman" w:hAnsi="Times New Roman"/>
          <w:sz w:val="18"/>
          <w:szCs w:val="18"/>
          <w:b w:val="1"/>
          <w:bCs w:val="1"/>
          <w:color w:val="auto"/>
        </w:rPr>
      </w:pPr>
    </w:p>
    <w:p>
      <w:pPr>
        <w:ind w:left="660" w:right="460" w:hanging="328"/>
        <w:spacing w:after="0" w:line="260"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NanoKnife sales of $0.3 million and $0.2 million compared to the same period in the prior year, respectively, which was driven by increased disposable sales offset by decreased capital sales.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Med Device segment net sales decreased $8.7 million and $34.4 million for the three and nine months ended February 28, 2025 compared to the three and nine months ended February 29, 2024, respectively. The backlog, which primarily impacted sales of Core and Oncology products, was $0.5 million.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sales for the three months ended February 28, 2025 compared to the three months ended February 29, 2024, was primarily driven by:</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$8.6 million, which was due to the divestiture of these businesses on February 15,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$0.4 million due to the discontinuation of this product line as of February 29, 2024; and</w:t>
      </w:r>
    </w:p>
    <w:p>
      <w:pPr>
        <w:spacing w:after="0" w:line="9"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and Microwave products of $0.7 million and $0.4 million, respectively, which was partially offset by decreased sales of Venous, Ports and Oncology products of $0.2 million, $0.2 million and $0.3 million, respectively.</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sales for the nine months ended February 28, 2025 compared to the nine months ended February 29, 2024, was primarily driven by:</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$30.2 million, which was due to the divestiture of these businesses on February 15,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dialysis and BioSentry products of $0.7 million, which was due to the divestiture of these businesses on June 8,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$2.2 million due to the discontinuation of this product line as of February 29, 2024; and</w:t>
      </w:r>
    </w:p>
    <w:p>
      <w:pPr>
        <w:spacing w:after="0" w:line="9"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Microwave and Oncology products of $1.0 million and $0.6 million, respectively, which was partially offset by increased sales of Core and Ports of $0.3 million and $0.1 million,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29, 2024</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29, 2024</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15,857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57,398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20,004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58,089</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67,783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35,861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Company gross profit increased by $3.0 million and decreased by $0.7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right="1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the PICCs, Midline, dialysis and BioSentry businesses and abandonment of the Syntrax and RF product lines contributed $2.2 million and $9.2 million of gross profit, respectively;</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$5.4 million and $12.9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incentives and a prior year supplier recall, which positively impacted gross profit by $1.2 million and $1.4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costs, which negatively impacted gross profit by $1.2 million and $2.7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p>
      <w:pPr>
        <w:ind w:left="660" w:right="120" w:hanging="328"/>
        <w:spacing w:after="0" w:line="246"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which positively impacted gross profit by $0.5 million for the three months ended February 28, 2025 and which negatively impacted gross profit by $1.0 million for the nine months ended February 28, 2025;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$0.7 million and $2.0 million, respectively.</w:t>
      </w:r>
    </w:p>
    <w:p>
      <w:pPr>
        <w:spacing w:after="0" w:line="23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Med Tech segment gross profit increased by $3.7 million and $9.0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Syntrax product line impacted gross profit by $0.1 million and $0.2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$4.9 million and $12.6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which positively impacted gross profit by $0.1 million and $0.1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incentives and costs, which negatively impacted gross profit by $0.7 million and $1.3 million, respectively;</w:t>
      </w:r>
    </w:p>
    <w:p>
      <w:pPr>
        <w:spacing w:after="0" w:line="9" w:lineRule="exact"/>
        <w:rPr>
          <w:rFonts w:ascii="Times New Roman" w:cs="Times New Roman" w:eastAsia="Times New Roman" w:hAnsi="Times New Roman"/>
          <w:sz w:val="18"/>
          <w:szCs w:val="18"/>
          <w:color w:val="auto"/>
        </w:rPr>
      </w:pPr>
    </w:p>
    <w:p>
      <w:pPr>
        <w:ind w:left="660" w:right="200" w:hanging="328"/>
        <w:spacing w:after="0" w:line="243" w:lineRule="auto"/>
        <w:tabs>
          <w:tab w:leader="none" w:pos="6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$0.3 million for the nine months ended February 28, 2025; and</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$0.6 million and $1.9 million, respectively.</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Med Device segment gross profit decreased by $0.7 million and $9.7 million for the three and nine months ended February 28, 2025 compared to the three and nine months ended February 29, 2024, respectively. The change for both periods was primarily driven by:</w:t>
      </w:r>
    </w:p>
    <w:p>
      <w:pPr>
        <w:spacing w:after="0" w:line="149" w:lineRule="exact"/>
        <w:rPr>
          <w:sz w:val="20"/>
          <w:szCs w:val="20"/>
          <w:color w:val="auto"/>
        </w:rPr>
      </w:pPr>
    </w:p>
    <w:p>
      <w:pPr>
        <w:ind w:left="660" w:right="2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the PICCs, Midline, dialysis and BioSentry businesses and abandonment of the RF product line contributed $2.1 million and $9.1 million of gross profit, respectively;</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profit by $0.9 million and $2.4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supplier recall, which positively impacted gross profit by $1.2 million and $1.4 million, respectively;</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production volume and other incentives and costs, which negatively impacted gross profit by $1.1 million and $3.5 million, respectively;</w:t>
      </w:r>
    </w:p>
    <w:p>
      <w:pPr>
        <w:ind w:left="660" w:right="180" w:hanging="328"/>
        <w:spacing w:after="0" w:line="243"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positively impacted gross profit by $0.5 million for the three months ended February 28, 2025 and negatively impacted gross profit by $0.7 million for the nine months ended February 28, 2025; and</w:t>
      </w:r>
    </w:p>
    <w:p>
      <w:pPr>
        <w:spacing w:after="0" w:line="1" w:lineRule="exact"/>
        <w:rPr>
          <w:rFonts w:ascii="Times New Roman" w:cs="Times New Roman" w:eastAsia="Times New Roman" w:hAnsi="Times New Roman"/>
          <w:sz w:val="18"/>
          <w:szCs w:val="18"/>
          <w:b w:val="1"/>
          <w:bCs w:val="1"/>
          <w:color w:val="auto"/>
        </w:rPr>
      </w:pPr>
    </w:p>
    <w:p>
      <w:pPr>
        <w:ind w:left="660" w:right="40" w:hanging="328"/>
        <w:spacing w:after="0" w:line="24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$0.1 million for the nine months ended February 28, 2025 compared to the nine months ended February 29,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Nine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29, 2024</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29, 2024</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78,237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8"/>
              </w:rPr>
              <w:t>1,133</w:t>
            </w:r>
          </w:p>
        </w:tc>
        <w:tc>
          <w:tcPr>
            <w:tcW w:w="0" w:type="dxa"/>
            <w:vAlign w:val="bottom"/>
          </w:tcPr>
          <w:p>
            <w:pPr>
              <w:spacing w:after="0"/>
              <w:rPr>
                <w:sz w:val="1"/>
                <w:szCs w:val="1"/>
                <w:color w:val="auto"/>
              </w:rPr>
            </w:pP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R&amp;D expense decreased $1.3 million and $5.2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right="2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decreased R&amp;D expense by $1.6 million and $5.8 million, respectively;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$0.3 million and $0.5 million, respectively.</w:t>
      </w:r>
    </w:p>
    <w:p>
      <w:pPr>
        <w:spacing w:after="0" w:line="2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S&amp;M expense increased $0.1 million and decreased $1.5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decreased by $0.1 million and $2.5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subscriptions and other marketing expenses, which increased $0.1 million and $0.9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selling expenses, which increased $0.1 million for both periods.</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G&amp;A expense decreased $0.1 million and increased $1.1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$0.7 million and $1.7 million, respectively;</w:t>
      </w:r>
    </w:p>
    <w:p>
      <w:pPr>
        <w:spacing w:after="0" w:line="27"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consultant spend, which decreased $0.2 million for the three months ended February 28, 2025 and increased $1.1 million for the nine months ended February 28, 2025, compared to the three and nine months ended February 29, 2024, respectively;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corporate expenses, which decreased $0.5 million and $1.6 million, respectively.</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Nine Months Ended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2025</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Feb 29, 2024</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2025</w:t>
            </w:r>
          </w:p>
        </w:tc>
        <w:tc>
          <w:tcPr>
            <w:tcW w:w="1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Feb 29, 2024</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3" w:lineRule="exact"/>
        <w:rPr>
          <w:sz w:val="20"/>
          <w:szCs w:val="20"/>
          <w:color w:val="auto"/>
        </w:rPr>
      </w:pPr>
    </w:p>
    <w:p>
      <w:pPr>
        <w:ind w:left="20" w:right="160"/>
        <w:spacing w:after="0" w:line="268" w:lineRule="auto"/>
        <w:rPr>
          <w:sz w:val="20"/>
          <w:szCs w:val="20"/>
          <w:color w:val="auto"/>
        </w:rPr>
      </w:pPr>
      <w:r>
        <w:rPr>
          <w:rFonts w:ascii="Times New Roman" w:cs="Times New Roman" w:eastAsia="Times New Roman" w:hAnsi="Times New Roman"/>
          <w:sz w:val="18"/>
          <w:szCs w:val="18"/>
          <w:color w:val="auto"/>
        </w:rPr>
        <w:t>Amortization of intangibles Goodwill impairment</w:t>
      </w:r>
    </w:p>
    <w:p>
      <w:pPr>
        <w:spacing w:after="0" w:line="2"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Acquisition, restructuring and other items,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2,598</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4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3,286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44,767</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5,565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-676275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-145415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80" w:space="40"/>
            <w:col w:w="200" w:space="720"/>
            <w:col w:w="8100"/>
          </w:cols>
          <w:pgMar w:left="320" w:top="11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right="180" w:hanging="328"/>
        <w:spacing w:after="0" w:line="266"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decreased $0.7 million and $2.7 million for the three and nine months ended February 28, 2025 compared to the three and nine months ended February 29, 2024, respectively, due to the intangible assets that were included in the divestiture of the dialysis, BioSentry, PICCs and Midlines businesses and the abandonment of the Syntrax product 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r>
        <w:rPr>
          <w:rFonts w:ascii="Times New Roman" w:cs="Times New Roman" w:eastAsia="Times New Roman" w:hAnsi="Times New Roman"/>
          <w:sz w:val="18"/>
          <w:szCs w:val="18"/>
          <w:color w:val="auto"/>
        </w:rPr>
        <w:t xml:space="preserve"> - Represents the impairment charge taken on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-119380</wp:posOffset>
            </wp:positionV>
            <wp:extent cx="25374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7460" cy="128905"/>
                    </a:xfrm>
                    <a:prstGeom prst="rect">
                      <a:avLst/>
                    </a:prstGeom>
                    <a:noFill/>
                  </pic:spPr>
                </pic:pic>
              </a:graphicData>
            </a:graphic>
          </wp:anchor>
        </w:drawing>
      </w:r>
    </w:p>
    <w:p>
      <w:pPr>
        <w:spacing w:after="0" w:line="151" w:lineRule="exact"/>
        <w:rPr>
          <w:sz w:val="20"/>
          <w:szCs w:val="20"/>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a non-cash goodwill impairment charge of $159.5 million for the three and nine months ended February 29, 2024 as the fair value of the Med Tech reporting unit was less than its carrying value.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nine months ended February 28, 2025 is related to the Eximo contingent consideration.</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$32.1 million and $31.3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right="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$23.3 million and $30.0 million, respectively, was driven by the $19.3 million settlement between the Company and BD in the prior year;</w:t>
      </w: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 expense, which decreased $0.1 million for the three months ended February 28, 2025 compared to the three months ended February 29, 2024 and increased $0.3 million for the nine months ended February 28, 2025 compared to the nine months ended February 29, 2024;</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decreased $2.3 million for the three months ended February 28, 2025 compared to the three months ended February 29, 2024 and increased $5.7 million for the nine months ended February 28, 2025 compared to the nine months ended February 29, 2024;</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$3.4 million on the Syntrax product technology intangible asset and an inventory write-off of $2.9 million was taken in the third quarter of fiscal year 2024 related to the abandonment of the Syntrax and RF product lines;</w:t>
      </w:r>
    </w:p>
    <w:p>
      <w:pPr>
        <w:ind w:left="660" w:right="10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divestiture of the PICCs, Midline, dialysis and BioSentry businesses. The increase in the fees invoiced was $0.1 million and $0.8 million, respectively;</w:t>
      </w:r>
    </w:p>
    <w:p>
      <w:pPr>
        <w:ind w:left="660" w:right="7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from Queensbury, New York to a third party, which decreased $0.6 million for the nine months ended February 28, 2025 compared to the nine months ended February 29, 2024; and</w:t>
      </w:r>
    </w:p>
    <w:p>
      <w:pPr>
        <w:ind w:left="660" w:right="30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mainly severance associated with organizational changes, which increased $0.3 million for the nine months ended February 28, 2025 compared to the nine months ended February 29,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income, net increased by $5.4 million and $5.8 million, for the three and nine months ended February 28, 2025, compared to the three and nine months ended February 29, 2024, respectively. The change for both periods was primarily driven by:</w:t>
      </w:r>
    </w:p>
    <w:p>
      <w:pPr>
        <w:spacing w:after="0" w:line="108" w:lineRule="exact"/>
        <w:rPr>
          <w:sz w:val="20"/>
          <w:szCs w:val="20"/>
          <w:color w:val="auto"/>
        </w:rPr>
      </w:pPr>
    </w:p>
    <w:p>
      <w:pPr>
        <w:ind w:left="660" w:right="58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the sales milestone related to divested products in the third quarter of fiscal year 2025 and recorded a receivable of $5.5 million which will be paid to the Company in the fourth quarter of fiscal year 2025;</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currency fluctuations, which increased $0.1 million and $0.3 million, respectively; and</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which decreased $0.2 million for the three months ended February 28, 2025 compared to the three months ended February 29,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90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Feb 29,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3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20"/>
                <w:szCs w:val="20"/>
                <w:color w:val="auto"/>
              </w:rPr>
            </w:pP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February 28, 2025 and February 29, 2024 was 0.0% and 6.0%, respectively. Our effective tax rate including discrete items for the nine months ended February 28, 2025 and February 29, 2024 was (0.1)% and 3.7%, respectively.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totaled $44.8 million as of February 28, 2025, compared with $76.1 million as of May 31, 2024. As of February 28, 2025 and May 31, 2024 the Company did not have any outstanding debt. The fair value of contingent consideration liability as of February 28, 2025 and May 31, 2024, was $5.0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Feb 29,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February 28, 2025 and February 29, 2024,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2025 and February 29, 2024:</w:t>
      </w:r>
    </w:p>
    <w:p>
      <w:pPr>
        <w:spacing w:after="0" w:line="171" w:lineRule="exact"/>
        <w:rPr>
          <w:sz w:val="20"/>
          <w:szCs w:val="20"/>
          <w:color w:val="auto"/>
        </w:rPr>
      </w:pPr>
    </w:p>
    <w:p>
      <w:pPr>
        <w:ind w:left="660" w:right="180" w:hanging="328"/>
        <w:spacing w:after="0" w:line="25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$27.9 million and $170.9 million, respectively, plus the non-cash items, primarily driven by depreciation and amortization and stock based compensation, along with the changes in working capital below, contributed to cash used in operations of $28.9 million and $33.2 million, respectively, for these periods.</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28, 2025, working capital was unfavorably impacted by decreased accounts payable, accrued liabilities and other liabilities of $18.5 million, along with increased accounts receivable, inventory and prepaid expenses of $0.4 million, $2.5 million and $9.5 million, respectively.</w:t>
      </w:r>
    </w:p>
    <w:p>
      <w:pPr>
        <w:spacing w:after="0" w:line="1"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29, 2024, working capital was unfavorably impacted by increased inventory and prepaid expenses of $6.8 million and $7.6 million, respectively. This was offset by decreased accounts receivable of $2.3 million and increased accounts payable, accrued liabilities and other liabilities of $16.7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2025 and February 29, 2024:</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and $2.0 million, respectively, of cash was used for fixed asset additions;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and $3.2 million, respectively, of cash was used for Auryon placement and evaluation unit additions;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of cash was received for the divestiture of the dialysis and BioSentry businesses in the first quarter of fiscal year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 million of cash was received for the divestiture of the PICCs and Midline businesses in the third quarter of fiscal year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of cash was used for the acquisition of exclusive licenses in the third quarter of fiscal year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2025 and February 29, 2024:</w:t>
      </w:r>
    </w:p>
    <w:p>
      <w:pPr>
        <w:spacing w:after="0" w:line="171" w:lineRule="exact"/>
        <w:rPr>
          <w:sz w:val="20"/>
          <w:szCs w:val="20"/>
          <w:color w:val="auto"/>
        </w:rPr>
      </w:pPr>
    </w:p>
    <w:p>
      <w:pPr>
        <w:ind w:left="660" w:right="28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of proceeds from financing arrangements offset with $0.1 million of principal payments on the financing arrangements in the third quarter of fiscal year 2025;</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cash was used for the repurchase of commons shares in the first and second quarters of fiscal year 2025;</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repayment of the Credit Agreement in connection with the completion of the dialysis and BioSentry divestiture in the first quarter of fiscal year 2024;</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of contingent consideration payments made in the first quarter of fiscal year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and $0.8 million, respectively, of proceeds from stock option and ESPP activity.</w:t>
      </w:r>
    </w:p>
    <w:p>
      <w:pPr>
        <w:spacing w:after="0" w:line="153"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w:t>
      </w:r>
    </w:p>
    <w:p>
      <w:pPr>
        <w:spacing w:after="0" w:line="12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16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There have been no material changes to our market risks as disclosed in our Annual Report on Form 10-K, for the fiscal year ended May 31, 2024.</w:t>
      </w:r>
    </w:p>
    <w:p>
      <w:pPr>
        <w:spacing w:after="0" w:line="153"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nine months ended February 28, 2025, approximately 3.5%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February 28,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2024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shares repurchases during the third quarter of fiscal year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right="160" w:hanging="329"/>
        <w:spacing w:after="0" w:line="260"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pacing w:after="0" w:line="117"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February 28, 2025,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7"/>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 2025</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 2025</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118" w:right="4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9"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252" w:lineRule="exact"/>
        <w:rPr>
          <w:sz w:val="20"/>
          <w:szCs w:val="20"/>
          <w:color w:val="auto"/>
        </w:rPr>
      </w:pPr>
    </w:p>
    <w:p>
      <w:pPr>
        <w:ind w:right="9080" w:firstLine="8"/>
        <w:spacing w:after="0" w:line="289" w:lineRule="auto"/>
        <w:tabs>
          <w:tab w:leader="none" w:pos="95" w:val="left"/>
        </w:tabs>
        <w:numPr>
          <w:ilvl w:val="0"/>
          <w:numId w:val="3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9"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900" w:hanging="494"/>
        <w:spacing w:after="0" w:line="23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900" w:hanging="494"/>
        <w:spacing w:after="0" w:line="23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2025</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6"/>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decimal"/>
      <w:start w:val="5"/>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2025-04-02T13:20:58Z</dcterms:created>
  <dcterms:modified xsi:type="dcterms:W3CDTF">2025-04-02T13:20:58Z</dcterms:modified>
</cp:coreProperties>
</file>