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295910</wp:posOffset>
            </wp:positionV>
            <wp:extent cx="2058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685" w:right="2280" w:hanging="685"/>
        <w:spacing w:after="0" w:line="182" w:lineRule="auto"/>
        <w:tabs>
          <w:tab w:leader="none" w:pos="685"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May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-426720</wp:posOffset>
            </wp:positionV>
            <wp:extent cx="2058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jc w:val="center"/>
        <w:ind w:right="-44"/>
        <w:spacing w:after="0"/>
        <w:rPr>
          <w:sz w:val="20"/>
          <w:szCs w:val="20"/>
          <w:color w:val="auto"/>
        </w:rPr>
      </w:pPr>
      <w:r>
        <w:rPr>
          <w:rFonts w:ascii="Times New Roman" w:cs="Times New Roman" w:eastAsia="Times New Roman" w:hAnsi="Times New Roman"/>
          <w:sz w:val="18"/>
          <w:szCs w:val="18"/>
          <w:b w:val="1"/>
          <w:bCs w:val="1"/>
          <w:color w:val="auto"/>
        </w:rPr>
        <w:t>OR</w:t>
      </w:r>
    </w:p>
    <w:p>
      <w:pPr>
        <w:ind w:left="685" w:hanging="685"/>
        <w:spacing w:after="0" w:line="217" w:lineRule="auto"/>
        <w:tabs>
          <w:tab w:leader="none" w:pos="685"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9" w:lineRule="exact"/>
        <w:rPr>
          <w:sz w:val="24"/>
          <w:szCs w:val="24"/>
          <w:color w:val="auto"/>
        </w:rPr>
      </w:pPr>
    </w:p>
    <w:p>
      <w:pPr>
        <w:ind w:left="685"/>
        <w:spacing w:after="0"/>
        <w:tabs>
          <w:tab w:leader="none" w:pos="3325"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3"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64"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-297815</wp:posOffset>
            </wp:positionV>
            <wp:extent cx="2058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0"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1800860</wp:posOffset>
            </wp:positionH>
            <wp:positionV relativeFrom="paragraph">
              <wp:posOffset>107950</wp:posOffset>
            </wp:positionV>
            <wp:extent cx="361886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tbl>
      <w:tblPr>
        <w:tblLayout w:type="fixed"/>
        <w:tblInd w:w="305"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4880" w:type="dxa"/>
            <w:vAlign w:val="bottom"/>
            <w:gridSpan w:val="4"/>
          </w:tcPr>
          <w:p>
            <w:pPr>
              <w:jc w:val="center"/>
              <w:ind w:right="37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b w:val="1"/>
                <w:bCs w:val="1"/>
                <w:color w:val="auto"/>
              </w:rPr>
              <w:t>11-3146460</w:t>
            </w:r>
          </w:p>
        </w:tc>
        <w:tc>
          <w:tcPr>
            <w:tcW w:w="0" w:type="dxa"/>
            <w:vAlign w:val="bottom"/>
          </w:tcPr>
          <w:p>
            <w:pPr>
              <w:spacing w:after="0"/>
              <w:rPr>
                <w:sz w:val="1"/>
                <w:szCs w:val="1"/>
                <w:color w:val="auto"/>
              </w:rPr>
            </w:pPr>
          </w:p>
        </w:tc>
      </w:tr>
      <w:tr>
        <w:trPr>
          <w:trHeight w:val="178"/>
        </w:trPr>
        <w:tc>
          <w:tcPr>
            <w:tcW w:w="6800" w:type="dxa"/>
            <w:vAlign w:val="bottom"/>
            <w:gridSpan w:val="5"/>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2"/>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800" w:type="dxa"/>
            <w:vAlign w:val="bottom"/>
            <w:gridSpan w:val="5"/>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2"/>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75"/>
        </w:trPr>
        <w:tc>
          <w:tcPr>
            <w:tcW w:w="6800" w:type="dxa"/>
            <w:vAlign w:val="bottom"/>
            <w:gridSpan w:val="5"/>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14 Plaza Drive Latham, New York</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b w:val="1"/>
                <w:bCs w:val="1"/>
                <w:color w:val="auto"/>
              </w:rPr>
              <w:t>12110</w:t>
            </w:r>
          </w:p>
        </w:tc>
        <w:tc>
          <w:tcPr>
            <w:tcW w:w="0" w:type="dxa"/>
            <w:vAlign w:val="bottom"/>
          </w:tcPr>
          <w:p>
            <w:pPr>
              <w:spacing w:after="0"/>
              <w:rPr>
                <w:sz w:val="1"/>
                <w:szCs w:val="1"/>
                <w:color w:val="auto"/>
              </w:rPr>
            </w:pPr>
          </w:p>
        </w:tc>
      </w:tr>
      <w:tr>
        <w:trPr>
          <w:trHeight w:val="207"/>
        </w:trPr>
        <w:tc>
          <w:tcPr>
            <w:tcW w:w="6800" w:type="dxa"/>
            <w:vAlign w:val="bottom"/>
            <w:gridSpan w:val="5"/>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7800" w:type="dxa"/>
            <w:vAlign w:val="bottom"/>
            <w:gridSpan w:val="9"/>
          </w:tcPr>
          <w:p>
            <w:pPr>
              <w:jc w:val="center"/>
              <w:ind w:right="80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(518) 795-1400</w:t>
            </w: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7"/>
          </w:tcPr>
          <w:p>
            <w:pPr>
              <w:jc w:val="center"/>
              <w:ind w:right="188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4"/>
                <w:szCs w:val="24"/>
                <w:color w:val="auto"/>
              </w:rPr>
            </w:pPr>
          </w:p>
        </w:tc>
        <w:tc>
          <w:tcPr>
            <w:tcW w:w="4880" w:type="dxa"/>
            <w:vAlign w:val="bottom"/>
            <w:gridSpan w:val="4"/>
          </w:tcPr>
          <w:p>
            <w:pPr>
              <w:jc w:val="center"/>
              <w:ind w:right="371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00" w:type="dxa"/>
            <w:vAlign w:val="bottom"/>
            <w:gridSpan w:val="5"/>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Common Stock, par value $.01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528"/>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7"/>
          </w:tcPr>
          <w:p>
            <w:pPr>
              <w:jc w:val="center"/>
              <w:ind w:right="1888"/>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jc w:val="center"/>
              <w:ind w:left="119"/>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4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192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2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2"/>
              </w:rPr>
              <w:t>Yes</w:t>
            </w:r>
          </w:p>
        </w:tc>
        <w:tc>
          <w:tcPr>
            <w:tcW w:w="220" w:type="dxa"/>
            <w:vAlign w:val="bottom"/>
            <w:vMerge w:val="continue"/>
          </w:tcPr>
          <w:p>
            <w:pPr>
              <w:spacing w:after="0"/>
              <w:rPr>
                <w:sz w:val="24"/>
                <w:szCs w:val="24"/>
                <w:color w:val="auto"/>
              </w:rPr>
            </w:pPr>
          </w:p>
        </w:tc>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 x</w:t>
            </w:r>
          </w:p>
        </w:tc>
        <w:tc>
          <w:tcPr>
            <w:tcW w:w="0" w:type="dxa"/>
            <w:vAlign w:val="bottom"/>
          </w:tcPr>
          <w:p>
            <w:pPr>
              <w:spacing w:after="0"/>
              <w:rPr>
                <w:sz w:val="1"/>
                <w:szCs w:val="1"/>
                <w:color w:val="auto"/>
              </w:rPr>
            </w:pPr>
          </w:p>
        </w:tc>
      </w:tr>
      <w:tr>
        <w:trPr>
          <w:trHeight w:val="226"/>
        </w:trPr>
        <w:tc>
          <w:tcPr>
            <w:tcW w:w="6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24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left="30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5" w:lineRule="exact"/>
        <w:rPr>
          <w:sz w:val="24"/>
          <w:szCs w:val="24"/>
          <w:color w:val="auto"/>
        </w:rPr>
      </w:pPr>
    </w:p>
    <w:p>
      <w:pPr>
        <w:ind w:left="305"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5" w:lineRule="exact"/>
        <w:rPr>
          <w:sz w:val="24"/>
          <w:szCs w:val="24"/>
          <w:color w:val="auto"/>
        </w:rPr>
      </w:pPr>
    </w:p>
    <w:p>
      <w:pPr>
        <w:ind w:left="305" w:right="260"/>
        <w:spacing w:after="0" w:line="281"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left="305" w:right="4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325"/>
          </w:cols>
          <w:pgMar w:left="275" w:top="673"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84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x</w:t>
            </w:r>
          </w:p>
        </w:tc>
        <w:tc>
          <w:tcPr>
            <w:tcW w:w="340" w:type="dxa"/>
            <w:vAlign w:val="bottom"/>
          </w:tcPr>
          <w:p>
            <w:pPr>
              <w:spacing w:after="0"/>
              <w:rPr>
                <w:sz w:val="19"/>
                <w:szCs w:val="19"/>
                <w:color w:val="auto"/>
              </w:rPr>
            </w:pPr>
          </w:p>
        </w:tc>
      </w:tr>
      <w:tr>
        <w:trPr>
          <w:trHeight w:val="270"/>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gridSpan w:val="2"/>
          </w:tcPr>
          <w:p>
            <w:pPr>
              <w:ind w:left="18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374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2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43"/>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tc>
        <w:tc>
          <w:tcPr>
            <w:tcW w:w="62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 x</w:t>
            </w:r>
          </w:p>
        </w:tc>
      </w:tr>
    </w:tbl>
    <w:p>
      <w:pPr>
        <w:spacing w:after="0" w:line="1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color w:val="auto"/>
        </w:rPr>
        <w:t>As of November 30, 2016, the last business day of the registrant’s most recently completed second fiscal quarter, the aggregate market value of the registrant’s common stock held by non-affiliates was approximately $605,494,808 computed by reference to the last sale price of the common stock on that date as reported by The NASDAQ Global Select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August 2, 2017, there were 36,580,575 shares of the registrant’s common stock outstanding.</w:t>
      </w: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information required for Part III of this Annual Report on Form 10-K is incorporated by reference to the registrant’s Proxy Statement for its 2017 Annual Meeting of Stockholders to be filed within 120 days of the registrant's fiscal year ended May 31, 2017.</w:t>
      </w:r>
    </w:p>
    <w:p>
      <w:pPr>
        <w:sectPr>
          <w:pgSz w:w="11900" w:h="16838" w:orient="portrait"/>
          <w:cols w:equalWidth="0" w:num="1">
            <w:col w:w="10860"/>
          </w:cols>
          <w:pgMar w:left="580" w:top="769"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00" w:type="dxa"/>
            <w:vAlign w:val="bottom"/>
            <w:gridSpan w:val="10"/>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AngioDynamics, Inc. and Subsidiaries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20" w:type="dxa"/>
            <w:vAlign w:val="bottom"/>
            <w:gridSpan w:val="7"/>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8"/>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20"/>
        </w:trPr>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18"/>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Risk Factors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15</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1B.</w:t>
            </w:r>
          </w:p>
        </w:tc>
        <w:tc>
          <w:tcPr>
            <w:tcW w:w="9340" w:type="dxa"/>
            <w:vAlign w:val="bottom"/>
            <w:gridSpan w:val="1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Unresolved Staff Comments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2"/>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Properties</w:t>
              </w:r>
            </w:hyperlink>
          </w:p>
        </w:tc>
        <w:tc>
          <w:tcPr>
            <w:tcW w:w="1300" w:type="dxa"/>
            <w:vAlign w:val="bottom"/>
            <w:gridSpan w:val="6"/>
          </w:tcPr>
          <w:p>
            <w:pPr>
              <w:spacing w:after="0"/>
              <w:rPr>
                <w:sz w:val="21"/>
                <w:szCs w:val="21"/>
                <w:color w:val="auto"/>
              </w:rPr>
            </w:pPr>
          </w:p>
        </w:tc>
        <w:tc>
          <w:tcPr>
            <w:tcW w:w="730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33</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4"/>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Legal Proceedings</w:t>
              </w:r>
            </w:hyperlink>
          </w:p>
        </w:tc>
        <w:tc>
          <w:tcPr>
            <w:tcW w:w="800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34</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8"/>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Mine Safety Disclosures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35</w:t>
              </w:r>
            </w:hyperlink>
          </w:p>
        </w:tc>
      </w:tr>
      <w:tr>
        <w:trPr>
          <w:trHeight w:val="2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18"/>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Market for Registrant’s Common Equity, Related Stockholder Matters and Issuer Purchases of Equity</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35</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6.</w:t>
            </w:r>
          </w:p>
        </w:tc>
        <w:tc>
          <w:tcPr>
            <w:tcW w:w="1720" w:type="dxa"/>
            <w:vAlign w:val="bottom"/>
            <w:gridSpan w:val="5"/>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Selected Financial Data</w:t>
              </w:r>
            </w:hyperlink>
          </w:p>
        </w:tc>
        <w:tc>
          <w:tcPr>
            <w:tcW w:w="5580" w:type="dxa"/>
            <w:vAlign w:val="bottom"/>
            <w:gridSpan w:val="12"/>
          </w:tcPr>
          <w:p>
            <w:pPr>
              <w:spacing w:after="0"/>
              <w:rPr>
                <w:sz w:val="21"/>
                <w:szCs w:val="21"/>
                <w:color w:val="auto"/>
              </w:rPr>
            </w:pPr>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37</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5"/>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8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38</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3"/>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Quantitative and Qualitative Disclosures About Market Risk</w:t>
              </w:r>
            </w:hyperlink>
          </w:p>
        </w:tc>
        <w:tc>
          <w:tcPr>
            <w:tcW w:w="2100" w:type="dxa"/>
            <w:vAlign w:val="bottom"/>
            <w:gridSpan w:val="2"/>
          </w:tcPr>
          <w:p>
            <w:pPr>
              <w:spacing w:after="0"/>
              <w:rPr>
                <w:sz w:val="21"/>
                <w:szCs w:val="21"/>
                <w:color w:val="auto"/>
              </w:rPr>
            </w:pPr>
          </w:p>
        </w:tc>
        <w:tc>
          <w:tcPr>
            <w:tcW w:w="28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51</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3"/>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Financial Statements and Supplementary Data</w:t>
              </w:r>
            </w:hyperlink>
          </w:p>
        </w:tc>
        <w:tc>
          <w:tcPr>
            <w:tcW w:w="498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51</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16"/>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86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51</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6"/>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Controls and Procedures</w:t>
              </w:r>
            </w:hyperlink>
          </w:p>
        </w:tc>
        <w:tc>
          <w:tcPr>
            <w:tcW w:w="4700" w:type="dxa"/>
            <w:vAlign w:val="bottom"/>
            <w:gridSpan w:val="10"/>
          </w:tcPr>
          <w:p>
            <w:pPr>
              <w:spacing w:after="0"/>
              <w:rPr>
                <w:sz w:val="21"/>
                <w:szCs w:val="21"/>
                <w:color w:val="auto"/>
              </w:rPr>
            </w:pPr>
          </w:p>
        </w:tc>
        <w:tc>
          <w:tcPr>
            <w:tcW w:w="286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51</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9B.</w:t>
            </w:r>
          </w:p>
        </w:tc>
        <w:tc>
          <w:tcPr>
            <w:tcW w:w="1780" w:type="dxa"/>
            <w:vAlign w:val="bottom"/>
            <w:gridSpan w:val="6"/>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Other Information</w:t>
              </w:r>
            </w:hyperlink>
          </w:p>
        </w:tc>
        <w:tc>
          <w:tcPr>
            <w:tcW w:w="756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55</w:t>
              </w:r>
            </w:hyperlink>
          </w:p>
        </w:tc>
      </w:tr>
      <w:tr>
        <w:trPr>
          <w:trHeight w:val="2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2"/>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Directors, Executive Officers and Corporate Governance</w:t>
              </w:r>
            </w:hyperlink>
          </w:p>
        </w:tc>
        <w:tc>
          <w:tcPr>
            <w:tcW w:w="5240" w:type="dxa"/>
            <w:vAlign w:val="bottom"/>
            <w:gridSpan w:val="6"/>
          </w:tcPr>
          <w:p>
            <w:pPr>
              <w:spacing w:after="0"/>
              <w:rPr>
                <w:sz w:val="19"/>
                <w:szCs w:val="19"/>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56</w:t>
              </w:r>
            </w:hyperlink>
          </w:p>
        </w:tc>
      </w:tr>
      <w:tr>
        <w:trPr>
          <w:trHeight w:val="20"/>
        </w:trPr>
        <w:tc>
          <w:tcPr>
            <w:tcW w:w="1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2"/>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Executive Compensation</w:t>
              </w:r>
            </w:hyperlink>
          </w:p>
        </w:tc>
        <w:tc>
          <w:tcPr>
            <w:tcW w:w="524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56</w:t>
              </w:r>
            </w:hyperlink>
          </w:p>
        </w:tc>
      </w:tr>
      <w:tr>
        <w:trPr>
          <w:trHeight w:val="20"/>
        </w:trPr>
        <w:tc>
          <w:tcPr>
            <w:tcW w:w="1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17"/>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56</w:t>
              </w:r>
            </w:hyperlink>
          </w:p>
        </w:tc>
      </w:tr>
      <w:tr>
        <w:trPr>
          <w:trHeight w:val="20"/>
        </w:trPr>
        <w:tc>
          <w:tcPr>
            <w:tcW w:w="14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14"/>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56</w:t>
              </w:r>
            </w:hyperlink>
          </w:p>
        </w:tc>
      </w:tr>
      <w:tr>
        <w:trPr>
          <w:trHeight w:val="20"/>
        </w:trPr>
        <w:tc>
          <w:tcPr>
            <w:tcW w:w="14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14"/>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Principal Accounting Fees and Services</w:t>
              </w:r>
            </w:hyperlink>
          </w:p>
        </w:tc>
        <w:tc>
          <w:tcPr>
            <w:tcW w:w="38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56</w:t>
              </w:r>
            </w:hyperlink>
          </w:p>
        </w:tc>
      </w:tr>
      <w:tr>
        <w:trPr>
          <w:trHeight w:val="2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15.</w:t>
            </w:r>
          </w:p>
        </w:tc>
        <w:tc>
          <w:tcPr>
            <w:tcW w:w="9340" w:type="dxa"/>
            <w:vAlign w:val="bottom"/>
            <w:gridSpan w:val="18"/>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Exhibits, Financial Statement Schedules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57</w:t>
              </w:r>
            </w:hyperlink>
          </w:p>
        </w:tc>
      </w:tr>
      <w:tr>
        <w:trPr>
          <w:trHeight w:val="723"/>
        </w:trPr>
        <w:tc>
          <w:tcPr>
            <w:tcW w:w="148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14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76" w:right="2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AngioDynamics, Inc. (together with its subsidiaries, "AngioDynamics," the "Company," "we," "our" or "us") designs, manufactures and sells a wide range of medical, surgical and diagnostic devices used by professional healthcare providers for the treatment of peripheral vascular disease, vascular access and for use in oncology and surgical settings. Our devices are generally used in minimally invasive, image-guided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AngioDynamics was founded in Queensbury, N.Y., U.S., in 1988. Queensbury was chosen due to its location in the heart of "Catheter Valley," an area in New York's Adirondack Region named for its long history of catheter and other medical device manufacturing. Initially dedicated to the research and development of products used in interventional radiology, AngioDynamics began manufacturing and shipping product in the early 1990s. The Company soon became well established as a producer of diagnostic catheters for non-coronary angiography and thrombolytic delivery systems.</w:t>
      </w:r>
    </w:p>
    <w:p>
      <w:pPr>
        <w:spacing w:after="0" w:line="1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grew over the following years as a result of acquisitions of companies including RITA Medical Systems in January 2007, Oncobionic in May 2008, the assets of Diomed in June 2008 and FlowMedica in January 2009. These acquisitions added product lines including market-leading ablation and NanoKnife systems, vascular access products, angiographic products and accessories, dialysis products, drainage products, thrombolytic products, embolization products, venous products and targeted renal therapy products. More recently in May 2012, AngioDynamics acquired Navilyst Medical, bringing market-leading fluid management systems into our portfolio. The acquisition significantly expanded the Company's scale, doubling its share of the vascular access market while building critical mass in the peripheral vascular market.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Headquartered in Latham, N.Y., AngioDynamics is publicly traded on the NASDAQ stock exchange under the symbol ANGO.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product offerings fall within three Global Business Units (GBUs): Peripheral Vascular, Vascular Access and Oncology/Surgery. All products discussed below have been cleared for sale in the United States by the Food and Drug Administration (FDA). International regulatory clearances vary by product and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Peripheral Vascular Products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AngioDynamics’ Peripheral Vascular product offerings support the medical areas of Venous Insufficiency, Thrombus Management, Fluid Management and Peripheral Products (Core).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Venous Insufficiency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VenaCure EVLT laser system</w:t>
      </w:r>
    </w:p>
    <w:p>
      <w:pPr>
        <w:spacing w:after="0" w:line="227" w:lineRule="exact"/>
        <w:rPr>
          <w:sz w:val="20"/>
          <w:szCs w:val="20"/>
          <w:color w:val="auto"/>
        </w:rPr>
      </w:pPr>
    </w:p>
    <w:p>
      <w:pPr>
        <w:ind w:right="5760" w:firstLine="162"/>
        <w:spacing w:after="0" w:line="255" w:lineRule="auto"/>
        <w:rPr>
          <w:sz w:val="20"/>
          <w:szCs w:val="20"/>
          <w:color w:val="auto"/>
        </w:rPr>
      </w:pPr>
      <w:r>
        <w:rPr>
          <w:rFonts w:ascii="Times New Roman" w:cs="Times New Roman" w:eastAsia="Times New Roman" w:hAnsi="Times New Roman"/>
          <w:sz w:val="18"/>
          <w:szCs w:val="18"/>
          <w:color w:val="auto"/>
        </w:rPr>
        <w:t>Our VenaCure EVLT (endovenous laser treatment)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skin changes. VenaCure EVLT uses laser energy to stop the reflux by ablating (collapsing and destroying) the affected vein. Blood is then re-routed to other healthy veins.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-1104900</wp:posOffset>
            </wp:positionV>
            <wp:extent cx="2761615" cy="1355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161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576" w:right="299" w:bottom="1440" w:gutter="0" w:footer="0" w:header="0"/>
        </w:sectPr>
      </w:pPr>
    </w:p>
    <w:bookmarkStart w:id="4" w:name="page5"/>
    <w:bookmarkEnd w:id="4"/>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procedure is minimally invasive and generally takes less than an hour, allowing the patient to quickly return to normal activities with minimal post-operative pain. More than one million VenaCure EVLT procedures have been performed.</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VenaCure EVLT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 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VenaCure EVLT system comes with a comprehensive physician training program and extensive marketing support.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Asclera (polidocanol) Injection</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Asclera (polidocanol) injection is the only FDA-approved sclerosant with an indication to treat uncomplicated spider veins and uncomplicated reticular veins in the lower extremity. AngioDynamics distributes Asclera through a global agreement with the manufacturer and their distributor. In a multicenter, randomized, double-blind, placebo and comparator-controlled trial in patients with spider or reticular varicose veins, 95% of patients treated with Asclera showed good improvement or complete treatment success as rated by physicians and 87% of patients were satisfied or very satisfied with their Asclera treatment. ¹</w:t>
      </w:r>
    </w:p>
    <w:p>
      <w:pPr>
        <w:spacing w:after="0" w:line="1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Polidocanol can be produced through compounding, but only in certain situations and for specific medical needs. In July 2016, the FDA drafted guidance clarifying the parameters for compounding essentially copies of approved and/or commercially available drug products due to the higher risk for patients versus those that have been FDA approved.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Thrombus Management</w:t>
      </w:r>
    </w:p>
    <w:p>
      <w:pPr>
        <w:spacing w:after="0" w:line="225" w:lineRule="exact"/>
        <w:rPr>
          <w:sz w:val="20"/>
          <w:szCs w:val="20"/>
          <w:color w:val="auto"/>
        </w:rPr>
      </w:pPr>
    </w:p>
    <w:p>
      <w:pPr>
        <w:ind w:right="160" w:firstLine="324"/>
        <w:spacing w:after="0" w:line="313" w:lineRule="auto"/>
        <w:rPr>
          <w:sz w:val="20"/>
          <w:szCs w:val="20"/>
          <w:color w:val="auto"/>
        </w:rPr>
      </w:pPr>
      <w:r>
        <w:rPr>
          <w:rFonts w:ascii="Times New Roman" w:cs="Times New Roman" w:eastAsia="Times New Roman" w:hAnsi="Times New Roman"/>
          <w:sz w:val="17"/>
          <w:szCs w:val="17"/>
          <w:color w:val="auto"/>
        </w:rPr>
        <w:t>Our Thrombus Management portfolio includes the proprietary AngioVac venous drainage cannula and circuit, as well as catheter directed thrombolytic devices and Uni-Fuse infusion catheters. AngioDynamics offers a range of options when treating thrombus and removing fresh, soft thromboli or emboli.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AngioVac</w:t>
      </w:r>
    </w:p>
    <w:p>
      <w:pPr>
        <w:spacing w:after="0" w:line="227" w:lineRule="exact"/>
        <w:rPr>
          <w:sz w:val="20"/>
          <w:szCs w:val="20"/>
          <w:color w:val="auto"/>
        </w:rPr>
      </w:pPr>
    </w:p>
    <w:p>
      <w:pPr>
        <w:ind w:right="5860" w:firstLine="324"/>
        <w:spacing w:after="0" w:line="255" w:lineRule="auto"/>
        <w:rPr>
          <w:sz w:val="20"/>
          <w:szCs w:val="20"/>
          <w:color w:val="auto"/>
        </w:rPr>
      </w:pPr>
      <w:r>
        <w:rPr>
          <w:rFonts w:ascii="Times New Roman" w:cs="Times New Roman" w:eastAsia="Times New Roman" w:hAnsi="Times New Roman"/>
          <w:sz w:val="18"/>
          <w:szCs w:val="18"/>
          <w:color w:val="auto"/>
        </w:rPr>
        <w:t>Our AngioVac venous drainage system includes a Venous Drainage Cannula and Extracorporeal Circuit. The cannula is indicated for use as a venous drainage cannula and for removal of fresh, soft thrombi or emboli during extracorporeal bypass. The cardiopulmonary bypass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-1104900</wp:posOffset>
            </wp:positionV>
            <wp:extent cx="2761615" cy="1372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1615" cy="137223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AngioVac venous drainage cannula is a 22 French coil-reinforced cannula designed with a balloon actuated, expandable funnel shaped distal tip. The proprietary funnel shaped tip enhances venous drainage flow when the balloon is inflated, prevents clogging of the cannula with commonly encountered undesirable intravascular material, and facilitates en bloc removal of such extraneous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40" w:firstLine="8"/>
        <w:spacing w:after="0" w:line="286" w:lineRule="auto"/>
        <w:tabs>
          <w:tab w:leader="none" w:pos="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Weiss, Voigts, Howell (2011) Absence of Concentration Congruity in Six Compounded Polidocanol Samples Obtained for Leg Sclerotherapy. American Society for Dermatologic Surgery, Inc., Volume 37: 1-4</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580" w:right="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Thrombolytic Catheters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Thrombolytic catheters are used to deliver thrombolytic agents, which are drugs that dissolve blood clots in hemodialysis access grafts, arteries, veins and surgical bypass grafts. AngioDynamics’ Uni-Fuse infusion catheter features pressure response outlets, a patented, time-tested slit technology that provides a consistent, even distribution of fluid volume along the entire length of the infusion pattern, resulting in a 12-fold advantage over standard side-hole catheters.²</w:t>
      </w:r>
    </w:p>
    <w:p>
      <w:pPr>
        <w:spacing w:after="0" w:line="14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also offer the Pulse-Spray infusion system for high pressure, pulsed delivery of lytic agent to shorten treatment time, and the Speed Lyser infusion system built for dialysis grafts and fistulas.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Fluid Management</w:t>
      </w:r>
    </w:p>
    <w:p>
      <w:pPr>
        <w:spacing w:after="0" w:line="225" w:lineRule="exact"/>
        <w:rPr>
          <w:sz w:val="20"/>
          <w:szCs w:val="20"/>
          <w:color w:val="auto"/>
        </w:rPr>
      </w:pPr>
    </w:p>
    <w:p>
      <w:pPr>
        <w:ind w:right="120" w:firstLine="324"/>
        <w:spacing w:after="0" w:line="236" w:lineRule="auto"/>
        <w:rPr>
          <w:sz w:val="20"/>
          <w:szCs w:val="20"/>
          <w:color w:val="auto"/>
        </w:rPr>
      </w:pPr>
      <w:r>
        <w:rPr>
          <w:rFonts w:ascii="Times New Roman" w:cs="Times New Roman" w:eastAsia="Times New Roman" w:hAnsi="Times New Roman"/>
          <w:sz w:val="18"/>
          <w:szCs w:val="18"/>
          <w:color w:val="auto"/>
        </w:rPr>
        <w:t>Our Fluid Management product offerings include the NAMIC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Fluid Management portfolio. Since 1969, the NAMIC product line has been a leader in providing clinicians high quality, dependable devices that help in the diagnosis and treatment of cardiovascular and peripheral vascular disease. The NAMIC product line includes an extensive offering of manifolds, contrast management systems, closed fluid systems, guidewires, disposable transducers and interventional accessories. These devices are utilized together and allow clinicians to aspirate or inject contrast, saline, remove waste and monitor invasive blood pressures throughout the procedure.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Peripheral Products (Core)</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offer a comprehensive portfolio for minimally invasive peripheral products. Product categories include an extensive line of angiographic catheters and diagnostic and interventional guidewires, percutaneous drainage catheters and coaxial micro-introducer kits.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Angiographic Products and Accessories</w:t>
      </w:r>
    </w:p>
    <w:p>
      <w:pPr>
        <w:spacing w:after="0" w:line="22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Angiographic products and accessories are used during peripheral diagnostic and interventional procedures. These products permit physicians to reach targeted locations to deliver contrast media for visualization purposes and therapeutic agents and devices, such as percutaneous transluminal angioplasty (PTA) balloons. Angiographic products consist of angiographic catheters and guidewires.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angiographic catheter line includes the following brands, all with radiopaque tips to assure excellent visibility under fluoroscopy:</w:t>
      </w:r>
    </w:p>
    <w:p>
      <w:pPr>
        <w:spacing w:after="0" w:line="225" w:lineRule="exact"/>
        <w:rPr>
          <w:sz w:val="20"/>
          <w:szCs w:val="20"/>
          <w:color w:val="auto"/>
        </w:rPr>
      </w:pPr>
    </w:p>
    <w:p>
      <w:pPr>
        <w:ind w:left="660" w:right="8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Soft-Vu flush catheters are available in flush and selective varieties. Flush Catheters are used in procedures where a high flow of contrast is required for “big picture” diagnostics. Anomalies discovered through a flush angiogram may require further investigation into a vessel of interest. Soft-Vu selective catheters are used to gain access to smaller or more distal vessels and advance the catheter or wire into the diseased section.</w:t>
      </w:r>
    </w:p>
    <w:p>
      <w:pPr>
        <w:spacing w:after="0" w:line="1" w:lineRule="exact"/>
        <w:rPr>
          <w:rFonts w:ascii="Times New Roman" w:cs="Times New Roman" w:eastAsia="Times New Roman" w:hAnsi="Times New Roman"/>
          <w:sz w:val="18"/>
          <w:szCs w:val="18"/>
          <w:color w:val="auto"/>
        </w:rPr>
      </w:pPr>
    </w:p>
    <w:p>
      <w:pPr>
        <w:ind w:left="660" w:right="8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Accu-Vu sizing catheters feature radiopaque marker bands at the distal (farthest away) portion of the catheter to provide a highly accurate measurement of the patient’s anatomy. This enables precise measurement for interventional devices (stents, filters, etc.)</w:t>
      </w:r>
    </w:p>
    <w:p>
      <w:pPr>
        <w:ind w:left="660" w:right="5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AngiOptic catheters have total catheter radiopacity, ensuring tip-to-hub visibility. This catheter is also constructed with a firm tip material that enhances stability during high-flow injections, providing excellent pushability.</w:t>
      </w:r>
    </w:p>
    <w:p>
      <w:pPr>
        <w:ind w:left="660" w:right="38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Mariner catheters have a hydrophilic coating that, when combined with water, reduces friction. This makes insertion potentially easier and more comfortable for the patient, and can also be used for advancing through tortuous anatomy.</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AngioDynamics guidewires include Nit-Vu (featuring a kink-resistant NiTi alloy core facilitating smooth navigation through tortuous vasculature and accurate wire control) and PTFE Coated (fixed core and movable core) diagnostic guidewires.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AngioDynamics catheters and guidewires are available in more than 500 tip configurations and lengths.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hanging="92"/>
        <w:spacing w:after="0"/>
        <w:tabs>
          <w:tab w:leader="none" w:pos="1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Yusuf SW, et al. Immediate and Early Follow-up Results of Pulse Spray Thrombolysis in Patients with Peripheral Ischaemia. British Journal of Surgery 1995; 82:338-340.</w:t>
      </w:r>
    </w:p>
    <w:p>
      <w:pPr>
        <w:spacing w:after="0" w:line="243" w:lineRule="exact"/>
        <w:rPr>
          <w:rFonts w:ascii="Times New Roman" w:cs="Times New Roman" w:eastAsia="Times New Roman" w:hAnsi="Times New Roman"/>
          <w:sz w:val="16"/>
          <w:szCs w:val="16"/>
          <w:color w:val="auto"/>
        </w:rPr>
      </w:pPr>
    </w:p>
    <w:p>
      <w:pPr>
        <w:ind w:left="5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Drainage Products</w:t>
      </w:r>
    </w:p>
    <w:p>
      <w:pPr>
        <w:spacing w:after="0" w:line="227"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Drainage products percutaneously drain abscesses and other fluid pockets. An abscess is a tender inflamed mass that typically must be drained by a physician. AngioDynamics offers two brands of drainage catheters for multi-purpose/general, nephrostomy and biliary drainage: Total Abscession and Exodus. Each offer features and benefits depending on case presentation and physician preferences.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 Access Kits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Micro Access sets provide interventional physicians a smaller introducer system for minimally-invasive procedures. Our Micro Access product line provides physicians with the means to choose from the wide selection of configurations, including guidewire, needle and introducer options. Two lines are available in stiff/standard, 10cm or 15cm and echogenic for visibility under ultrasound guidance: Micro Introducer Kit and Ministick Max.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Vascular Access Products</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portfolio of Vascular Access products includes a broad offering of peripherally inserted central catheters (PICCs), midline catheters, implantable ports, dialysis catheters and related accessories and supplies. These products are used to deliver, primarily, short-term drug therapies, such as chemotherapeutic agents and antibiotics, into the central venous system. Delivery to the circulatory system allows drugs to mix with a large volume of blood as compared to intravenous drug delivery into a superficial vessel. Our Vascular Access product family also includes the proprietary BioFlo catheter.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BioFlo</w:t>
      </w:r>
      <w:r>
        <w:rPr>
          <w:rFonts w:ascii="Times New Roman" w:cs="Times New Roman" w:eastAsia="Times New Roman" w:hAnsi="Times New Roman"/>
          <w:sz w:val="25"/>
          <w:szCs w:val="25"/>
          <w:u w:val="single" w:color="auto"/>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-26035</wp:posOffset>
            </wp:positionV>
            <wp:extent cx="28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right="5940" w:firstLine="324"/>
        <w:spacing w:after="0" w:line="251" w:lineRule="auto"/>
        <w:rPr>
          <w:sz w:val="20"/>
          <w:szCs w:val="20"/>
          <w:color w:val="auto"/>
        </w:rPr>
      </w:pPr>
      <w:r>
        <w:rPr>
          <w:rFonts w:ascii="Times New Roman" w:cs="Times New Roman" w:eastAsia="Times New Roman" w:hAnsi="Times New Roman"/>
          <w:sz w:val="18"/>
          <w:szCs w:val="18"/>
          <w:color w:val="auto"/>
        </w:rPr>
        <w:t>AngioDynamics offers BioFlo, the only catheter on the market with Endexo Technology, a material more resistant to thrombus 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BioFlo’s long-term durability and efficacy is intended to provide clinicians a high degree of safety and confidence in providing better patient care and improved patient outcomes. BioFlo catheters are available across the Vascular Access family of products, including PICCs, midlines, ports and dialysis catheters.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-1435100</wp:posOffset>
            </wp:positionV>
            <wp:extent cx="2821305" cy="1406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140652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PICCs</w:t>
      </w:r>
    </w:p>
    <w:p>
      <w:pPr>
        <w:spacing w:after="0" w:line="22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A peripherally inserted central catheter, or PICC, is a long thin catheter that is inserted into a peripheral vein, typically in the upper arm, and advanced until the catheter tip terminates in a large vein in the chest near the heart to obtain intravenous access. PICCs can typically be used for prolonged periods of time and provide an alternative to central venous catheters. Our PICC product offerings include:</w:t>
      </w:r>
    </w:p>
    <w:p>
      <w:pPr>
        <w:spacing w:after="0" w:line="174" w:lineRule="exact"/>
        <w:rPr>
          <w:sz w:val="20"/>
          <w:szCs w:val="20"/>
          <w:color w:val="auto"/>
        </w:rPr>
      </w:pPr>
    </w:p>
    <w:p>
      <w:pPr>
        <w:ind w:left="660" w:right="60" w:hanging="328"/>
        <w:spacing w:after="0" w:line="20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BioFlo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PICC</w:t>
      </w:r>
      <w:r>
        <w:rPr>
          <w:rFonts w:ascii="Times New Roman" w:cs="Times New Roman" w:eastAsia="Times New Roman" w:hAnsi="Times New Roman"/>
          <w:sz w:val="18"/>
          <w:szCs w:val="18"/>
          <w:color w:val="auto"/>
        </w:rPr>
        <w:t>: Our BioFlo line is the only power injectable PICC available that incorporates Endexo Technology into the manufacturing and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catheter. Advanced features such as large lumen diameters allow the BioFlo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PICC to deliver the power injection flow rates required for contrast-enhanced Computed Tomography (CT) scans compatible with up to 325 psi CT injections.</w:t>
      </w:r>
    </w:p>
    <w:p>
      <w:pPr>
        <w:ind w:left="660" w:right="620" w:hanging="328"/>
        <w:spacing w:after="0" w:line="20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BioFlo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Midline: </w:t>
      </w:r>
      <w:r>
        <w:rPr>
          <w:rFonts w:ascii="Times New Roman" w:cs="Times New Roman" w:eastAsia="Times New Roman" w:hAnsi="Times New Roman"/>
          <w:sz w:val="18"/>
          <w:szCs w:val="18"/>
          <w:color w:val="auto"/>
        </w:rPr>
        <w:t>The BioFlo Midline Catheter is an effective solution to preserving a patient’s peripheral access. It provides a cost-effective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to multiple IV site rotations for patients who need short-term venous access.</w:t>
      </w:r>
    </w:p>
    <w:p>
      <w:pPr>
        <w:spacing w:after="0" w:line="1" w:lineRule="exact"/>
        <w:rPr>
          <w:rFonts w:ascii="Times New Roman" w:cs="Times New Roman" w:eastAsia="Times New Roman" w:hAnsi="Times New Roman"/>
          <w:sz w:val="18"/>
          <w:szCs w:val="18"/>
          <w:color w:val="auto"/>
        </w:rPr>
      </w:pPr>
    </w:p>
    <w:p>
      <w:pPr>
        <w:ind w:left="660" w:hanging="328"/>
        <w:spacing w:after="0" w:line="19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Xcela PICC</w:t>
      </w:r>
      <w:r>
        <w:rPr>
          <w:rFonts w:ascii="Times New Roman" w:cs="Times New Roman" w:eastAsia="Times New Roman" w:hAnsi="Times New Roman"/>
          <w:sz w:val="18"/>
          <w:szCs w:val="18"/>
          <w:color w:val="auto"/>
        </w:rPr>
        <w:t>: The Xcela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PICC line is designed to provide a high degree of safety, ease and confidence in patient care. Advanced features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 lumen diameters allow the Xcela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PICC to deliver the power injection flow rates required for contrast-enhanced CTs compatible with up to 325 psi CT injections.</w:t>
      </w:r>
    </w:p>
    <w:p>
      <w:pPr>
        <w:spacing w:after="0" w:line="3" w:lineRule="exact"/>
        <w:rPr>
          <w:rFonts w:ascii="Times New Roman" w:cs="Times New Roman" w:eastAsia="Times New Roman" w:hAnsi="Times New Roman"/>
          <w:sz w:val="18"/>
          <w:szCs w:val="18"/>
          <w:color w:val="auto"/>
        </w:rPr>
      </w:pPr>
    </w:p>
    <w:p>
      <w:pPr>
        <w:ind w:left="660" w:right="40" w:hanging="328"/>
        <w:spacing w:after="0" w:line="20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PASV</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Valve Technology: </w:t>
      </w:r>
      <w:r>
        <w:rPr>
          <w:rFonts w:ascii="Times New Roman" w:cs="Times New Roman" w:eastAsia="Times New Roman" w:hAnsi="Times New Roman"/>
          <w:sz w:val="18"/>
          <w:szCs w:val="18"/>
          <w:color w:val="auto"/>
        </w:rPr>
        <w:t>The PASV</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Valve Technology is available in both BioFlo and Xcela lines and is designed to automatically resist backflow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reduce blood reflux that could lead to catheter-related complications.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Ports</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spacing w:after="0" w:line="186" w:lineRule="exact"/>
        <w:rPr>
          <w:sz w:val="20"/>
          <w:szCs w:val="20"/>
          <w:color w:val="auto"/>
        </w:rPr>
      </w:pPr>
    </w:p>
    <w:p>
      <w:pPr>
        <w:ind w:left="660" w:right="140" w:hanging="328"/>
        <w:spacing w:after="0" w:line="22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BioFlo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Port</w:t>
      </w:r>
      <w:r>
        <w:rPr>
          <w:rFonts w:ascii="Times New Roman" w:cs="Times New Roman" w:eastAsia="Times New Roman" w:hAnsi="Times New Roman"/>
          <w:sz w:val="18"/>
          <w:szCs w:val="18"/>
          <w:color w:val="auto"/>
        </w:rPr>
        <w:t>: Our BioFlo Port is the only port available that features a catheter with Endexo Technology. Advanced features of the BioFlo 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multiple profile and catheter options, a large septum area for ease of access and the ability to administer contrast through a CT injection for purposes of imaging.</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SmartPort</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color w:val="auto"/>
        </w:rPr>
        <w:t>: The Smart Port power-injectable port with Vortex technology offers the ability for a clinician to access a vein for both the delivery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medications or fluids and for administering power-injected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 Port is available in mini and low-profiles to accommodate more patient anatomies.</w:t>
      </w:r>
    </w:p>
    <w:p>
      <w:pPr>
        <w:spacing w:after="0" w:line="1" w:lineRule="exact"/>
        <w:rPr>
          <w:rFonts w:ascii="Times New Roman" w:cs="Times New Roman" w:eastAsia="Times New Roman" w:hAnsi="Times New Roman"/>
          <w:sz w:val="17"/>
          <w:szCs w:val="17"/>
          <w:color w:val="auto"/>
        </w:rPr>
      </w:pPr>
    </w:p>
    <w:p>
      <w:pPr>
        <w:ind w:left="660" w:right="320" w:hanging="328"/>
        <w:spacing w:after="0" w:line="22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Vortex</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Vortex port technology line of ports is a clear-flow port technology that, we believe, revolutionized port design. With its rounded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chamber, the Vortex port is designed to have no sludge-harboring corners or dead spaces. This product line consists of titanium, plastic and dual-lumen offerings.</w:t>
      </w:r>
    </w:p>
    <w:p>
      <w:pPr>
        <w:spacing w:after="0" w:line="2" w:lineRule="exact"/>
        <w:rPr>
          <w:rFonts w:ascii="Times New Roman" w:cs="Times New Roman" w:eastAsia="Times New Roman" w:hAnsi="Times New Roman"/>
          <w:sz w:val="18"/>
          <w:szCs w:val="18"/>
          <w:color w:val="auto"/>
        </w:rPr>
      </w:pPr>
    </w:p>
    <w:p>
      <w:pPr>
        <w:ind w:left="660" w:right="380" w:hanging="328"/>
        <w:spacing w:after="0" w:line="20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PASV</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Valve Technology: </w:t>
      </w:r>
      <w:r>
        <w:rPr>
          <w:rFonts w:ascii="Times New Roman" w:cs="Times New Roman" w:eastAsia="Times New Roman" w:hAnsi="Times New Roman"/>
          <w:sz w:val="18"/>
          <w:szCs w:val="18"/>
          <w:color w:val="auto"/>
        </w:rPr>
        <w:t>The PASV</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Valve Technology is designed to automatically resist backflow and reduce blood reflux that could lead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catheter-related complications.</w:t>
      </w:r>
    </w:p>
    <w:p>
      <w:pPr>
        <w:spacing w:after="0" w:line="1" w:lineRule="exact"/>
        <w:rPr>
          <w:rFonts w:ascii="Times New Roman" w:cs="Times New Roman" w:eastAsia="Times New Roman" w:hAnsi="Times New Roman"/>
          <w:sz w:val="18"/>
          <w:szCs w:val="18"/>
          <w:color w:val="auto"/>
        </w:rPr>
      </w:pPr>
    </w:p>
    <w:p>
      <w:pPr>
        <w:ind w:left="660" w:right="40" w:hanging="328"/>
        <w:spacing w:after="0" w:line="20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LifeGuard</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LifeGuard Safety Infusion Set and The LifeGuard Vision are used to infuse our ports and complement our port and vascular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catheters. The needles’ low profile design is intended to allow clinicians to easily dress the 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Dialysis Products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market a complete line of dialysis products that provide short and long-term vascular access for dialysis patients. Dialysis, or cleaning of the blood, is necessary in conditions such as acute renal failure, chronic renal failure and end-stage renal disease (ESRD). We currently offer a variety of dialysis catheters, including:</w:t>
      </w:r>
    </w:p>
    <w:p>
      <w:pPr>
        <w:spacing w:after="0" w:line="174" w:lineRule="exact"/>
        <w:rPr>
          <w:sz w:val="20"/>
          <w:szCs w:val="20"/>
          <w:color w:val="auto"/>
        </w:rPr>
      </w:pPr>
    </w:p>
    <w:p>
      <w:pPr>
        <w:ind w:left="660" w:right="140" w:hanging="328"/>
        <w:spacing w:after="0" w:line="22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BioFlo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DuraMax</w:t>
      </w:r>
      <w:r>
        <w:rPr>
          <w:rFonts w:ascii="Times New Roman" w:cs="Times New Roman" w:eastAsia="Times New Roman" w:hAnsi="Times New Roman"/>
          <w:sz w:val="18"/>
          <w:szCs w:val="18"/>
          <w:color w:val="auto"/>
        </w:rPr>
        <w:t>: Our BioFlo DuraMax is the only dialysis catheter with Endexo Technology. Advanced features of the BioFlo DuraMax dialysis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catheter include large inner diameter lumens designed for long term patency, a proprietary guidewire lumen to facilitate catheter exchanges and Curved Tip Technology that allows the catheter to self-center in the Superior Vena Cava (SVC).</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DuraMax</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DuraMax catheter is a stepped-tip catheter designed to improve ease of use, dialysis efficiency and overall patient outcomes.</w:t>
      </w:r>
    </w:p>
    <w:p>
      <w:pPr>
        <w:spacing w:after="0" w:line="124" w:lineRule="exact"/>
        <w:rPr>
          <w:sz w:val="20"/>
          <w:szCs w:val="20"/>
          <w:color w:val="auto"/>
        </w:rPr>
      </w:pPr>
    </w:p>
    <w:p>
      <w:pPr>
        <w:ind w:right="340" w:firstLine="324"/>
        <w:spacing w:after="0" w:line="315" w:lineRule="auto"/>
        <w:rPr>
          <w:sz w:val="20"/>
          <w:szCs w:val="20"/>
          <w:color w:val="auto"/>
        </w:rPr>
      </w:pPr>
      <w:r>
        <w:rPr>
          <w:rFonts w:ascii="Times New Roman" w:cs="Times New Roman" w:eastAsia="Times New Roman" w:hAnsi="Times New Roman"/>
          <w:sz w:val="17"/>
          <w:szCs w:val="17"/>
          <w:color w:val="auto"/>
        </w:rPr>
        <w:t xml:space="preserve">In addition, AngioDynamics also offers other renal therapies, including </w:t>
      </w:r>
      <w:r>
        <w:rPr>
          <w:rFonts w:ascii="Times New Roman" w:cs="Times New Roman" w:eastAsia="Times New Roman" w:hAnsi="Times New Roman"/>
          <w:sz w:val="17"/>
          <w:szCs w:val="17"/>
          <w:i w:val="1"/>
          <w:iCs w:val="1"/>
          <w:color w:val="auto"/>
        </w:rPr>
        <w:t>DuraFlow™ Chronic Hemodialysis Catheter,</w:t>
      </w:r>
      <w:r>
        <w:rPr>
          <w:rFonts w:ascii="Times New Roman" w:cs="Times New Roman" w:eastAsia="Times New Roman" w:hAnsi="Times New Roman"/>
          <w:sz w:val="17"/>
          <w:szCs w:val="17"/>
          <w:color w:val="auto"/>
        </w:rPr>
        <w:t xml:space="preserve"> Schon Chronic Hemodialysis Catheter, EVENMORE Chronic Hemodialysis Catheter, EMBOSAFE™ Valved, Splitable Sheath Dilator and Perchik™ Button Suture Retention Device.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Oncology/Surgery Products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AngioDynamics offers a range of comprehensive ablation technologies, including thermal tissue ablation systems (microwave energy and radiofrequency energy), surgical resection and the NanoKnife System, an innovative alternative to thermal ablation.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580"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NanoKnife</w:t>
      </w:r>
      <w:r>
        <w:rPr>
          <w:rFonts w:ascii="Times New Roman" w:cs="Times New Roman" w:eastAsia="Times New Roman" w:hAnsi="Times New Roman"/>
          <w:sz w:val="25"/>
          <w:szCs w:val="25"/>
          <w:u w:val="single" w:color="auto"/>
          <w:color w:val="auto"/>
          <w:vertAlign w:val="superscript"/>
        </w:rPr>
        <w:t>®</w:t>
      </w:r>
      <w:r>
        <w:rPr>
          <w:rFonts w:ascii="Times New Roman" w:cs="Times New Roman" w:eastAsia="Times New Roman" w:hAnsi="Times New Roman"/>
          <w:sz w:val="18"/>
          <w:szCs w:val="18"/>
          <w:u w:val="single" w:color="auto"/>
          <w:color w:val="auto"/>
        </w:rPr>
        <w:t xml:space="preserve"> System</w:t>
      </w:r>
    </w:p>
    <w:p>
      <w:pPr>
        <w:spacing w:after="0" w:line="145" w:lineRule="exact"/>
        <w:rPr>
          <w:sz w:val="20"/>
          <w:szCs w:val="20"/>
          <w:color w:val="auto"/>
        </w:rPr>
      </w:pPr>
    </w:p>
    <w:p>
      <w:pPr>
        <w:ind w:right="5800" w:firstLine="324"/>
        <w:spacing w:after="0" w:line="242" w:lineRule="auto"/>
        <w:rPr>
          <w:sz w:val="20"/>
          <w:szCs w:val="20"/>
          <w:color w:val="auto"/>
        </w:rPr>
      </w:pPr>
      <w:r>
        <w:rPr>
          <w:rFonts w:ascii="Times New Roman" w:cs="Times New Roman" w:eastAsia="Times New Roman" w:hAnsi="Times New Roman"/>
          <w:sz w:val="18"/>
          <w:szCs w:val="18"/>
          <w:color w:val="auto"/>
        </w:rPr>
        <w:t>The NanoKnife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System is an alternative to traditional thermal ablation that has received 510(k) clearance from the Food and Drug Administration for the surgical ablation of soft tissue. The NanoKnife Ablation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NanoKnife Ablation System does not achieve tissue ablation using thermal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-1155065</wp:posOffset>
            </wp:positionV>
            <wp:extent cx="2821305" cy="1406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140652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NanoKnife Ablation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The energy delivery is hyperechoic and can be monitored under real-time ultrasound.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Microwave Ablation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Solero Microwave Tissue Ablation (MTA) System</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Solero MTA System features the Solero Microwave (MW)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Generator and the specially designed Solero MW Applicators. The solid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Solero MW Generator with a 2.45 GHz operating frequency can power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W for optimized power delivery and fast ablations. The Solero MW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Applicator’s optimized ceramic tip diffuses MW energy nearly spherically,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patented cooling channel with thermocouple provides real-time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monitoring to help protect non-targeted tissue ablation. In addition,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Solero MTA System offers physicians scalability with a single applicator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for multiple, predictable ablation volumes by varying time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wattage. Solero is a single applicator system able to complete up to a 5 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ablation in six (6) minutes at maximum power.</w:t>
      </w:r>
    </w:p>
    <w:p>
      <w:pPr>
        <w:spacing w:after="0" w:line="20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Solero MTA System and Accessories are indicated in the U.S. for the ablation of soft tissue during open procedures. The Solero MTA System is not intended for cardiac use.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Acculis Microwave Tissue Ablation (MTA) System</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When configured for use with the Accu2i pMTA Applicators, the Acculis MTA System includes the Sulis VpMTA Generator, optional MTA Temperature Probes, Acculis Local Control Station (LCS) and Accu2i pMTA Applicators. Designed for physicians trained in image-guided ablation procedures, intraoperative ultrasound and/or CT guided needle placement, the system is used for thermal coagulation of soft tissue. By utilizing 2.45 GHz of microwave energy, the Acculis MTA System can complete ablations up to 5 cm in six minutes with a single applicator. Applicators are available in 14 cm, 19 cm and 29 cm lengths, offering flexibility in selecting the appropriate length for the procedure.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Radiofrequency Ablation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StarBurst Radiofrequency Ablation Devices</w:t>
      </w:r>
    </w:p>
    <w:p>
      <w:pPr>
        <w:spacing w:after="0" w:line="22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Radiofrequency Ablation (RFA) products use radiofrequency energy to provide a minimally invasive approach to ablating solid cancerous or benign tumors. Our StarBurst Radiofrequency Ablation Devices deliver radiofrequency energy to raise the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580" w:right="299" w:bottom="1440" w:gutter="0" w:footer="0" w:header="0"/>
        </w:sectPr>
      </w:pPr>
    </w:p>
    <w:bookmarkStart w:id="9" w:name="page10"/>
    <w:bookmarkEnd w:id="9"/>
    <w:p>
      <w:pPr>
        <w:ind w:right="620"/>
        <w:spacing w:after="0" w:line="282" w:lineRule="auto"/>
        <w:rPr>
          <w:sz w:val="20"/>
          <w:szCs w:val="20"/>
          <w:color w:val="auto"/>
        </w:rPr>
      </w:pPr>
      <w:r>
        <w:rPr>
          <w:rFonts w:ascii="Times New Roman" w:cs="Times New Roman" w:eastAsia="Times New Roman" w:hAnsi="Times New Roman"/>
          <w:sz w:val="18"/>
          <w:szCs w:val="18"/>
          <w:color w:val="auto"/>
        </w:rPr>
        <w:t>temperature of cells above 45-50°C, causing cellular death. The physician inserts the disposable needle electrode device into the targeted body tissue, typically under ultrasound, CT or Magnetic Resonance Imaging (MRI) guidance.</w:t>
      </w:r>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During the procedure, our system automatically adjusts the amount of energy delivered in order to maintain the temperature necessary to ablate the</w:t>
      </w:r>
    </w:p>
    <w:p>
      <w:pPr>
        <w:spacing w:after="0" w:line="23" w:lineRule="exact"/>
        <w:rPr>
          <w:sz w:val="20"/>
          <w:szCs w:val="20"/>
          <w:color w:val="auto"/>
        </w:rPr>
      </w:pPr>
    </w:p>
    <w:p>
      <w:pPr>
        <w:ind w:right="120"/>
        <w:spacing w:after="0" w:line="211" w:lineRule="auto"/>
        <w:rPr>
          <w:sz w:val="20"/>
          <w:szCs w:val="20"/>
          <w:color w:val="auto"/>
        </w:rPr>
      </w:pPr>
      <w:r>
        <w:rPr>
          <w:rFonts w:ascii="Times New Roman" w:cs="Times New Roman" w:eastAsia="Times New Roman" w:hAnsi="Times New Roman"/>
          <w:sz w:val="18"/>
          <w:szCs w:val="18"/>
          <w:color w:val="auto"/>
        </w:rPr>
        <w:t xml:space="preserve">targeted tissue. For a typical 5 cm ablation using our StarBurst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Xli-enhanced disposable device, the ablation process takes approximately ten minutes. The RFA system consists of a radiofrequency generator and a family of disposable devices.</w:t>
      </w:r>
    </w:p>
    <w:p>
      <w:pPr>
        <w:spacing w:after="0" w:line="199" w:lineRule="exact"/>
        <w:rPr>
          <w:sz w:val="20"/>
          <w:szCs w:val="20"/>
          <w:color w:val="auto"/>
        </w:rPr>
      </w:pPr>
    </w:p>
    <w:p>
      <w:pPr>
        <w:jc w:val="both"/>
        <w:ind w:right="340" w:firstLine="324"/>
        <w:spacing w:after="0" w:line="289" w:lineRule="auto"/>
        <w:rPr>
          <w:sz w:val="20"/>
          <w:szCs w:val="20"/>
          <w:color w:val="auto"/>
        </w:rPr>
      </w:pPr>
      <w:r>
        <w:rPr>
          <w:rFonts w:ascii="Times New Roman" w:cs="Times New Roman" w:eastAsia="Times New Roman" w:hAnsi="Times New Roman"/>
          <w:sz w:val="17"/>
          <w:szCs w:val="17"/>
          <w:color w:val="auto"/>
        </w:rPr>
        <w:t>In addition to thermal ablation systems and NanoKnife, AngioDynamics also offers Habib 4X Surgical Resection Devices that are used in minimally invasive laparoscopic surgery (MILS) procedures in surgical specialties such as Hepato-Biliary, GI, Surgical Oncology, Transplant Surgery and Urology (Partial Nephrectomy Resections). It is clinically indicated to assist in coagulation of tissue during intraoperative and laparoscopic procedures.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growth depends in large part on the continuous introduction of new and innovative products, together with ongoing enhancements to our existing products. This happens through internal product development, technology licensing and strategic alliances. We recognize the importance of, and intend to continue to make investments in, research and development (R&amp;D).</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primary device competitors include: Boston Scientific Corporation; Cook Medical; C.R. Bard; Medical Components, Inc. (Medcomp); TeleFlex Medical; Smiths Medical, a subsidiary of Smiths Group plc; Medtronic; Merit Medical; Terumo Medical Corporation; Johnson and Johnson and Total Vein Systems.</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outside parties, and maintain sufficient inventory to meet customer demand.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w:t>
      </w:r>
    </w:p>
    <w:p>
      <w:pPr>
        <w:spacing w:after="0" w:line="17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focus our sales and marketing efforts on interventional radiologists, interventional cardiologists, vascular surgeons, urologists and interventional and surgical oncologists.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manufacture certain proprietary components and products and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580"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designed proprietary manufacturing and processing equipment and have developed proprietary enhancements for existing production machinery.</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own or lease four primary manufacturing properties providing capabilities which include manufacturing, service, engineering and research, distribution warehouses and offices. These facilities are registered with the FDA and have been certified to ISO 13485 standards, as well as the CMD/CAS Canadian Medical Device Regulations. ISO 13485 is a quality system standard that satisfies European Union regulatory requirements, thus allowing us to market and sell our products in European Union countries. Our manufacturing facilities are subject to periodic inspections by regulatory authorities to ensure compliance with domestic and non-U.S. regulatory requirements. See “Government Regulation” section of this report for additional information. See Item 2 "Properties" for details on each manufacturing location.</w:t>
      </w:r>
    </w:p>
    <w:p>
      <w:pPr>
        <w:spacing w:after="0" w:line="18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February 2017, we announced the consolidation of our global operations into two facilities located in New York State. Operations being done in the Denmead, U.K. and Manchester, Ga. manufacturing facilities will be consolidated into the Glens Falls and Queensbury, N.Y.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Historically, we ship the majority of products within 24-48 hours of receiving an order, and accordingly our backlog is not significant.</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company owns an extensive portfolio of patents and patent applications in the United States and in certain foreign countries. The portfolio also includes exclusive licenses to third party patents and applications.</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Most of our products are sold under the AngioDynamics trade name or trademark. Additionally, products are also sold under product trademarks and/or registered product trademarks owned by AngioDynamics, Inc., or an affiliate or subsidiary. Some products contain trademarks of companies other than AngioDynamics.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Part I. Item 3 of this report for additional details on litigation regarding proprietary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the products. While it is not possible to predict the outcome of patent litigation incidents to our business, we believe the costs associated with this type of litigation could have a material adverse impact on our consolidated results of operations, financial position, or cash flows.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of this report and Note 15 to the consolidated financial statements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products we manufacture and market are subject to regulation by the Food and Drug Administration (FDA) under the Federal Food, Drug, and Cosmetic Act, or FDCA, and international regulations to our specific target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580" w:right="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FDA Regulation</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Before a new medical device can be introduced into the market, a manufacturer generally must obtain marketing clearance or approval from the FDA through either a 510(k) submission (a premarket notification) or a premarket approval application (PMA).</w:t>
      </w:r>
    </w:p>
    <w:p>
      <w:pPr>
        <w:spacing w:after="0" w:line="16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510(k) procedure is available only in particular circumstances. The 510(k) clearance procedure is available only if a manufacturer can establish that its device is “substantially equivalent” in intended use and in safety and effectiveness to a “predicate device,” which is a legally marketed device with 510(k) clearance in class I or II or preamendment status based upon products commercially distributed on or before May 28, 1976.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new or modified device products. If a device cannot demonstrate substantial equivalence, it may be subject to either a de novo submission or a PMA.</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PMA application procedure is more comprehensive than the 510(k) procedure and typically takes several years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a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Historically, our products have been introduced into the market using the 510(k) procedure and we have never had to use the PMA procedure.</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process of FDA submissions requires extensive and expensive validations and testing. The financial outlay for this is large and requires a significant amount of time. Recent changes in both regulations and FDA perspectives have increased both time and testing requirements, which have caused significant delays and increased costs for approvals. The parameters for increased testing have and will continue to cause severe delays. The increased focus by the FDA on such issues as chemical identification of all colorants, non-acceptance of certain colorants (certain forms of carbon black) and other concerns, continue to cause problems and delays. In addition, changes to existing products call into question previously approved devices and result in additional costs for testing and material analysis.</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After a product is placed on the market, the product and its manufacturer are subject to pervasive and continuing regulation by the FDA. The FDA enforces these requirements by inspection and market surveillance. Our suppliers also may be subject to FDA inspection; this has resulted in several suppliers altering price structures for medical device companies. The additional costs due to testing and potential for lawsuits due to material contamination or unforeseen chemical/allergenic reactions has led to some manufacturers actively refusing to supply to medical device companies. The financial expenditure needed to maintain compliance to the requirements of the FDA are extensive and ever increasing. Specific systems are needed to maintain compliance to baseline requirements. In addition, complex systems are needed to ensure that specific violations such as ‘off label promotion’ are avoided. The FDA has specific requirements for labeling and marketing materials. These need extensive policing and evaluation. Penalties for breach of off label promotion can result in significant fines to the company.</w:t>
      </w:r>
    </w:p>
    <w:p>
      <w:pPr>
        <w:spacing w:after="0" w:line="18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devices manufactured by us also are subject to the QSR, which imposes elaborate testing, control, documentation and other quality assurance procedures. Every phase of production, including raw materials, components and subassembly, manufacturing, testing, quality control, labeling, tracing of consignees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Penalties for failure to maintain compliance to the QSR include warning letters and potentially consent decrees. Failure to maintain the QSR appropriately could result in the development of further warning letters. In addition, non-compliance with applicable FDA requirements can result in, among other things, fines, injunctions, civil penalties, recall or</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576" w:right="279" w:bottom="1440" w:gutter="0" w:footer="0" w:header="0"/>
        </w:sectPr>
      </w:pPr>
    </w:p>
    <w:bookmarkStart w:id="12" w:name="page13"/>
    <w:bookmarkEnd w:id="12"/>
    <w:p>
      <w:pPr>
        <w:ind w:right="180"/>
        <w:spacing w:after="0" w:line="266" w:lineRule="auto"/>
        <w:rPr>
          <w:sz w:val="20"/>
          <w:szCs w:val="20"/>
          <w:color w:val="auto"/>
        </w:rPr>
      </w:pPr>
      <w:r>
        <w:rPr>
          <w:rFonts w:ascii="Times New Roman" w:cs="Times New Roman" w:eastAsia="Times New Roman" w:hAnsi="Times New Roman"/>
          <w:sz w:val="18"/>
          <w:szCs w:val="18"/>
          <w:color w:val="auto"/>
        </w:rPr>
        <w:t>seizure of products, total or partial suspension of production, failure of the FDA to grant marketing approvals, withdrawal of marketing approvals, a recommendation by the FDA to disallow us to enter into government contracts, and criminal prosecutions. The FDA also has the authority to request repair, replacement or refund of the cost of any device manufactured or distributed by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U.S. Regulatory Bodies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and our products are also subject to a variety of state and local laws in those jurisdictions where our products are, or will be, marketed, and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Regulation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Internationally, all of our current products are considered medical devices under applicable regulatory regimes, and we anticipate that this will be true for all of our future products. Sales of medical devices are subject to regulatory requirements in many countries. The regulatory review process may vary greatly from country to country. For example, the European Union has a dedicated set of regulations regarding medical devices, specifically regulating their design, manufacturing, clinical trials, labeling and adverse event reporting. Devices that comply with those requirements are entitled to bear a Conformité Européenne, or CE Mark, indicating that the device conforms to the essential requirements of the applicable directives and can be commercially distributed in countries that are members of the European Union. Similar regulations are in place for Canada, Japan, China and most other countries.</w:t>
      </w:r>
    </w:p>
    <w:p>
      <w:pPr>
        <w:spacing w:after="0" w:line="188"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process of obtaining approval to distribute medical products is costly and time-consuming in virtually all the major markets where we sell medical devices. We cannot assure that any new medical devices we develop will be approved in a timely or cost-effective manner or approved at all. There can be no assurance that new laws or regulations regarding the release or sale of medical devices will not delay or prevent sale of our current or future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REIMBURSEMENT AND ANTI-FRAUD AND CORRUPT PRACTICES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connection with the Medicare and Medicaid programs, as well as the government’s interest in regulating the quality and cost of health care. Foreign governments also impose regulations in connection with their health care reimbursement programs and the delivery of health care items and services.</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including or rewarding referrals of items or services reimbursable by a federal health care program;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580" w:right="259" w:bottom="1440" w:gutter="0" w:footer="0" w:header="0"/>
        </w:sectPr>
      </w:pPr>
    </w:p>
    <w:bookmarkStart w:id="13" w:name="page14"/>
    <w:bookmarkEnd w:id="13"/>
    <w:p>
      <w:pPr>
        <w:ind w:right="120"/>
        <w:spacing w:after="0" w:line="266" w:lineRule="auto"/>
        <w:rPr>
          <w:sz w:val="20"/>
          <w:szCs w:val="20"/>
          <w:color w:val="auto"/>
        </w:rPr>
      </w:pPr>
      <w:r>
        <w:rPr>
          <w:rFonts w:ascii="Times New Roman" w:cs="Times New Roman" w:eastAsia="Times New Roman" w:hAnsi="Times New Roman"/>
          <w:sz w:val="18"/>
          <w:szCs w:val="18"/>
          <w:color w:val="auto"/>
        </w:rPr>
        <w:t>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w:t>
      </w:r>
    </w:p>
    <w:p>
      <w:pPr>
        <w:spacing w:after="0" w:line="229"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U.S., we generally rely on our distributors to obtain reimbursement approval in the countries in which they will sell our products. There can be no assurance that reimbursement approvals will be received.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Our operations are also subject to laws and regulations related to occupational health and safety. We maintain safety, training and maintenance programs as part of our ongoing efforts to ensure compliance with applicable laws and regulations.</w:t>
      </w:r>
    </w:p>
    <w:p>
      <w:pPr>
        <w:spacing w:after="0" w:line="18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As of May 31, 2017, we had approximately 1,250 full time employees. None of our employees are represented by a labor union and we have never experienced a work stoppage.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580"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Age</w:t>
            </w: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6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Clemmer</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53</w:t>
            </w:r>
          </w:p>
        </w:tc>
        <w:tc>
          <w:tcPr>
            <w:tcW w:w="660" w:type="dxa"/>
            <w:vAlign w:val="bottom"/>
          </w:tcPr>
          <w:p>
            <w:pPr>
              <w:spacing w:after="0"/>
              <w:rPr>
                <w:sz w:val="22"/>
                <w:szCs w:val="22"/>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C. Greiner</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44</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Trowbridge</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43</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27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A. Kucharczyk</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44</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Global Operations</w:t>
            </w:r>
          </w:p>
        </w:tc>
      </w:tr>
      <w:tr>
        <w:trPr>
          <w:trHeight w:val="27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Warren G. Nighan</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48</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Quality &amp; Regulatory Affairs</w:t>
            </w:r>
          </w:p>
        </w:tc>
      </w:tr>
      <w:tr>
        <w:trPr>
          <w:trHeight w:val="27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Heather J. Daniels-Cariveau</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43</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Human Resources</w:t>
            </w:r>
          </w:p>
        </w:tc>
      </w:tr>
      <w:tr>
        <w:trPr>
          <w:trHeight w:val="27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H. Davis</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52</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Business Development</w:t>
            </w:r>
          </w:p>
        </w:tc>
      </w:tr>
      <w:tr>
        <w:trPr>
          <w:trHeight w:val="27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 T. Campbell</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46</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Vascular Access</w:t>
            </w:r>
          </w:p>
        </w:tc>
      </w:tr>
      <w:tr>
        <w:trPr>
          <w:trHeight w:val="27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Stark</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52</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Oncology/Surgery</w:t>
            </w:r>
          </w:p>
        </w:tc>
      </w:tr>
      <w:tr>
        <w:trPr>
          <w:trHeight w:val="27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 Simpson</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45</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and General Manager, Peripheral Vascular</w:t>
            </w:r>
          </w:p>
        </w:tc>
      </w:tr>
    </w:tbl>
    <w:p>
      <w:pPr>
        <w:spacing w:after="0" w:line="22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James C. Clemmer </w:t>
      </w:r>
      <w:r>
        <w:rPr>
          <w:rFonts w:ascii="Times New Roman" w:cs="Times New Roman" w:eastAsia="Times New Roman" w:hAnsi="Times New Roman"/>
          <w:sz w:val="18"/>
          <w:szCs w:val="18"/>
          <w:color w:val="auto"/>
        </w:rPr>
        <w:t>became our President and Chief Executive Officer in April 2016. Prior to joining AngioDynamics, Mr. Clemmer served as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$1.8 billion medical supplies segment at Covidien plc. where he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where he managed the US business across five divisions and built the strategic plan for the medical supplies segment before it was spun off from Tyco. Mr. Clemmer began his career at Sage Products, Inc. Mr. Clemmer currently serves on the Board of Directors for AngioDynamics and Lantheus Medical Imaging. Mr. Clemmer is a graduate of the Massachusetts College of Liberal Arts, where he served as interim president from August 2015 until March 1, 2016.</w:t>
      </w:r>
    </w:p>
    <w:p>
      <w:pPr>
        <w:spacing w:after="0" w:line="18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Michael C. Greiner </w:t>
      </w:r>
      <w:r>
        <w:rPr>
          <w:rFonts w:ascii="Times New Roman" w:cs="Times New Roman" w:eastAsia="Times New Roman" w:hAnsi="Times New Roman"/>
          <w:sz w:val="18"/>
          <w:szCs w:val="18"/>
          <w:color w:val="auto"/>
        </w:rPr>
        <w:t>joined AngioDynamics as the Executive Vice President and Chief Financial Officer in August 2016. Mr. Greiner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Financial Officer at Extreme Reach. Prior to Extreme Reach, Mr. Greiner served as Senior Vice President Corporate Finance and Chief Accounting Officer at Cimpress N.V. (Vistaprint N.V.), Global Controller for GE’s Water and Processing Technologies division and in leadership roles at Bausch &amp; Lomb and Wyeth. Mr. Greiner is also an advisor for Mirah, Inc., a measurement-based behavioral health company, and serves as the President of the Foundation for Faces of Children. Mr. Greiner received a Bachelor and Master of Science in Accounting from Fairleigh Dickinson University and Master of Business Administration from the Columbia Business School. Mr. Greiner is also a Certified Public Accountant.</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Stephen A. Trowbridge </w:t>
      </w:r>
      <w:r>
        <w:rPr>
          <w:rFonts w:ascii="Times New Roman" w:cs="Times New Roman" w:eastAsia="Times New Roman" w:hAnsi="Times New Roman"/>
          <w:sz w:val="18"/>
          <w:szCs w:val="18"/>
          <w:color w:val="auto"/>
        </w:rPr>
        <w:t>joined AngioDynamics as corporate counsel in June 2008, becoming our Vice President and General Counsel in June 2010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and General Counsel in August 2013. Mr. Trowbridge manages AngioDynamics’ legal matters, including corporate governance, mergers and acquisitions, finance, securities regulation, litigation, regulatory matters, intellectual property and compliance. Mr. Trowbridge also oversees the Company’s clinical affairs, medical affairs and healthcare economics departments. Prior to AngioDynamics, Mr. Trowbridge served as a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spacing w:after="0" w:line="18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Barbara A. Kucharczyk </w:t>
      </w:r>
      <w:r>
        <w:rPr>
          <w:rFonts w:ascii="Times New Roman" w:cs="Times New Roman" w:eastAsia="Times New Roman" w:hAnsi="Times New Roman"/>
          <w:sz w:val="18"/>
          <w:szCs w:val="18"/>
          <w:color w:val="auto"/>
        </w:rPr>
        <w:t>joined AngioDynamics in June 2012 and was promoted to Senior Vice President Global Operations in June 2015.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AngioDynamics, Ms. Kucharczyk served as the Focus Factory Manager for the Vascular Therapy division at Covidien (Medtronic). Before Covidien, Ms. Kucharczyk was the Plant Manager for the Forest Products Group at Hexion Specialty Chemicals, Inc. Ms. Kucharczyk received a Bachelor of Science in Chemistry from the State University of New York at Fredonia, a Bachelor of Science in Chemical Engineering from the State University of New York Center at Buffalo and a Master of Business Administration from Rensselaer Polytechnic Institute.</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Warren G. Nighan </w:t>
      </w:r>
      <w:r>
        <w:rPr>
          <w:rFonts w:ascii="Times New Roman" w:cs="Times New Roman" w:eastAsia="Times New Roman" w:hAnsi="Times New Roman"/>
          <w:sz w:val="18"/>
          <w:szCs w:val="18"/>
          <w:color w:val="auto"/>
        </w:rPr>
        <w:t>joined AngioDynamics as the Senior Vice President of Quality and Regulatory Affairs in April 2017. Before joining AngioDynamics,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Nighan was as a quality and regulatory consultant to clients in FDA-regulated industries, specializing in execution and management of quality systems implementation and remediation. Previously, Mr. Nighan served as the Executive Vice President of Global Clinical, Quality Affairs and Regulatory Affairs at Haemonetics Corporation, Vice</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576" w:right="259" w:bottom="1440" w:gutter="0" w:footer="0" w:header="0"/>
        </w:sectPr>
      </w:pPr>
    </w:p>
    <w:bookmarkStart w:id="15" w:name="page16"/>
    <w:bookmarkEnd w:id="15"/>
    <w:p>
      <w:pPr>
        <w:ind w:right="780"/>
        <w:spacing w:after="0" w:line="266" w:lineRule="auto"/>
        <w:rPr>
          <w:sz w:val="20"/>
          <w:szCs w:val="20"/>
          <w:color w:val="auto"/>
        </w:rPr>
      </w:pPr>
      <w:r>
        <w:rPr>
          <w:rFonts w:ascii="Times New Roman" w:cs="Times New Roman" w:eastAsia="Times New Roman" w:hAnsi="Times New Roman"/>
          <w:sz w:val="18"/>
          <w:szCs w:val="18"/>
          <w:color w:val="auto"/>
        </w:rPr>
        <w:t>President of Quality/Regulatory/Clinical/Technical Services at St. Jude Medical’s Atrial Fibrillation Division, and Corporate Vice President of Quality/Compliance at Tyco Healthcare/Covidien (Medtronic). Mr. Nighan earned a Bachelor and Master of Science in Nursing from Northeastern University’s Bouvé College of Health Sciences.</w:t>
      </w:r>
    </w:p>
    <w:p>
      <w:pPr>
        <w:spacing w:after="0" w:line="174"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Heather J. Daniels Cariveau </w:t>
      </w:r>
      <w:r>
        <w:rPr>
          <w:rFonts w:ascii="Times New Roman" w:cs="Times New Roman" w:eastAsia="Times New Roman" w:hAnsi="Times New Roman"/>
          <w:sz w:val="18"/>
          <w:szCs w:val="18"/>
          <w:color w:val="auto"/>
        </w:rPr>
        <w:t>joined AngioDynamics in October 2016 as the Senior Vice President of Human Resources.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AngioDynamics, Ms. Daniels Cariveau served as a Human Resources Global Vice President at Zimmer Biomet, leading tactical and strategic HR initiatives for the Spine, Dental, Market Access/Healthcare Economics and Craniomaxillofacial/Thoracic businesses. Before Zimmer Biomet, Ms. Daniels Cariveau served in senior HR roles at GE, Datacard, Honeywell International, Inc. and Cigna Corporation. Ms. Daniels Cariveau holds a Bachelor of Arts in Broadcast Journalism and Spanish from the University of St. Thomas in St. Paul, Minn. and a Master of Arts in Human Resources and Industrial Relations from the University of Minnesota Carlson School of Management in Minneapolis, Minn.</w:t>
      </w:r>
    </w:p>
    <w:p>
      <w:pPr>
        <w:spacing w:after="0" w:line="183" w:lineRule="exact"/>
        <w:rPr>
          <w:sz w:val="20"/>
          <w:szCs w:val="20"/>
          <w:color w:val="auto"/>
        </w:rPr>
      </w:pPr>
    </w:p>
    <w:p>
      <w:pPr>
        <w:ind w:right="20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Benjamin H. Davis </w:t>
      </w:r>
      <w:r>
        <w:rPr>
          <w:rFonts w:ascii="Times New Roman" w:cs="Times New Roman" w:eastAsia="Times New Roman" w:hAnsi="Times New Roman"/>
          <w:sz w:val="18"/>
          <w:szCs w:val="18"/>
          <w:color w:val="auto"/>
        </w:rPr>
        <w:t>joined AngioDynamics as Senior Vice President of Business Development in March 2015. Prior to joining AngioDynamics,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Davis most recently was the Vice President Business Integration at C.R. Bard, Inc. where he also served as the Divisional Head of Business Development from 2004 -2013. Before joining C.R. Bard, Inc. Mr. Davis held the position of Chief Financial Officer and Treasurer at Axya Medical Inc. He holds a Bachelor of Science in Business Administration from Bryant College and Master in Business Administration in Finance from Bentley University Graduate School of Business.</w:t>
      </w:r>
    </w:p>
    <w:p>
      <w:pPr>
        <w:spacing w:after="0" w:line="18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Chad T. Campbell </w:t>
      </w:r>
      <w:r>
        <w:rPr>
          <w:rFonts w:ascii="Times New Roman" w:cs="Times New Roman" w:eastAsia="Times New Roman" w:hAnsi="Times New Roman"/>
          <w:sz w:val="18"/>
          <w:szCs w:val="18"/>
          <w:color w:val="auto"/>
        </w:rPr>
        <w:t>joined AngioDynamics in May 2016 as the Senior Vice President and General Manager for the Vascular Access Global Business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his role, Mr. Campbell oversees research and development and global commercialization of 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spacing w:after="0" w:line="183" w:lineRule="exact"/>
        <w:rPr>
          <w:sz w:val="20"/>
          <w:szCs w:val="20"/>
          <w:color w:val="auto"/>
        </w:rPr>
      </w:pPr>
    </w:p>
    <w:p>
      <w:pPr>
        <w:ind w:right="1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Richard A. Stark </w:t>
      </w:r>
      <w:r>
        <w:rPr>
          <w:rFonts w:ascii="Times New Roman" w:cs="Times New Roman" w:eastAsia="Times New Roman" w:hAnsi="Times New Roman"/>
          <w:sz w:val="18"/>
          <w:szCs w:val="18"/>
          <w:color w:val="auto"/>
        </w:rPr>
        <w:t>joined AngioDynamics in 2007 as the Senior Vice President and General Manager for the Oncology/Surgery Global Business Unit.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 role, Mr. Stark oversees research and development and global commercialization of the Global Business Unit’s portfolio. Prior to AngioDynamics, Mr. Stark served as a district sales manager with RITA Medical, which was later acquired by AngioDynamics. Prior to RITA, Mr. Stark spent several years in field sales with Woodside Biomedical and Arrow International (Teleflex). Stark holds a Bachelor of Arts in Psychology from California State University of Chico in Chico, California.</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Robert A. Simpson </w:t>
      </w:r>
      <w:r>
        <w:rPr>
          <w:rFonts w:ascii="Times New Roman" w:cs="Times New Roman" w:eastAsia="Times New Roman" w:hAnsi="Times New Roman"/>
          <w:sz w:val="18"/>
          <w:szCs w:val="18"/>
          <w:color w:val="auto"/>
        </w:rPr>
        <w:t>joined AngioDynamics in February 2017 as the Senior Vice President and General Manager for the Peripheral Vascular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Unit. In his role, Mr. Simpson oversees research and development and global commercialization of the Global Business Unit’s portfolio. Prior to AngioDynamics, Mr. Simpson served as the Vice President and General Manager of the Patient Care Global Business at Medtronic. He was responsible for leading the business strategy and operations while ensuring global execution. Prior to his role within the Patient Care business, Mr. Simpson led strategy and business development for Medtronic’s Patient Monitoring &amp; Recovery business. Mr. Simpson also held various leadership roles in Sales and Marketing during his time at Covidien (Medtronic) and Alcon (Novartis). Mr. Simpson received a Bachelor of Science in Management Science - Finance from the State University of New York at Geneseo and has completed a comprehensive, executive leadership development program at Babson College.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060" w:firstLine="432"/>
        <w:spacing w:after="0" w:line="282" w:lineRule="auto"/>
        <w:rPr>
          <w:sz w:val="20"/>
          <w:szCs w:val="20"/>
          <w:color w:val="auto"/>
        </w:rPr>
      </w:pPr>
      <w:r>
        <w:rPr>
          <w:rFonts w:ascii="Times New Roman" w:cs="Times New Roman" w:eastAsia="Times New Roman" w:hAnsi="Times New Roman"/>
          <w:sz w:val="18"/>
          <w:szCs w:val="18"/>
          <w:color w:val="auto"/>
        </w:rPr>
        <w:t xml:space="preserve">Our corporate headquarters is located at 14 Plaza Drive, Latham, New York 12110. Our phone number is (518) 795-1400. Our website is </w:t>
      </w:r>
      <w:r>
        <w:rPr>
          <w:rFonts w:ascii="Times New Roman" w:cs="Times New Roman" w:eastAsia="Times New Roman" w:hAnsi="Times New Roman"/>
          <w:sz w:val="18"/>
          <w:szCs w:val="18"/>
          <w:i w:val="1"/>
          <w:iCs w:val="1"/>
          <w:color w:val="auto"/>
        </w:rPr>
        <w:t>www.angiodynamics.com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Securities and Exchange Commission, or SEC. In addition, our website includes, among other things, charters of the various committees of our Board of Directors and our code of business conduct and ethics applicable to all employees, officers and directors. Any stockholder also may obtain copies of these documents, free of charge, by sending a request in writing to our investor relations department: AngioDynamics, 14 Plaza Drive, Latham, N.Y. 12210, Attention: Caitlin Stefanik. Information on our website or connected to our website is not incorporated by reference into this Annual Report on Form 10-K.</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580" w:right="299" w:bottom="1440" w:gutter="0" w:footer="0" w:header="0"/>
        </w:sectPr>
      </w:pPr>
    </w:p>
    <w:bookmarkStart w:id="16" w:name="page17"/>
    <w:bookmarkEnd w:id="16"/>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the following risk factors should be considered carefully in evaluating the Company's business. Our financial and operating results are subject to a number of factors, many of which are not within our control. These factors include those set forth below. Our business, financial condition or results of operations could be materially and adversely affected by any of these risks. Additional risks not presently known to us or that we currently deem immaterial may also adversely affect our business, financial condition or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healthcare industry could have an adverse effect on our revenues and results of operations.</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or reductions for medical devices that incorporate components produced by us. If we are forced to reduce our prices because of consolidation in the healthcare industry, our revenues would decrease and our consolidated earnings, financial condition, or cash flow would suffer.</w:t>
      </w:r>
    </w:p>
    <w:p>
      <w:pPr>
        <w:spacing w:after="0" w:line="1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medical device industry. We may be unable to compete effectively with respect to technological innovation and price which may have an adverse effect on our revenues, financial condition or results of operations.</w:t>
      </w:r>
    </w:p>
    <w:p>
      <w:pPr>
        <w:spacing w:after="0" w:line="15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highly competitive, and we expect competition to continue to intensify. We may not be able to compete effectively, and we may lose market share to our competitors. Our primary device competitors include: Boston Scientific Corporation; Cook Medical; C.R. Bard; Medical Components, Inc. (Medcomp); TeleFlex Medical; Smiths Medical, a subsidiary of Smiths Group plc; Medtronic; Merit Medical; Terumo Medical Corporation; Johnson and Johnson and Total Vein Systems. Many of our competitors have substantially greater:</w:t>
      </w:r>
    </w:p>
    <w:p>
      <w:pPr>
        <w:spacing w:after="0" w:line="180"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other resources to devote to product acquisitions, research and development, marketing and manufacturing;</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variety of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capabilities;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history of developing and introducing new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portfolios that may present an obstacle to our conduct of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recognition;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networks and in-house sales forces.</w:t>
      </w:r>
    </w:p>
    <w:p>
      <w:pPr>
        <w:spacing w:after="0" w:line="207"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Our competitors may succeed in developing technologies and products earlier, in obtaining patent protection or regulatory clearance earlier, or in commercializing new products or technologies more rapidly than us. Our competitors may also develop products and technologies that are superior to those we are developing or that otherwise could render our products obsolete or noncompetitive. In addition, we may face competition from providers of other medical therapies, such as pharmaceutical companies, that may offer non-surgical therapies for conditions that are currently, or in the future, may be treated using our products. Our products are generally sold at higher prices than those of our competitors. However, in the current environment of managed care, which is characterized by economically motivated buyers, consolidation among healthcare providers, increased competition and declining reimbursement rates, we are increasingly being required to compete on the basis of price. If we are not able to compete effectively, our market share and revenues may decline.</w:t>
      </w:r>
    </w:p>
    <w:p>
      <w:pPr>
        <w:spacing w:after="0" w:line="18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other companies, and our inability to continue to effectively develop, acquire and/or market new products and technologies could have a material adverse effect on our business, results of operations and/or financial condition.</w:t>
      </w:r>
    </w:p>
    <w:p>
      <w:pPr>
        <w:spacing w:after="0" w:line="159"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medical device business is intensely competitive and is characterized by rapid technological change, frequent product introductions and evolving customer requirements. Our customers consider many factors when choosing among products, including features and reliability, quality, technology, clinical or economic outcomes, availability, price and services provided by the manufacturer. We face competition globally from a wide range of companies, some of which may have greater resources than us, which may enable them to adapt faster than us to customer needs or changes in customer requirements. Product introductions, alternative products or enhancements by competitors that provide better features, clinical outcomes or economic</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738" w:right="259" w:bottom="1440" w:gutter="0" w:footer="0" w:header="0"/>
        </w:sectPr>
      </w:pPr>
    </w:p>
    <w:bookmarkStart w:id="17" w:name="page18"/>
    <w:bookmarkEnd w:id="17"/>
    <w:p>
      <w:pPr>
        <w:ind w:right="480"/>
        <w:spacing w:after="0" w:line="282" w:lineRule="auto"/>
        <w:rPr>
          <w:sz w:val="20"/>
          <w:szCs w:val="20"/>
          <w:color w:val="auto"/>
        </w:rPr>
      </w:pPr>
      <w:r>
        <w:rPr>
          <w:rFonts w:ascii="Times New Roman" w:cs="Times New Roman" w:eastAsia="Times New Roman" w:hAnsi="Times New Roman"/>
          <w:sz w:val="18"/>
          <w:szCs w:val="18"/>
          <w:color w:val="auto"/>
        </w:rPr>
        <w:t>value and/or offer lower pricing may make our products or proposed products obsolete or less competitive. In addition, the trend of consolidation in the medical device industry and among our customers could result in greater competition and pricing pressures.</w:t>
      </w:r>
    </w:p>
    <w:p>
      <w:pPr>
        <w:spacing w:after="0" w:line="189" w:lineRule="exact"/>
        <w:rPr>
          <w:sz w:val="20"/>
          <w:szCs w:val="20"/>
          <w:color w:val="auto"/>
        </w:rPr>
      </w:pPr>
    </w:p>
    <w:p>
      <w:pPr>
        <w:ind w:right="40" w:firstLine="432"/>
        <w:spacing w:after="0" w:line="319" w:lineRule="auto"/>
        <w:rPr>
          <w:sz w:val="20"/>
          <w:szCs w:val="20"/>
          <w:color w:val="auto"/>
        </w:rPr>
      </w:pPr>
      <w:r>
        <w:rPr>
          <w:rFonts w:ascii="Times New Roman" w:cs="Times New Roman" w:eastAsia="Times New Roman" w:hAnsi="Times New Roman"/>
          <w:sz w:val="18"/>
          <w:szCs w:val="18"/>
          <w:color w:val="auto"/>
        </w:rPr>
        <w:t>As a result, we engage in product development and improvement programs to maintain and improve our competitive position. These development and improvement programs involve significant investment in research and development, clinical trials and regulatory approvals and may require more time than anticipated to bring such products to market. We may not, however, be successful in enhancing existing products or developing new products or technologies that will achieve regulatory approval, be developed or manufactured in a cost effective manner, obtain appropriate intellectual property protection or receive market acceptance and we may be unable to recover all or a meaningful part of our investment in such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w:t>
      </w:r>
    </w:p>
    <w:p>
      <w:pPr>
        <w:spacing w:after="0" w:line="16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also pursue the acquisition of complementary businesses, technologies and products. We may not be able to identify appropriate acquisition candidates, consummate transactions or obtain agreements with favorable terms. Further, once a business is acquired, any inability to successfully integrate the business, decreases in customer loyalty or product orders, failure to retain and develop its workforce, failure to establish and maintain appropriate controls or unknown or contingent liabilities could adversely affect our ability to realize the anticipated benefits of any acquisition. The integration of an acquired business, whether or not successful, requires significant efforts which may result in additional expenses and divert the attention of our management and technical personnel from other projects. These transactions are inherently risky, and there can be no assurance that any past or future transaction will be successful. 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our business, results of operations and/or financial condition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our reputation with interventional physicians, our growth will be limited and our business could be harmed.</w:t>
      </w:r>
    </w:p>
    <w:p>
      <w:pPr>
        <w:spacing w:after="0" w:line="229"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Physicians typically influence the medical device purchasing decisions of the hospitals and other healthcare institutions in which they practice. Consequently, our reputation with interventional physicians is critical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and cause our growth to be limited and our business to be harmed.</w:t>
      </w:r>
    </w:p>
    <w:p>
      <w:pPr>
        <w:spacing w:after="0" w:line="1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or market new products and enhance existing products, we could lose market share to our competitors and our results of operations could suffer.</w:t>
      </w:r>
    </w:p>
    <w:p>
      <w:pPr>
        <w:spacing w:after="0" w:line="15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market for interventional devices is characterized by rapid technological change, new product introductions, technological improvements, changes in physician requirements and evolving industry standards. To be successful, we must continue to develop and commercialize new products and to enhance versions of our existing products. Our products are technologically complex and require significant research, planning, design, development and testing before they may be marketed. This process generally takes at least 12 to 18 months from initial concept and may take up to several years. In addition, product life cycles are relatively short because medical device manufacturers continually develop smaller, more effective and less expensive versions of existing devices in response to physician demand.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success in developing and commercializing new and enhanced versions of our products is affected by our ability to:</w:t>
      </w:r>
    </w:p>
    <w:p>
      <w:pPr>
        <w:spacing w:after="0" w:line="27"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engineers;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accurately identify new market trends;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assess customer needs;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the time and costs required to obtain regulatory clearance or approval;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competitive pricing;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manufacture and deliver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predict and control costs associated with the development, manufacturing and support of our products; and</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580" w:right="259" w:bottom="1440" w:gutter="0" w:footer="0" w:header="0"/>
        </w:sectPr>
      </w:pPr>
    </w:p>
    <w:bookmarkStart w:id="18" w:name="page19"/>
    <w:bookmarkEnd w:id="18"/>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compete effectively with our competitors’ efforts.</w:t>
      </w:r>
    </w:p>
    <w:p>
      <w:pPr>
        <w:spacing w:after="0" w:line="22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Market acceptance of our products depends in part on our ability to demonstrate that our products are cost-effective and easier to use, as well as offer technological advantages.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 and sales of our products are dependent on a number of factors beyond our control, and our inability to make and complete research and development investments, enhance the product development process and be innovative to solve customer needs with respect to the respective products may adversely affect our business, financial condition and results of operations.</w:t>
      </w:r>
    </w:p>
    <w:p>
      <w:pPr>
        <w:spacing w:after="0" w:line="175"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A significant aspect of our growth strategy is the continued market development of products including NanoKnife, AngioVac, Venacure EVLT and BioFlo products.</w:t>
      </w:r>
    </w:p>
    <w:p>
      <w:pPr>
        <w:spacing w:after="0" w:line="162"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There can be no guarantee that we will be able to develop and manufacture additional next generation or updated products on commercially favorable terms, or at all. NanoKnife and AngioVac are developing technologies and the inability of either of them to achieve clinical acceptance, as well as our inability to generate meaningful clinical data to convince providers of the clinical and economic benefits of our BioFlo platform, could severely limit our ability to drive revenue growth.</w:t>
      </w:r>
    </w:p>
    <w:p>
      <w:pPr>
        <w:spacing w:after="0" w:line="180"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We currently have FDA 510(k) clearance to market NanoKnife products for soft tissue ablation. If we are not able to secure FDA approval to conduct investigational device exemption (IDE) trials or marketing approval for additional or more specific indications, through 510(k) clearance, pre-market approval or otherwise, our ability to market our NanoKnife products will be restricted which may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Undetected defects may increase our costs and impair the market acceptance of our products.</w:t>
      </w:r>
    </w:p>
    <w:p>
      <w:pPr>
        <w:spacing w:after="0" w:line="229"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Our products have occasionally contained, and may in the future contain, undetected defects. When these problems occur, we must divert the attention of our engineering personnel to address them.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In addition, the occurrence of defects may result in significant customer relations problems and injury to our reputation, and may impair market acceptance of our products.</w:t>
      </w:r>
    </w:p>
    <w:p>
      <w:pPr>
        <w:spacing w:after="0" w:line="1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competitors or other third parties, may engage in clinical trials with respect to our products. The results of these trials may be unfavorable, or perceived as unfavorable by the market, and could have a material adverse effect on our business, financial condition or results of operations.</w:t>
      </w:r>
    </w:p>
    <w:p>
      <w:pPr>
        <w:spacing w:after="0" w:line="15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products may be the subject of clinical trials conducted by us, our competitors or third parties for the purposes of obtaining regulatory clearances or to gather market data. Unfavorable or inconsistent clinical data from existing or future clinical trials conducted by us, by our competitors or by third parties, or the FDA's or the market's perception of this clinical data, may adversely impact our ability to obtain product approvals, our position in, and share of, the markets in which we participate and our business, financial condition, results of operations or future prospects.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convince customers that our products can improve the cost structure of their business, our revenue growth and profitability may be materially adversely impacted.</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Worldwide initiatives to contain healthcare costs have led government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Simultaneously, hospitals are redefining their role in health care delivery as many assume much more risk and control of the total cost of patient care. To successfully make this transformation health systems are consolidating, purchasing or partnering with physicians, post-acute care providers, while also narrowing networks thus allowing greater control over outcomes. Today, many systems are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ind w:right="40"/>
        <w:spacing w:after="0" w:line="253" w:lineRule="auto"/>
        <w:rPr>
          <w:sz w:val="20"/>
          <w:szCs w:val="20"/>
          <w:color w:val="auto"/>
        </w:rPr>
      </w:pPr>
      <w:r>
        <w:rPr>
          <w:rFonts w:ascii="Times New Roman" w:cs="Times New Roman" w:eastAsia="Times New Roman" w:hAnsi="Times New Roman"/>
          <w:sz w:val="18"/>
          <w:szCs w:val="18"/>
          <w:color w:val="auto"/>
        </w:rPr>
        <w:t>becoming ‘mini’ payer/provider organizations. These newly redesigned health systems are creating mechanisms such as value analysis and centralized purchasing functions that set pricing and in some cases limit the number of vendors that can participate in the purchasing program. Hospitals are also aligning interests with physicians through employment and other arrangements, such as gainsharing, where a hospital agrees with physicians to share any realized cost savings resulting from the physicians’ collective change in practice patterns such as standardization of devices where medically appropriate. This has created an increasing level of price sensitivity among customers for our products. Some third-party payers must also approve coverage and set reimbursement levels for new or innovative devices or therapies before they will reimburse health care providers who use the medical devices or therapies. Even though a new medical device may have been cleared for commercial distribution, we may find limited demand for the device until coverage and sufficient reimbursement levels have been obtained from governmental and private third-party payers. In addition, some private third-party payers require that certain procedures or that the use of certain products be authorized in advance as a condition of reimbursement. International examples of cost containment initiatives and health care reforms advancing clinical outcomes as the key to market access are emerging in France, Germany, the Netherlands and the UK. This new criteria can severely restrict coverage, reduce reimbursement and delay access to key markets with requirements for incremental clinical benefit and coverage with evidence development.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Cost-containment efforts of group purchasing organizations could adversely affect our selling prices, financial position and results of operations.</w:t>
      </w:r>
    </w:p>
    <w:p>
      <w:pPr>
        <w:spacing w:after="0" w:line="229"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Many of our existing and potential customers have become members of group purchasing organizations, or GPOs, and integrated delivery network, or IDNs, in an effort to reduce costs.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Bids are generally solicited from multiple manufacturers with the intention of driving down pricing.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if we are unable to retain contracts with our customers, or acquire additional contracts, our financial results may be negatively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single and limited source suppliers which subjects our business and results of operations to risks of supplier business interruptions.</w:t>
      </w:r>
    </w:p>
    <w:p>
      <w:pPr>
        <w:spacing w:after="0" w:line="22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currently purchase significant amounts of several key products and product components from single and limited source suppliers and anticipate that we will do so for future products as well. Any delays in delivery of or shortages in those or other products and components could interrupt and delay manufacturing of our products and result in the cancellation of orders for our products. Any or all of these suppliers could discontinue the manufacture or supply of these products and components at any time. 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increased design and manufacturing costs and increased prices for our products.</w:t>
      </w:r>
    </w:p>
    <w:p>
      <w:pPr>
        <w:spacing w:after="0" w:line="18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addition, we purchase certain products as a distributor for the manufacturer of those products, including Asclera,. Operational, quality or regulatory issues of the manufacturers of the products we distribute could constrain or interrupt the availability of those products or services. Any constraint or interruption in the supply of finished products that we distribute could have a material adverse effect on our ability to sell products, our financial condition and our results of operations.</w:t>
      </w:r>
    </w:p>
    <w:p>
      <w:pPr>
        <w:spacing w:after="0" w:line="176"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heavily dependent on third-party distributors to generate a substantial portion of international revenues and are at the risk of these distributors also selling for our competitors along with being financially viable to be able to effectively distribute our products and make timely payment.</w:t>
      </w:r>
    </w:p>
    <w:p>
      <w:pPr>
        <w:spacing w:after="0" w:line="176" w:lineRule="exact"/>
        <w:rPr>
          <w:sz w:val="20"/>
          <w:szCs w:val="20"/>
          <w:color w:val="auto"/>
        </w:rPr>
      </w:pPr>
    </w:p>
    <w:p>
      <w:pPr>
        <w:ind w:firstLine="432"/>
        <w:spacing w:after="0" w:line="302" w:lineRule="auto"/>
        <w:rPr>
          <w:sz w:val="20"/>
          <w:szCs w:val="20"/>
          <w:color w:val="auto"/>
        </w:rPr>
      </w:pPr>
      <w:r>
        <w:rPr>
          <w:rFonts w:ascii="Times New Roman" w:cs="Times New Roman" w:eastAsia="Times New Roman" w:hAnsi="Times New Roman"/>
          <w:sz w:val="18"/>
          <w:szCs w:val="18"/>
          <w:color w:val="auto"/>
        </w:rPr>
        <w:t>Outside of the U.S we rely heavily on third party distributors, either on a country-by-country basis or on a multi-country, regional basis, to market, sell and distribute our products. International distributors accounted for approximately 72% revenues for the year ended May 31, 2017. In certain circumstances, distributors may also sell competing products to our own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results of operations, financial condition and cash flows. In addition, there is a risk that our distributors will not be financially viable due to current economic and/or regulatory events in their respective countries.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secure adequate reimbursement for our products could materially impair our ability to grow revenue and drive profitability.</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products are used in medical procedures generally covered by government or private health plans.</w:t>
      </w:r>
    </w:p>
    <w:p>
      <w:pPr>
        <w:spacing w:after="0" w:line="225" w:lineRule="exact"/>
        <w:rPr>
          <w:sz w:val="20"/>
          <w:szCs w:val="20"/>
          <w:color w:val="auto"/>
        </w:rPr>
      </w:pPr>
    </w:p>
    <w:p>
      <w:pPr>
        <w:jc w:val="both"/>
        <w:ind w:right="560" w:firstLine="432"/>
        <w:spacing w:after="0" w:line="266" w:lineRule="auto"/>
        <w:rPr>
          <w:sz w:val="20"/>
          <w:szCs w:val="20"/>
          <w:color w:val="auto"/>
        </w:rPr>
      </w:pPr>
      <w:r>
        <w:rPr>
          <w:rFonts w:ascii="Times New Roman" w:cs="Times New Roman" w:eastAsia="Times New Roman" w:hAnsi="Times New Roman"/>
          <w:sz w:val="18"/>
          <w:szCs w:val="18"/>
          <w:color w:val="auto"/>
        </w:rPr>
        <w:t>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will cover the cost of the device and related procedures.</w:t>
      </w:r>
    </w:p>
    <w:p>
      <w:pPr>
        <w:spacing w:after="0" w:line="176" w:lineRule="exact"/>
        <w:rPr>
          <w:sz w:val="20"/>
          <w:szCs w:val="20"/>
          <w:color w:val="auto"/>
        </w:rPr>
      </w:pPr>
    </w:p>
    <w:p>
      <w:pPr>
        <w:ind w:right="320" w:firstLine="432"/>
        <w:spacing w:after="0" w:line="261" w:lineRule="auto"/>
        <w:rPr>
          <w:sz w:val="20"/>
          <w:szCs w:val="20"/>
          <w:color w:val="auto"/>
        </w:rPr>
      </w:pPr>
      <w:r>
        <w:rPr>
          <w:rFonts w:ascii="Times New Roman" w:cs="Times New Roman" w:eastAsia="Times New Roman" w:hAnsi="Times New Roman"/>
          <w:sz w:val="18"/>
          <w:szCs w:val="18"/>
          <w:color w:val="auto"/>
        </w:rPr>
        <w:t>In many instances, third-party payors use price schedules that do not vary to reflect the cost of the products and equipment used in performing those procedures. In other instances, payment or reimbursement is separately available for the products and equipment used, in addition to payment or reimbursement for the procedure itself. Even if coverage is available, third-party payors may place restrictions on the circumstances where they provide coverage or may offer reimbursement that is not sufficient to cover the cost of our products.</w:t>
      </w:r>
    </w:p>
    <w:p>
      <w:pPr>
        <w:spacing w:after="0" w:line="18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Third-party payors who cover the cost of medical products or equipment, in addition to allowing a general charge for the procedure, often maintain lists of exclusive suppliers or approved lists of products deemed to be cost-effective. Authorization from those third-party payors is required prior to using products that are not on these lists as a condition of reimbursement. If our products are not on the approved lists, healthcare providers must determine if the additional cost and effort required in obtaining prior authorization, and the uncertainty of actually obtaining coverage, is justified by any perceived clinical benefits from using our products.</w:t>
      </w:r>
    </w:p>
    <w:p>
      <w:pPr>
        <w:spacing w:after="0" w:line="184"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 As a result, we cannot be certain that hospital administrators and physicians will purchase our products, despite the clinical benefits and opportunity for cost savings that we believe can be derived from their use. If hospitals and physicians cannot obtain adequate reimbursement for our products or the procedures in which they are used, our business, financial condition, results of operations, and cash flows could suffer a material adverse impact.</w:t>
      </w:r>
    </w:p>
    <w:p>
      <w:pPr>
        <w:spacing w:after="0" w:line="189" w:lineRule="exact"/>
        <w:rPr>
          <w:sz w:val="20"/>
          <w:szCs w:val="20"/>
          <w:color w:val="auto"/>
        </w:rPr>
      </w:pPr>
    </w:p>
    <w:p>
      <w:pPr>
        <w:ind w:right="180" w:firstLine="392"/>
        <w:spacing w:after="0" w:line="256" w:lineRule="auto"/>
        <w:rPr>
          <w:sz w:val="20"/>
          <w:szCs w:val="20"/>
          <w:color w:val="auto"/>
        </w:rPr>
      </w:pPr>
      <w:r>
        <w:rPr>
          <w:rFonts w:ascii="Times New Roman" w:cs="Times New Roman" w:eastAsia="Times New Roman" w:hAnsi="Times New Roman"/>
          <w:sz w:val="18"/>
          <w:szCs w:val="18"/>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United States, we generally rely on our distributors to obtain reimbursement approval in the countries in which they will sell our products. There can be no assurance that reimbursement approvals will be received. The failure to secure reimbursement approvals in international markets could materially impact our financial position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product liability claim is brought against us or our product liability insurance coverage is inadequate, our business could be harmed.</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 including if our products were misused, if a component of our product fails, if their manufacture or design was flawed, if they produced unsatisfactory results or if the instructions for use and operating manuals and disclosure of product related risks for our products were found to be inadequate. In addition, individuals or groups seeking to represent a class may file suit against us. The outcome of litigation, particularly class action lawsuits,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185"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carry a product liability policy with a limit of $10,000,000 per product liability claim and an aggregate policy limit of $10,000,000, subject to a self-insured retention of $500,000 per occurrence and $2,000,000 in the aggregate. We believe, based on claims made against us in the past, our existing product liability insurance coverage is reasonably adequate to protect us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76" w:right="239" w:bottom="1440" w:gutter="0" w:footer="0" w:header="0"/>
        </w:sectPr>
      </w:pPr>
    </w:p>
    <w:bookmarkStart w:id="21" w:name="page22"/>
    <w:bookmarkEnd w:id="21"/>
    <w:p>
      <w:pPr>
        <w:ind w:right="140"/>
        <w:spacing w:after="0" w:line="256" w:lineRule="auto"/>
        <w:rPr>
          <w:sz w:val="20"/>
          <w:szCs w:val="20"/>
          <w:color w:val="auto"/>
        </w:rPr>
      </w:pPr>
      <w:r>
        <w:rPr>
          <w:rFonts w:ascii="Times New Roman" w:cs="Times New Roman" w:eastAsia="Times New Roman" w:hAnsi="Times New Roman"/>
          <w:sz w:val="18"/>
          <w:szCs w:val="18"/>
          <w:color w:val="auto"/>
        </w:rPr>
        <w:t>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and results of operations could be negatively impacted. Further, such claims may require us to recall some of our products, which could result in significant costs to us and could divert management’s attention from our business.</w:t>
      </w:r>
    </w:p>
    <w:p>
      <w:pPr>
        <w:spacing w:after="0" w:line="18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risks associated with acquisitions, including integration risks and risks associated with methods of financing and the impact of accounting treatment. Accordingly, completed acquisitions may not enhance our financial position or results of operations as they are based projections and assumptions which are uncertain and subject to change.</w:t>
      </w:r>
    </w:p>
    <w:p>
      <w:pPr>
        <w:spacing w:after="0" w:line="175"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Part of our growth strategy is to acquire businesses and technologies that are complementary to ours. There is no assurance that acquisition opportunities will be available on acceptable terms, or at all, or that we will be able to obtain necessary financing or regulatory approvals. Any acquisitions that we do undertake would be accompanied by the risks commonly encountered in acquisitions, including the:</w:t>
      </w:r>
    </w:p>
    <w:p>
      <w:pPr>
        <w:spacing w:after="0" w:line="176" w:lineRule="exact"/>
        <w:rPr>
          <w:sz w:val="20"/>
          <w:szCs w:val="20"/>
          <w:color w:val="auto"/>
        </w:rPr>
      </w:pPr>
    </w:p>
    <w:p>
      <w:pPr>
        <w:ind w:left="980" w:right="14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our business while we evaluate opportunities, complete acquisitions and develop and implement new business strategies to take advantage of these opportunities;</w:t>
      </w:r>
    </w:p>
    <w:p>
      <w:pPr>
        <w:ind w:left="980" w:right="48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management to maximize our financial and strategic position by incorporating an acquired technology or business into our existing offerings;</w:t>
      </w:r>
    </w:p>
    <w:p>
      <w:pPr>
        <w:ind w:left="980" w:right="50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the cost savings and operating synergies anticipated in the acquisition, which would prevent us from achieving the positive earnings gains expected as a result of the acquisition;</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ongoing business concerns to integration matters;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maintaining uniform standards, controls, procedures and policies;</w:t>
      </w:r>
    </w:p>
    <w:p>
      <w:pPr>
        <w:spacing w:after="0" w:line="9" w:lineRule="exact"/>
        <w:rPr>
          <w:rFonts w:ascii="Times New Roman" w:cs="Times New Roman" w:eastAsia="Times New Roman" w:hAnsi="Times New Roman"/>
          <w:sz w:val="18"/>
          <w:szCs w:val="18"/>
          <w:color w:val="auto"/>
        </w:rPr>
      </w:pPr>
    </w:p>
    <w:p>
      <w:pPr>
        <w:ind w:left="980" w:right="30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demonstrating to our customers that the acquisition will not result in adverse changes in customer service standards or business focus;</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cash flow interruption or loss of revenue as a result of change of ownership transitional matters;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assimilating the operations and personnel of acquired businesses;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 the impairment of relationships with employees and customers as a result of changes in management; and</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the long-term success of any acquisitions we may make including the impact on contingent liabilities.</w:t>
      </w:r>
    </w:p>
    <w:p>
      <w:pPr>
        <w:spacing w:after="0" w:line="20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There is no assurance that any completed acquisition will be accretive to our margins or profits in the short term or in the long term. 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 Further, acquisitions could also result in significant goodwill and/or amortization charges for acquired businesses or technologies.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additional capital which we may require to expand our business could curtail our growth.</w:t>
      </w:r>
    </w:p>
    <w:p>
      <w:pPr>
        <w:spacing w:after="0" w:line="229"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We may require additional capital to expand our business. If cash generated internally is insufficient to fund capital requirements, we will require additional debt or equity financing. In addition, we may require financing to fund any significant acquisitions we may seek to make. Needed financing may not be available or, if available, may not be available on terms satisfactory to us and may result in significant stockholder dilution. Covenants in our existing financing agreements may also restrict our ability to obtain additional debt financing. If we fail to obtain sufficient additional capital in the future, we could be forced to curtail our growth strategy by reducing or delaying capital expenditures and acquisitions, selling assets, restructuring our operations or refinancing our indebtedness.</w:t>
      </w:r>
    </w:p>
    <w:p>
      <w:pPr>
        <w:spacing w:after="0" w:line="1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and national economic and industry conditions constantly change, and could materially and adversely affect our business, financial condition and results of operations.</w:t>
      </w:r>
    </w:p>
    <w:p>
      <w:pPr>
        <w:spacing w:after="0" w:line="159"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inflation and trade protection measures, may negatively affect consumer preferences, perceptions, spending patterns or demographic trends, any of which could adversely affect our business, financial condition or results of operations. Our customers may experience financial difficulties or be unable to borrow money to fund their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2" w:name="page23"/>
    <w:bookmarkEnd w:id="22"/>
    <w:p>
      <w:pPr>
        <w:ind w:right="80"/>
        <w:spacing w:after="0" w:line="261" w:lineRule="auto"/>
        <w:rPr>
          <w:sz w:val="20"/>
          <w:szCs w:val="20"/>
          <w:color w:val="auto"/>
        </w:rPr>
      </w:pPr>
      <w:r>
        <w:rPr>
          <w:rFonts w:ascii="Times New Roman" w:cs="Times New Roman" w:eastAsia="Times New Roman" w:hAnsi="Times New Roman"/>
          <w:sz w:val="18"/>
          <w:szCs w:val="18"/>
          <w:color w:val="auto"/>
        </w:rPr>
        <w:t>operations, which may adversely impact their ability or decision to purchase or pay for our products. Disruptions in the credit markets have previously resulted, and could again result, in volatility, decreased liquidity, widening of credit spreads, and reduced availability of financing. There can be no assurance that future financing will be available to us on acceptable terms, if at all. An inability to obtain necessary additional financing on acceptable terms may have an adverse impact on us and on our ability to execute on our business plan.</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market and financial risks due to our international operations that could adversely affect those operations or our profitability and operating results.</w:t>
      </w:r>
    </w:p>
    <w:p>
      <w:pPr>
        <w:spacing w:after="0" w:line="15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Although our stock is traded on the New York Stock Exchange, we are a global Company. Operations in countries outside of the U.S., which account for approximately 19% percent of our net sales for the fiscal year ended May 31, 2017, are accompanied by certain financial and other risks that would not be faced by a Company operating purely within the U.S. We intend to continue to pursue growth opportunities in sales outside the U.S., especially in emerging markets, which could expose us to greater risks associated with international sales and operations. Our profitability and international operations are, and will continue to be, subject to a number of risks and potential costs, including:</w:t>
      </w:r>
    </w:p>
    <w:p>
      <w:pPr>
        <w:spacing w:after="0" w:line="184"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legislation;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non-U.S. regulatory requirement that are subject to change and that could restrict our ability to manufacture and sell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product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receivables than are typical in the 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import or export licensing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intellectual property protection in some countries outside the U.S. than exists in the 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labor regulations and workforce instability;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of U.S. income taxes on earnings of certain foreign subsidiaries subject to U.S. taxation upon repatriation;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and non-renewal of foreign tax rulings;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or interpretation of tax laws;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and inflation, recession or interest rate fluctuations.</w:t>
      </w:r>
    </w:p>
    <w:p>
      <w:pPr>
        <w:spacing w:after="0" w:line="207"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There are recent legislative proposals to tax profits of U.S. affiliates which are earned abroad. While it is impossible for us to predict whether these and other proposals will be implemented, or how they will ultimately impact us, they may materially impact our results of operations if, for example, our profits earned abroad are subject to U.S. income tax, or we are otherwise disallowed deductions as a result of these profits.</w:t>
      </w:r>
    </w:p>
    <w:p>
      <w:pPr>
        <w:spacing w:after="0" w:line="17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June 23, 2016, the United Kingdom (U.K.) held a referendum in which voters approved an exit from the E.U., commonly referred to as “Brexit”. As a result of the referendum, it is expected that the British government will begin negotiating the terms of the U.K.’s future relationship with the E.U. Although it is unknown what those terms will be, it is possible that there will be greater restrictions on imports and exports between the U.K. and E.U. countries and increased regulatory complexities. These changes may adversely affect our operations and financial results.</w:t>
      </w:r>
    </w:p>
    <w:p>
      <w:pPr>
        <w:spacing w:after="0" w:line="180"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Finally, changes in currency exchange rates may reduce the reported value of our revenues outside the U.S, net of expenses, and cash flows. We cannot predict changes in currency exchange rates, the impact of exchange rate changes, nor the degree to which we will be able to manage the impact of currency exchange rate changes.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Continuing worldwide economic instability, including challenges faced by the Eurozone countries, could adversely affect our revenues, financial condition or results of operations.</w:t>
      </w:r>
    </w:p>
    <w:p>
      <w:pPr>
        <w:spacing w:after="0" w:line="15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Since fiscal year 2008, the global economy has been impacted by the sequential effects of an ongoing global financial crisis. There can be no assurance that there will not be further deterioration in the global economy. Our customers and vendors may experience financial difficulties or be unable to borrow money to fund their operations which may adversely impact their ability to purchase our products or to pay for our products on a timely basis, if at all. As with our customers and vendors, these economic conditions make it more difficult for us to accurately forecast and plan our future business activities. In addition, trade receivables are in many countries (including, but not limited to, Greece, Ireland, Portugal, and Spain). Repayment of these receivables is dependent upon the financial stability of the economies of those countries.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light of these global economic fluctuations, we continue to monitor the creditworthiness of customers located outside the U.S. Failure to receive payment of all or a significant portion of these receivables could adversely affect our results of operations. Further, there are concerns for the overall stability and suitability of the Euro as a single currency, given the economic and political challenges facing individual Eurozone countries. Continuing deterioration in the creditworthiness of the Eurozone countries, the withdrawal of one or more member countries from the EU, or the failure of the Euro as a common European currency could adversely affect our revenues, financial condition or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lose the services of our key personnel.</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 addition, our sales force is highly talented and there is high competition in the sales industry which could have an adverse effect on our business if there is significant turnover.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profitably, our business, financial results and stock price could suffer.</w:t>
      </w:r>
    </w:p>
    <w:p>
      <w:pPr>
        <w:spacing w:after="0" w:line="229"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related expenses and capital expenditure requirements are greater than anticipated or if we are unable to manage our growth profitably, our financial results and the market price of our common stock may decline.</w:t>
      </w:r>
    </w:p>
    <w:p>
      <w:pPr>
        <w:spacing w:after="0" w:line="180" w:lineRule="exact"/>
        <w:rPr>
          <w:sz w:val="20"/>
          <w:szCs w:val="20"/>
          <w:color w:val="auto"/>
        </w:rPr>
      </w:pPr>
    </w:p>
    <w:p>
      <w:pPr>
        <w:ind w:right="40" w:firstLine="392"/>
        <w:spacing w:after="0" w:line="256" w:lineRule="auto"/>
        <w:rPr>
          <w:sz w:val="20"/>
          <w:szCs w:val="20"/>
          <w:color w:val="auto"/>
        </w:rPr>
      </w:pPr>
      <w:r>
        <w:rPr>
          <w:rFonts w:ascii="Times New Roman" w:cs="Times New Roman" w:eastAsia="Times New Roman" w:hAnsi="Times New Roman"/>
          <w:sz w:val="18"/>
          <w:szCs w:val="18"/>
          <w:color w:val="auto"/>
        </w:rPr>
        <w:t>In recent years we have begun to implement our operational excellence initiatives which include a number of restructuring, realignment and cost reduction initiatives.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undertake additional realignment and cost reduction efforts, which could result in significant additional charges. Moreover, if our restructuring and realignment efforts prove ineffective, our ability to achieve our other strategic goals and business plans may be adversely affected.</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imposes operating and financial restrictions on us which, together with our debt service obligations, could significantly limit our ability to execute our business strategy and increase the risk of default under our debt obligations.</w:t>
      </w:r>
    </w:p>
    <w:p>
      <w:pPr>
        <w:spacing w:after="0" w:line="159" w:lineRule="exact"/>
        <w:rPr>
          <w:sz w:val="20"/>
          <w:szCs w:val="20"/>
          <w:color w:val="auto"/>
        </w:rPr>
      </w:pPr>
    </w:p>
    <w:p>
      <w:pPr>
        <w:jc w:val="both"/>
        <w:ind w:right="420" w:firstLine="432"/>
        <w:spacing w:after="0" w:line="289" w:lineRule="auto"/>
        <w:rPr>
          <w:sz w:val="20"/>
          <w:szCs w:val="20"/>
          <w:color w:val="auto"/>
        </w:rPr>
      </w:pPr>
      <w:r>
        <w:rPr>
          <w:rFonts w:ascii="Times New Roman" w:cs="Times New Roman" w:eastAsia="Times New Roman" w:hAnsi="Times New Roman"/>
          <w:sz w:val="17"/>
          <w:szCs w:val="17"/>
          <w:color w:val="auto"/>
        </w:rPr>
        <w:t>We borrowed an aggregate of approximately $97.5 million as of May 31, 2017. The interest rate on these borrowings is a floating rate which could expose us to the risk of increased interest expense in the future. The terms of our credit facilities require us to comply with certain financial maintenance covenants. In addition, the terms of our indebtedness also include certain covenants restricting or limiting our ability to take certain actions.</w:t>
      </w:r>
    </w:p>
    <w:p>
      <w:pPr>
        <w:spacing w:after="0" w:line="158"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These covenants may adversely affect our ability to finance future operations or limit our ability to pursue certain business opportunities or take certain corporate actions. The covenants may also restrict our flexibility in planning for changes in our business and the industry and make us more vulnerable to economic downturns and adverse developments.</w:t>
      </w:r>
    </w:p>
    <w:p>
      <w:pPr>
        <w:spacing w:after="0" w:line="176"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Our ability to meet our cash requirements, including our debt service obligations, will be dependent upon our operating performance, which will be subject to general economic and competitive conditions and to financial, business and other factors affecting our operations, many of which are or may be beyond our control. We cannot provide assurance that our business operations will generate sufficient cash flows from operations to fund these cash requirements and debt service obligations. If our operating results, cash flow or capital resources prove inadequate, we could face substantial liquidity problems and might be required to dispose of material assets or operations to meet our debt and other obligations. If we are unable to service our debt, we could be forced to reduce or delay planned expansions and capital expenditures, sell assets, restructure or refinance our debt or seek additional equity capital, and we may be unable to take any of these actions on satisfactory terms or in a timely manner. Further, any of these actions may not be sufficient to allow us to service our debt obligations or may have an adverse impact on our business. Our debt agreements limit our ability to take certain of these actions. Our failure to generate sufficient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operating cash flow to pay our debts or to successfully undertake any of these actions could have a material adverse effect on us.</w:t>
      </w:r>
    </w:p>
    <w:p>
      <w:pPr>
        <w:spacing w:after="0" w:line="22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addition, the degree to which we are leveraged as a result of the indebtedness incurred in connection with an acquisition or otherwise could materially and adversely affect our ability to obtain additional financing for working capital, capital expenditures, acquisitions, debt service requirements or other purposes, could make us more vulnerable to general adverse economic, regulatory and industry conditions,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our substantial indebtedness, we may incur more debt, which could exacerbate the risks described above.</w:t>
      </w:r>
    </w:p>
    <w:p>
      <w:pPr>
        <w:spacing w:after="0" w:line="2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subject to the limitations contained in the agreements governing our debt. Although these agreements restrict us from incurring additional indebtedness, these restrictions are subject to important exceptions and qualifications. For example, we are generally permitted to incur certain indebtedness, including indebtedness arising in the ordinary course of business and indebtedness relating to acquisition activities. See “Management’s Discussion and Analysis of Financial Condition and Results of Operations-Liquidity and Capital Resources” If we incur additional debt, the risks that we and they now face as a result of our higher leverage could intensify.</w:t>
      </w:r>
    </w:p>
    <w:p>
      <w:pPr>
        <w:spacing w:after="0" w:line="1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are subject to risks and uncertainties that vary by country and which could have a material adverse effect on our business and/or results of operations.</w:t>
      </w:r>
    </w:p>
    <w:p>
      <w:pPr>
        <w:spacing w:after="0" w:line="159"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8"/>
          <w:szCs w:val="18"/>
          <w:color w:val="auto"/>
        </w:rPr>
        <w:t>Sales outside the United States accounted for approximately 19% of our net sales during our fiscal year ended May 31, 2017. We anticipate that sales from international operations will continue to represent a significant portion of our total sales, and we intend to continue our expansion into emerging and/or faster-growing markets outside the United States. Our sales and profitability from our international operations are subject to risks and uncertainties that can vary by country, and include those related to political and economic conditions, foreign currency exchange rate fluctuations, changes in tax laws, regulatory and reimbursement programs and policies, and the protection of intellectual property rights. These risks and uncertainties could have a material adverse effect on our business and/or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may adversely affect our business, financial condition and results of operations.</w:t>
      </w:r>
    </w:p>
    <w:p>
      <w:pPr>
        <w:spacing w:after="0" w:line="229" w:lineRule="exact"/>
        <w:rPr>
          <w:sz w:val="20"/>
          <w:szCs w:val="20"/>
          <w:color w:val="auto"/>
        </w:rPr>
      </w:pPr>
    </w:p>
    <w:p>
      <w:pPr>
        <w:ind w:right="260" w:firstLine="392"/>
        <w:spacing w:after="0" w:line="255" w:lineRule="auto"/>
        <w:rPr>
          <w:sz w:val="20"/>
          <w:szCs w:val="20"/>
          <w:color w:val="auto"/>
        </w:rPr>
      </w:pPr>
      <w:r>
        <w:rPr>
          <w:rFonts w:ascii="Times New Roman" w:cs="Times New Roman" w:eastAsia="Times New Roman" w:hAnsi="Times New Roman"/>
          <w:sz w:val="18"/>
          <w:szCs w:val="18"/>
          <w:color w:val="auto"/>
        </w:rPr>
        <w:t>We are exposed to a variety of market risks, including the effects of changes in foreign currency exchange rates. Products manufactured in, and sold into, foreign markets represent a significant portion of our operations. When the United States dollar strengthens or weakens in relation to the foreign currencies of the countries in which we sell or manufacture our products, such as the euro, our United States dollar-reported revenue and income will fluctuate. As a result of the June 23, 2016 referendum by British voters to exit the European Union, global markets and foreign currencies have been adversely impacted and the value of the Pound Sterling has sharply declined as compared to the U.S. Dollar and other currencies. This volatility in foreign currencies is expected to continue as the U.K. negotiates and executes its exit from the European Union but it is uncertain over what time period this will occur. The effects of currency rate fluctuations and changes in the relative values of currencies may, in some instances, have a significant effect on our business, financial condition, results of operations and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goodwill, intangible assets and fixed assets are subject to potential impairment.</w:t>
      </w:r>
    </w:p>
    <w:p>
      <w:pPr>
        <w:spacing w:after="0" w:line="229"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A significant portion of our assets consists of goodwill, intangible assets and fixed assets, the carrying value of which may be reduced if we determine that those assets are impaired.</w:t>
      </w:r>
    </w:p>
    <w:p>
      <w:pPr>
        <w:spacing w:after="0" w:line="162"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annually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is not recoverable we test intangible assets for impairment based on estimates of future cash flows. If an intangible asset is considered to be impaired, the amount of the impairment will equal the excess of the carrying value over the fair value of the asset.</w:t>
      </w:r>
    </w:p>
    <w:p>
      <w:pPr>
        <w:spacing w:after="0" w:line="188"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review our single reporting unit for potential goodwill impairment in the third fiscal quarter of each year as part of our annual goodwill impairment testing, and more often if an event or circumstance occurs making it likely that impairment exists. We conduct impairment testing based on our current business strategy in light of present industry and economic</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580"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conditions, as well as future expectations. The annual goodwill impairment review performed in December 2016 indicated no goodwill impairments.</w:t>
      </w:r>
    </w:p>
    <w:p>
      <w:pPr>
        <w:spacing w:after="0" w:line="225"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If actual results differ from the assumptions and estimates used in the goodwill and intangible asset calculations, we could incur future impairment or amortization charges, which could negatively impact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utilize, or may not be able to utilize, net operating loss carryforwards to reduce our future tax liability.</w:t>
      </w:r>
    </w:p>
    <w:p>
      <w:pPr>
        <w:spacing w:after="0" w:line="229" w:lineRule="exact"/>
        <w:rPr>
          <w:sz w:val="20"/>
          <w:szCs w:val="20"/>
          <w:color w:val="auto"/>
        </w:rPr>
      </w:pPr>
    </w:p>
    <w:p>
      <w:pPr>
        <w:ind w:right="40" w:firstLine="392"/>
        <w:spacing w:after="0" w:line="255" w:lineRule="auto"/>
        <w:rPr>
          <w:sz w:val="20"/>
          <w:szCs w:val="20"/>
          <w:color w:val="auto"/>
        </w:rPr>
      </w:pPr>
      <w:r>
        <w:rPr>
          <w:rFonts w:ascii="Times New Roman" w:cs="Times New Roman" w:eastAsia="Times New Roman" w:hAnsi="Times New Roman"/>
          <w:sz w:val="18"/>
          <w:szCs w:val="18"/>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2017 after considering IRC Section 382 limitations are $161.6 million. The expiration of the Federal net operating loss carryforwards is as follows: $29.8 million between 2017 and 2023 and $131.8 million between 2027 and 2037. Our state net operating loss carryforwards as of May 31, 2017 after considering remaining IRC Section 382 limitations are $32.7 million which expire in various years from 2017 to 2037. Future ownership changes within the meaning of IRC Section 382 may also subject our tax loss carryforwards to annual limitations which would restrict our ability to use them to offset our taxable income in periods following the ownership changes.</w:t>
      </w:r>
    </w:p>
    <w:p>
      <w:pPr>
        <w:spacing w:after="0" w:line="189"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8"/>
          <w:szCs w:val="18"/>
          <w:color w:val="auto"/>
        </w:rPr>
        <w:t>See Note 9 to our consolidated financial statements included in our Annual Report on Form 10-K for the fiscal year ended May 31, 2017 for a further discussion of our tax loss carryovers.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effective tax rate and changes to tax laws may adversely affect us.</w:t>
      </w:r>
    </w:p>
    <w:p>
      <w:pPr>
        <w:spacing w:after="0" w:line="229" w:lineRule="exact"/>
        <w:rPr>
          <w:sz w:val="20"/>
          <w:szCs w:val="20"/>
          <w:color w:val="auto"/>
        </w:rPr>
      </w:pPr>
    </w:p>
    <w:p>
      <w:pPr>
        <w:ind w:right="20" w:firstLine="392"/>
        <w:spacing w:after="0" w:line="256" w:lineRule="auto"/>
        <w:rPr>
          <w:sz w:val="20"/>
          <w:szCs w:val="20"/>
          <w:color w:val="auto"/>
        </w:rPr>
      </w:pPr>
      <w:r>
        <w:rPr>
          <w:rFonts w:ascii="Times New Roman" w:cs="Times New Roman" w:eastAsia="Times New Roman" w:hAnsi="Times New Roman"/>
          <w:sz w:val="18"/>
          <w:szCs w:val="18"/>
          <w:color w:val="auto"/>
        </w:rPr>
        <w:t>As an international Company, we are subject to taxation in numerous countries, states and other jurisdictions. Our effective tax rate is derived from a combination of applicable tax rates in the various countries, states and other jurisdictions in which we operate. In preparing our financial statements, we estimate the amount of tax that will become payable in each of these jurisdictions. Our effective tax rate may, however, differ from the estimated amount due to numerous factors, including a change in the mix of our profitability from country to country and changes in tax laws. Any of these factors could cause us to experience an effective tax rate significantly different from previous periods or our current expectations, which could have an adverse effect on our business, financial condition and results of operations and cash flows.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proper function, availability and security of information technology systems to operate our business and a cyber-attack or other breach of these systems could have a material adverse effect on our business, financial condition or results of operations.</w:t>
      </w:r>
    </w:p>
    <w:p>
      <w:pPr>
        <w:spacing w:after="0" w:line="159" w:lineRule="exact"/>
        <w:rPr>
          <w:sz w:val="20"/>
          <w:szCs w:val="20"/>
          <w:color w:val="auto"/>
        </w:rPr>
      </w:pPr>
    </w:p>
    <w:p>
      <w:pPr>
        <w:ind w:firstLine="392"/>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a cyber-attack, malicious intrusion, breakdown, destruction, loss of data privacy, or other significant disruption.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 our proprietary information. Any failure by us to maintain or protect our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disaster at our manufacturing facilities could disrupt our ability to manufacture our products for a substantial amount of time, which could cause our revenues to decrease. This risk is more significant as we consolidate our plants in fiscal year 2018.</w:t>
      </w:r>
    </w:p>
    <w:p>
      <w:pPr>
        <w:spacing w:after="0" w:line="159"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We conduct our manufacturing and assembly at facilities in Queensbury, New York, Glens Falls, New York, Manchester, Georgia, and Denmead, England. It would be difficult, expensive and time-consuming to transfer resources from one facility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80" w:right="239"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8"/>
          <w:szCs w:val="18"/>
          <w:color w:val="auto"/>
        </w:rPr>
        <w:t>the other, replace, or repair these facilities and our manufacturing equipment if they were significantly affected by a disaster. Additionally, we might be forced to rely on third-party manufacturers or to delay production of our products. Insurance for damage to our properties and the disruption of our business from disasters may not be sufficient to cover all of our potential losses and may not continue to be available to us on acceptable terms, or at all. In addition, if one of our principal suppliers were to experience a similar disaster, uninsured loss or under-insured loss, we might not be able to obtain adequate alternative sources of supplies or products or could face significant delays and incur substantial expense in doing so. Any significant uninsured loss, prolonged or repeated disruption, or inability to operate experienced by us or any of our principal suppliers could cause significant harm to our business, financial condition and results of operations.</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Once the plant consolidation is complete, manufacturing and assembly will only take place in Queensbury, New York and Glens Falls, New York. If we were significantly affected by a disaster, we no longer have an option to transfer manufacturing to another facility so we would be forced to rely on third-party manufacturers or would have to delay production of our products.</w:t>
      </w:r>
    </w:p>
    <w:p>
      <w:pPr>
        <w:spacing w:after="0" w:line="17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75"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may enable our management to resist a change in control. These provisions may discourage, delay or prevent a change in the ownership of our Company or a change in our management. In addition, these provisions could limit the price that investors would be willing to pay in the future for shares of our common stock. Such provisions include:</w:t>
      </w:r>
    </w:p>
    <w:p>
      <w:pPr>
        <w:spacing w:after="0" w:line="176" w:lineRule="exact"/>
        <w:rPr>
          <w:sz w:val="20"/>
          <w:szCs w:val="20"/>
          <w:color w:val="auto"/>
        </w:rPr>
      </w:pPr>
    </w:p>
    <w:p>
      <w:pPr>
        <w:ind w:left="980" w:right="16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without prior stockholder approval, to create and issue “blank check” preferred stock, with rights senior to those of our common stock;</w:t>
      </w:r>
    </w:p>
    <w:p>
      <w:pPr>
        <w:ind w:left="980" w:right="4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so that not all members of our board of directors are elected at one time, which may make it more difficult for a person who acquires control of a majority of our outstanding voting stock to replace our directors;</w:t>
      </w:r>
    </w:p>
    <w:p>
      <w:pPr>
        <w:ind w:left="980" w:right="12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stockholders to nominate individuals to serve on our board of directors or for stockholders to submit proposals that can be acted upon at stockholder meetings;</w:t>
      </w: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action by written consent is prohibited;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cumulatively vote for the election of directors.</w:t>
      </w:r>
    </w:p>
    <w:p>
      <w:pPr>
        <w:spacing w:after="0" w:line="207"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We are also subject to the provisions of Section 203 of the Delaware General Corporation Law, which may prohibit certain business combinations with stockholders owning 15% or more of our outstanding voting stock.</w:t>
      </w:r>
    </w:p>
    <w:p>
      <w:pPr>
        <w:spacing w:after="0" w:line="162"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delaying or impeding a merger, tender offer or proxy contest involving our Company. Any delay or prevention of a change of control transaction or changes in our board of directors could cause the market price of our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Reforms to the United States healthcare system may adversely affect our business.</w:t>
      </w:r>
    </w:p>
    <w:p>
      <w:pPr>
        <w:spacing w:after="0" w:line="22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A significant portion of our patient volume is derived from U.S. government healthcare programs, principally Medicare, which are highly regulated and subject to frequent and substantial changes. For example, in March 2010, the President signed one of the most significant healthcare reform measures in decades, the Healthcare Reform Act. The Healthcare Reform Act contains a number of provisions that affect coverage and reimbursement of drug products and medical imaging procedures in which our drug products are used. See “Business-Regulatory Matters-Healthcare Reform Act and Related Laws.” We cannot assure you that the Healthcare Reform Act, as currently enacted or as amended in the future, will not adversely affect our business and financial results, and we cannot predict how future federal or state legislative, judicial or administrative changes relating to healthcare reform will affect our business.</w:t>
      </w:r>
    </w:p>
    <w:p>
      <w:pPr>
        <w:spacing w:after="0" w:line="188"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Healthcare Reform Act was enacted. The Budget Control Act of 2011 includes provisions to reduce the federal deficit. The Budget Control Act, as amended, resulted in the imposition of 2% reductions in Medicare payments to providers, which went into effect on April 1, 2013 and will remain in effect through 2024 unless additional Congressional action is taken. Any significant spending reductions affecting Medicare,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ind w:right="80"/>
        <w:spacing w:after="0" w:line="282" w:lineRule="auto"/>
        <w:rPr>
          <w:sz w:val="20"/>
          <w:szCs w:val="20"/>
          <w:color w:val="auto"/>
        </w:rPr>
      </w:pPr>
      <w:r>
        <w:rPr>
          <w:rFonts w:ascii="Times New Roman" w:cs="Times New Roman" w:eastAsia="Times New Roman" w:hAnsi="Times New Roman"/>
          <w:sz w:val="18"/>
          <w:szCs w:val="18"/>
          <w:color w:val="auto"/>
        </w:rPr>
        <w:t>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results of operations.</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In addition, federal spending is also subject to a statutory debt ceiling. If the federal debt reaches the statutory debt ceiling, Congress must enact legislation to suspend enforcement of, or increase, the statutory debt ceiling. If Congress fails to do so before the ceiling is reached and, as a result, is unable to satisfy its financial obligations, including under Medicare, Medicaid and other publicly funded or subsidized health programs, our results of operations could be adversely impacted.</w:t>
      </w:r>
    </w:p>
    <w:p>
      <w:pPr>
        <w:spacing w:after="0" w:line="180"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full impact on our business of the Healthcare Reform Act and the other new laws is uncertain. Nor is it clear whether other legislative changes will be adopted or how those changes would affect our industry generally or our ability to successfully commercialize our products or the development of new products.</w:t>
      </w:r>
    </w:p>
    <w:p>
      <w:pPr>
        <w:spacing w:after="0" w:line="1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Under the statutory Medicare sustainable growth rate formula, payments under the Medicare Physician Fee Schedule could have decreased significantly over the past several years without congressional intervention. In the past, when the application of the statutory formula would have resulted in lower payments, Congress has passed interim legislation to prevent the reductions. In 2014, Congress again prevented the negative update factor from going into effect until March 31, 2015. If Congress fails to intervene to prevent the negative update factor in the future through either another temporary measure or a permanent revision to the statutory formula, payments to physicians may be reduced.</w:t>
      </w:r>
    </w:p>
    <w:p>
      <w:pPr>
        <w:spacing w:after="0" w:line="1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experiencing greater scrutiny and regulation by governmental authorities, which has led to certain costs and business distractions as we respond to inquiries and comply with new regulations, and may lead to greater governmental regulation in the future.</w:t>
      </w:r>
    </w:p>
    <w:p>
      <w:pPr>
        <w:spacing w:after="0" w:line="15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Our medical devices and our business activities are subject to rigorous regulation by the FDA and numerous other federal, state and foreign governmental authorities. These authorities and members of Congress have been increasing their scrutiny of our industry. In addition,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Recent Supreme Court case law has clarified that the FDA’s authority over medical devices preempts state tort laws, but legislation has been introduced at the federal level to allow state intervention, which could lead to increased and inconsistent regulation at the state level. We anticipate that the government will continue to scrutinize our industry closely, and that additional regulation by governmental authorities may increase compliance costs, exposure to litigation and other adverse effects to our operations.</w:t>
      </w:r>
    </w:p>
    <w:p>
      <w:pPr>
        <w:spacing w:after="0" w:line="18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comprehensive system of federal, state and international laws and regulations, and we could be the subject of investigations, enforcement actions or face lawsuits and monetary or equitable judgments.</w:t>
      </w:r>
    </w:p>
    <w:p>
      <w:pPr>
        <w:spacing w:after="0" w:line="159"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the U.S. Foreign Corrupt Practices Act (“FCPA”), the UK Bribery Act of 2010, the federal Health Insurance Portability and Accountability Act of 1996 (“HIPAA”) and other foreign data protection and privacy laws, and laws and regulations relating to sanctions and money laundering. We are subject to periodic inspections to determine compliance with the FDA’s Quality System Regulation requirements, current medical device adverse event reporting regulations, and similar foreign rules and regulations. Despite our training and compliance programs, our internal control policies and procedures may not always protect us from negligent, reckless or criminal acts committed by our employees or agents. 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and (ii) could disrupt our business and could have a material adverse effect on our business, results of operations, financial condition and/or liquidity.</w:t>
      </w:r>
    </w:p>
    <w:p>
      <w:pPr>
        <w:spacing w:after="0" w:line="197"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Most of our products must receive clearance or approval from the FDA or comparable regulatory agencies abroad before they can be marketed or sold. State, federal and foreign registration regulations are both evolving and subject to varied levels of</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580" w:right="259" w:bottom="1440" w:gutter="0" w:footer="0" w:header="0"/>
        </w:sectPr>
      </w:pPr>
    </w:p>
    <w:bookmarkStart w:id="28" w:name="page29"/>
    <w:bookmarkEnd w:id="28"/>
    <w:p>
      <w:pPr>
        <w:spacing w:after="0" w:line="254" w:lineRule="auto"/>
        <w:rPr>
          <w:sz w:val="20"/>
          <w:szCs w:val="20"/>
          <w:color w:val="auto"/>
        </w:rPr>
      </w:pPr>
      <w:r>
        <w:rPr>
          <w:rFonts w:ascii="Times New Roman" w:cs="Times New Roman" w:eastAsia="Times New Roman" w:hAnsi="Times New Roman"/>
          <w:sz w:val="18"/>
          <w:szCs w:val="18"/>
          <w:color w:val="auto"/>
        </w:rPr>
        <w:t>interpretation and enforcement. It can be costly and time-consuming to obtain and maintain regulatory approvals to market a medical device. Approvals might not be granted on a timely basis, if at all, for new devices, new indications for use or certain modifications or enhancements to previously approved products.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 Product approvals by the FDA and other foreign regulators can be withdrawn due to failure to comply with regulatory standards or the occurrence of unforeseen problems following initial approval or may be re-classified to a higher regulatory classification, such as requiring a Pre-Market Approval (“PMA”) for a previously cleared 510(k) device. Regulations are also subject to change as a result of legislative, administrative or judicial action, which may further increase our costs or reduce sales. Our failure to maintain approvals, obtain approval for new products or comply with other applicable regulatory requirements could adversely affect our business, results of operations, financial condition and/or liquidity.</w:t>
      </w:r>
    </w:p>
    <w:p>
      <w:pPr>
        <w:spacing w:after="0" w:line="189"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The healthcare industry is under continued scrutiny from state, federal and international governments with respect to industry practices in the area of sales and marketing, including provisions of the Physician Payment Sunshine Act. If our marketing, sales or other activities fail to comply with the FDA’s or other comparable foreign regulatory agencies’ regulations or guidelines, or other applicable laws, we may be subject to warnings from the FDA or investigations or enforcement actions from the FDA, Medicare, the Office of Inspector General of the U.S. Department of Health and Human Services or other government agencies or enforcement bodies. Additionally, in the European Union, a new draft Medical Device Regulation was published in 2016 imposing stricter requirements for the marketing and sale of medical devices and grants Notified Bodies increased post-market surveillance authority. The Company is monitoring the implementation of the regulation and has undertaken initial actions to move toward compliance based on the published draft of the regulation. The Company’s failure to comply with any marketing or sales regulations or any other applicable regulatory requirements could adversely affect our business, results of operations, financial condition and/or liquidity.</w:t>
      </w:r>
    </w:p>
    <w:p>
      <w:pPr>
        <w:spacing w:after="0" w:line="189"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In the recent past, medical device manufacturers have been the subject of investigations from government agencies related to their relationships with doctors, product sales and marketing and off-label promotion of products, among other activities or practices. If an enforcement action involving the Company were to occur, it could result in penalties, fines, detainment, seizures, recalls, product bans, operating restrictions (which may include loss of a license or authorization), the exclusion of our products from reimbursement under government-funded programs and/or prohibitions on our ability to sell our products, and could have a material adverse effect on our business, results of operations, financial condition and/or liquidity. In addition, remediation of any issues identified by the FDA or other regulators could require facility upgrades, process changes, additional labeling requirements or other measures, any of which could have a material adverse effect on our business and/or results of operations. See Item 3. “Legal Proceedings” below for a description of the subpoenas and Civil Investigation Demands from a number of State Attorneys General and investigative subpoena from the Department of Defense, in each case, seeking information related to certain of the Company’s products.</w:t>
      </w:r>
    </w:p>
    <w:p>
      <w:pPr>
        <w:spacing w:after="0" w:line="189"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Disputes from time-to-time with companies or individuals are not uncommon, and we cannot assure you that we will be able to resolve these disputes on terms favorable to us. See Item 3. “Legal Proceedings” below for a description of lawsuits against the Company. The occurrence of an adverse monetary or equitable judgment or a large expenditure in connection with a settlement of any of these matters could have a material adverse effect on our business, results of operations, financial condition and/or liquidity.</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fraud and abuse regulations that could result in significant liability, require us to change our business practices and restrict our operations in the future.</w:t>
      </w:r>
    </w:p>
    <w:p>
      <w:pPr>
        <w:spacing w:after="0" w:line="159" w:lineRule="exact"/>
        <w:rPr>
          <w:sz w:val="20"/>
          <w:szCs w:val="20"/>
          <w:color w:val="auto"/>
        </w:rPr>
      </w:pPr>
    </w:p>
    <w:p>
      <w:pPr>
        <w:ind w:right="80" w:firstLine="432"/>
        <w:spacing w:after="0" w:line="274" w:lineRule="auto"/>
        <w:rPr>
          <w:sz w:val="20"/>
          <w:szCs w:val="20"/>
          <w:color w:val="auto"/>
        </w:rPr>
      </w:pPr>
      <w:r>
        <w:rPr>
          <w:rFonts w:ascii="Times New Roman" w:cs="Times New Roman" w:eastAsia="Times New Roman" w:hAnsi="Times New Roman"/>
          <w:sz w:val="17"/>
          <w:szCs w:val="17"/>
          <w:color w:val="auto"/>
        </w:rPr>
        <w:t>We are subject to various federal, state and local laws targeting fraud and abuse in the healthcare industry, including anti-kickback and false claims laws. Violations of these laws are punishable by criminal or civil sanctions, including substantial fines, imprisonment and exclusion from participation in healthcare programs such as Medicare and Medicaid and health programs outside the United States. These laws and regulations are wide ranging and subject to changing interpretation and application, which could restrict our sales or marketing practices. Furthermore, since many of our customers rely on reimbursement from Medicare, Medicaid and other governmental programs to cover a substantial portion of their expenditures, our exclusion from such programs as a result of a violation of these laws could have a material adverse effect on our business,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580" w:right="259" w:bottom="1440" w:gutter="0" w:footer="0" w:header="0"/>
        </w:sectPr>
      </w:pPr>
    </w:p>
    <w:bookmarkStart w:id="29" w:name="page30"/>
    <w:bookmarkEnd w:id="29"/>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7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After a device is placed on the market, numerous regulatory requirements apply. We are subject to inspection and marketing surveillance by the FDA to determine our compliance with all regulatory requirements. Our failure to comply with applicable regulatory requirements could result in the FDA or a court instituting a wide variety of enforcement actions against us, including a public "Warning Letter"; an order to shut down some or all manufacturing operations; a recall of products; fines or civil penalties; seizure or detention of our products; refusing our requests for 510(k) clearance or a PMA of new or modified products; withdrawing 510(k) clearance or PMA approvals already granted to us; and criminal prosecution.</w:t>
      </w:r>
    </w:p>
    <w:p>
      <w:pPr>
        <w:spacing w:after="0" w:line="18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The FDA enforces the QSR through unannounced inspections.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w:t>
      </w:r>
    </w:p>
    <w:p>
      <w:pPr>
        <w:spacing w:after="0" w:line="189"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If we, or one of our suppliers, violate the FDA’s requirements or fail to take adequate corrective action in response to any significant compliance issue raised by the FDA, the FDA can take various enforcement actions which could cause our product sales and profitability to suffer.</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obtain and maintain marketing clearance or approval from governmental agencies, we will not be able to sell our products.</w:t>
      </w:r>
    </w:p>
    <w:p>
      <w:pPr>
        <w:spacing w:after="0" w:line="229"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 notification is submitted to the FDA, but may take significantly longer. Although we have obtained 510(k) clearances for our current products, our clearances may be revoked by the FDA if safety or effectiveness problems develop with the devices. The PMA process is much more costly, lengthy and uncertain. It generally takes from one to three years from the date the application is submitted to, and filed with the FDA, and may take even longer. 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18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current products may require new marketing clearances or approvals or require us to cease marketing or recall the modified products until such clearances or approvals are obtained.</w:t>
      </w:r>
    </w:p>
    <w:p>
      <w:pPr>
        <w:spacing w:after="0" w:line="15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Any modification to an FDA-cleared medical device that could significantly affect its safety or effectiveness, or that would constitute a major change or modification in its intended use, requires a new FDA 510(k) clearance or, possibly, a premarket approval. The FDA requires every manufacturer to make its own determination as to whether a modification requires a new 510(k) clearance or premarket approval, but the FDA may review and disagree with any decision reached by the manufacturer. We have modified aspects of some of our devices since receiving regulatory clearance. We believed that some of these modifications did not require new 510(k) clearance or premarket approval and, therefore, we did not seek new 510(k) clearances or premarket approvals. In the future, we may make additional modifications to our products after they have received FDA clearance or approval and, in appropriate circumstances, determine that new clearance or approval is unnecessary. Regulations in other countries in which we market or sell, or propose to market or sell, our products may also</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6" w:right="239" w:bottom="1440" w:gutter="0" w:footer="0" w:header="0"/>
        </w:sectPr>
      </w:pPr>
    </w:p>
    <w:bookmarkStart w:id="30" w:name="page31"/>
    <w:bookmarkEnd w:id="30"/>
    <w:p>
      <w:pPr>
        <w:ind w:right="100"/>
        <w:spacing w:after="0" w:line="256" w:lineRule="auto"/>
        <w:rPr>
          <w:sz w:val="20"/>
          <w:szCs w:val="20"/>
          <w:color w:val="auto"/>
        </w:rPr>
      </w:pPr>
      <w:r>
        <w:rPr>
          <w:rFonts w:ascii="Times New Roman" w:cs="Times New Roman" w:eastAsia="Times New Roman" w:hAnsi="Times New Roman"/>
          <w:sz w:val="18"/>
          <w:szCs w:val="18"/>
          <w:color w:val="auto"/>
        </w:rPr>
        <w:t>require that we make judgments about changes to our products and whether or not those changes are such that regulatory approval or clearance should be obtained. In the United States and elsewhere, regulatory authorities may disagree with our past or future decisions not to seek new clearance or approval and may require us to obtain clearance or approval for modifications to our products. If that were to occur for a previously cleared or approved product, we may be required to cease marketing or recall the modified device until we obtain the necessary clearance or approval. Under these circumstances, we may also be subject to significant regulatory fines or other penalties. If any of the foregoing were to occur, our financial condition and results of operations could be negatively impacted.</w:t>
      </w:r>
    </w:p>
    <w:p>
      <w:pPr>
        <w:spacing w:after="0" w:line="1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after receiving regulatory clearance or approval, our products may be subject to product recalls, which may harm our reputation and divert managerial and financial resources.</w:t>
      </w:r>
    </w:p>
    <w:p>
      <w:pPr>
        <w:spacing w:after="0" w:line="159"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device, or if the governmental entity finds that our products would cause serious adverse health consequences. A government mandated voluntary recall or field action by us could occur as a result of component failures, manufacturing errors or design defects, including labeling defects. Any recall of our products may harm our reputation with customers and divert managerial and financial resources.</w:t>
      </w:r>
    </w:p>
    <w:p>
      <w:pPr>
        <w:spacing w:after="0" w:line="1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or costly investigations if we are determined to be promoting the use of our products for unapproved or “off-label” uses.</w:t>
      </w:r>
    </w:p>
    <w:p>
      <w:pPr>
        <w:spacing w:after="0" w:line="15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If we are incorrect in our belief that our promotional materials and training methods regarding physicians are conducted in compliance with regulations of the FDA and other applicable regulations, and the FDA determines that our promotional materials or training constitutes promotion of an unapproved use, the FDA could request that we modify our training or promotional materials or subject us to regulatory enforcement actions, including the issuance of a warning letter, injunction, seizure, civil fine and criminal penalties. It is also possible that other federal, state or foreign enforcement authorities might take action if they consider promotional or training materials to constitute promotion of an unapproved use, which could result in significant fines or penalties under other statutory authorities, such as laws prohibiting false claims for reimbursement. Any of these results could have a material adverse effect on our financial position or results of operations.</w:t>
      </w:r>
    </w:p>
    <w:p>
      <w:pPr>
        <w:spacing w:after="0" w:line="18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our acquisition of RITA, was the exclusive distributor of LC Beads in the United States from 2006 through December 31, 2011. We are cooperating fully with this investigation and at this time are unable to predict its scope, duration or outcome. In April 2015 we received a subpoena from the DOJ requesting documents in relation to a criminal and civil investigation the DOJ is conducting regarding purported promotion of certain of our VenaCure EVLT products for un-cleared indications. As of May 31, 2017 the Company accrued $12.5 million for these matters and in August 2017, the Company agreed in principle with the government to resolve these matters for approximately $12.5 million.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employees or agents violate the U.S. Foreign Corrupt Practices Act or anti-bribery laws in other jurisdictions, we may incur fines or penalties, or experience other adverse consequences.</w:t>
      </w:r>
    </w:p>
    <w:p>
      <w:pPr>
        <w:spacing w:after="0" w:line="15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and similar anti-bribery laws in international jurisdictions, including the UK Anti-Bribery Act, which generally prohibit companies and their intermediaries from making improper payments to non-U.S. officials for the purpose of obtaining or retaining business. Because of the predominance of government-sponsored healthcare systems around the world, many of our customer relationships outside of the United States are with governmental entities and are therefore subject to such anti-bribery laws. Our sales to customers and distributors outside of the United States have been increasing and we expect them to continue to increase in the future. If our employees or agents violate the provisions of the FCPA or other anti-bribery laws, we may incur fines or penalties, we may be unable to market our products in other countries or we may experience other adverse consequences which could have a material adverse effect on our operating results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governing the export of our products could adversely impact our business.</w:t>
      </w:r>
    </w:p>
    <w:p>
      <w:pPr>
        <w:spacing w:after="0" w:line="22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 Due to our international operations, we are subject to</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580" w:right="279" w:bottom="1440" w:gutter="0" w:footer="0" w:header="0"/>
        </w:sectPr>
      </w:pPr>
    </w:p>
    <w:bookmarkStart w:id="31" w:name="page32"/>
    <w:bookmarkEnd w:id="31"/>
    <w:p>
      <w:pPr>
        <w:ind w:right="400"/>
        <w:spacing w:after="0" w:line="282" w:lineRule="auto"/>
        <w:rPr>
          <w:sz w:val="20"/>
          <w:szCs w:val="20"/>
          <w:color w:val="auto"/>
        </w:rPr>
      </w:pPr>
      <w:r>
        <w:rPr>
          <w:rFonts w:ascii="Times New Roman" w:cs="Times New Roman" w:eastAsia="Times New Roman" w:hAnsi="Times New Roman"/>
          <w:sz w:val="18"/>
          <w:szCs w:val="18"/>
          <w:color w:val="auto"/>
        </w:rPr>
        <w:t>such laws and regulations, which are complex, restrict our business dealings with certain countries and individuals, and are constantly changing. Further restrictions may be enacted, amended, enforced or interpreted in a manner that materially impacts our operations.</w:t>
      </w:r>
    </w:p>
    <w:p>
      <w:pPr>
        <w:spacing w:after="0" w:line="162" w:lineRule="exact"/>
        <w:rPr>
          <w:sz w:val="20"/>
          <w:szCs w:val="20"/>
          <w:color w:val="auto"/>
        </w:rPr>
      </w:pPr>
    </w:p>
    <w:p>
      <w:pPr>
        <w:ind w:right="40" w:firstLine="405"/>
        <w:spacing w:after="0" w:line="272" w:lineRule="auto"/>
        <w:rPr>
          <w:sz w:val="20"/>
          <w:szCs w:val="20"/>
          <w:color w:val="auto"/>
        </w:rPr>
      </w:pPr>
      <w:r>
        <w:rPr>
          <w:rFonts w:ascii="Times New Roman" w:cs="Times New Roman" w:eastAsia="Times New Roman" w:hAnsi="Times New Roman"/>
          <w:sz w:val="17"/>
          <w:szCs w:val="17"/>
          <w:color w:val="auto"/>
        </w:rPr>
        <w:t>From time to time, certain of our subsidiaries have limited business dealings in countries subject to comprehensive sanctions, including Iran, Sudan, Syria, Cuba and those in the region of Crimea. Certain of our subsidiaries sell medical devices and surgical tools, and may provide related services, to distributors and other purchasing bodies in such countries. These business dealings represent an insignificant amount of our consolidated revenues and income, but expose us to a heightened risk of violating applicable sanctions regulations. Violations of these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levels by governmental or other third-party payors for procedures using our products may cause our revenues to decline.</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products are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The ability of our customers to obtain appropriate reimbursement for products and services from third-party payors is critical to the success of medical device companies because it affects which products customers purchase and the prices they are willing to pay. 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 our products. Even when we develop a promising new product, we may find limited demand for the product unless reimbursement approval is obtained from private and governmental third party payors.</w:t>
      </w:r>
    </w:p>
    <w:p>
      <w:pPr>
        <w:spacing w:after="0" w:line="185"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Third-party payors have adopted, and are continuing to adopt, a number of healthcare policies intended to curb rising healthcare costs. These policies include:</w:t>
      </w:r>
    </w:p>
    <w:p>
      <w:pPr>
        <w:spacing w:after="0" w:line="16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on government-funded reimbursement for healthcare services and price controls on medical products and services providers;</w:t>
      </w:r>
    </w:p>
    <w:p>
      <w:pPr>
        <w:spacing w:after="0" w:line="27" w:lineRule="exact"/>
        <w:rPr>
          <w:rFonts w:ascii="Times New Roman" w:cs="Times New Roman" w:eastAsia="Times New Roman" w:hAnsi="Times New Roman"/>
          <w:sz w:val="18"/>
          <w:szCs w:val="18"/>
          <w:color w:val="auto"/>
        </w:rPr>
      </w:pPr>
    </w:p>
    <w:p>
      <w:pPr>
        <w:ind w:left="980" w:right="42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the pricing of medical procedures or limits or prohibitions on reimbursement for specific devices and therapies through other means; and</w:t>
      </w:r>
    </w:p>
    <w:p>
      <w:pPr>
        <w:ind w:left="980" w:right="500" w:hanging="324"/>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managed care systems in which healthcare providers contract to provide comprehensive healthcare for a fixed cost per person.</w:t>
      </w:r>
    </w:p>
    <w:p>
      <w:pPr>
        <w:spacing w:after="0" w:line="18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are unable to predict whether federal, state or local healthcare reform legislation or regulation affecting our business may be proposed or enacted in the future, or what effect any such legislation or regulation would have on our business.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we may not be able to generate revenues from new or existing products and our business may suffer.</w:t>
      </w:r>
    </w:p>
    <w:p>
      <w:pPr>
        <w:spacing w:after="0" w:line="159" w:lineRule="exact"/>
        <w:rPr>
          <w:sz w:val="20"/>
          <w:szCs w:val="20"/>
          <w:color w:val="auto"/>
        </w:rPr>
      </w:pPr>
    </w:p>
    <w:p>
      <w:pPr>
        <w:ind w:right="40" w:firstLine="432"/>
        <w:spacing w:after="0" w:line="277" w:lineRule="auto"/>
        <w:rPr>
          <w:sz w:val="20"/>
          <w:szCs w:val="20"/>
          <w:color w:val="auto"/>
        </w:rPr>
      </w:pPr>
      <w:r>
        <w:rPr>
          <w:rFonts w:ascii="Times New Roman" w:cs="Times New Roman" w:eastAsia="Times New Roman" w:hAnsi="Times New Roman"/>
          <w:sz w:val="17"/>
          <w:szCs w:val="17"/>
          <w:color w:val="auto"/>
        </w:rPr>
        <w:t>Our success depends in part on obtaining, maintaining and enforcing our patents, trademarks and other proprietary rights, and our ability to avoid infringing the proprietary rights of others. We take precautionary steps to protect our technological advantages and intellectual property.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580" w:right="279" w:bottom="1440" w:gutter="0" w:footer="0" w:header="0"/>
        </w:sectPr>
      </w:pPr>
    </w:p>
    <w:bookmarkStart w:id="32" w:name="page33"/>
    <w:bookmarkEnd w:id="32"/>
    <w:p>
      <w:pPr>
        <w:ind w:firstLine="432"/>
        <w:spacing w:after="0" w:line="255" w:lineRule="auto"/>
        <w:rPr>
          <w:sz w:val="20"/>
          <w:szCs w:val="20"/>
          <w:color w:val="auto"/>
        </w:rPr>
      </w:pPr>
      <w:r>
        <w:rPr>
          <w:rFonts w:ascii="Times New Roman" w:cs="Times New Roman" w:eastAsia="Times New Roman" w:hAnsi="Times New Roman"/>
          <w:sz w:val="18"/>
          <w:szCs w:val="18"/>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 Generally, patent applications can be maintained in secrecy for at least 18 months after their earliest priority date. In addition, publication of discoveries in the scientific or patent literature often lags behind actual discoveries. Therefore, we cannot be certain that we were the first to invent the subject matter covered by each of our pending U.S. patent applications or that we were the first to file non-U.S. patent applications for such subject matter.</w:t>
      </w:r>
    </w:p>
    <w:p>
      <w:pPr>
        <w:spacing w:after="0" w:line="18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we are not able to adequately protect our intellectual property, our market share, financial condition and results of operations may suffer.</w:t>
      </w:r>
    </w:p>
    <w:p>
      <w:pPr>
        <w:spacing w:after="0" w:line="22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15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 Such claims could also cause our customers or potential customers to purchase competitors’ products or defer or limit their purchase or use of our affected products until resolution of the claim.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STOCK PRICE</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operating results are difficult to predict and may vary significantly from quarter to quarter, which may adversely affect the price of our common stock.</w:t>
      </w:r>
    </w:p>
    <w:p>
      <w:pPr>
        <w:spacing w:after="0" w:line="15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180"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of our products and services in our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or services and enhancements in a timely manner;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acceptance of our products and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competition and the introduction of alternative products or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command favorable pricing for our products and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market for our devices and services;</w:t>
      </w:r>
    </w:p>
    <w:p>
      <w:pPr>
        <w:spacing w:after="0" w:line="9" w:lineRule="exact"/>
        <w:rPr>
          <w:rFonts w:ascii="Times New Roman" w:cs="Times New Roman" w:eastAsia="Times New Roman" w:hAnsi="Times New Roman"/>
          <w:sz w:val="18"/>
          <w:szCs w:val="18"/>
          <w:color w:val="auto"/>
        </w:rPr>
      </w:pPr>
    </w:p>
    <w:p>
      <w:pPr>
        <w:ind w:left="980" w:right="104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rate of success of our direct sales force in the United States and internationally and our independent distributors internationally;</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relating to ongoing FDA compliance;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intellectual property disputes;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580" w:right="259" w:bottom="1440" w:gutter="0" w:footer="0" w:header="0"/>
        </w:sectPr>
      </w:pPr>
    </w:p>
    <w:bookmarkStart w:id="33" w:name="page34"/>
    <w:bookmarkEnd w:id="33"/>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orders from independent distributors or customers;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key personnel, particularly in sales and marketing, regulatory, manufacturing and research and development;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or an inability to control costs;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those specific to our customers and markets;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revenue due to the elective nature of some procedures.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may cause the value of our stock to decline or subject us to a securities class action litigation.</w:t>
      </w:r>
    </w:p>
    <w:p>
      <w:pPr>
        <w:spacing w:after="0" w:line="229"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price may be volatile and could be subject to wide fluctuations in price in response to various factors, many of which are beyond our control, including:</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or other large stockholders;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timing of orders for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generally affecting medical device companies;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our business, including changes in market valuations of medical device companies;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performance.</w:t>
      </w:r>
    </w:p>
    <w:p>
      <w:pPr>
        <w:spacing w:after="0" w:line="20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NASDAQ Stock Market and the market for medical devices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market price of its common stock. We may become involved in this type of litigation in the future. Any securities litigation claims brought against us could result in substantial expense and the diversion of management’s attention from our business.</w:t>
      </w:r>
    </w:p>
    <w:p>
      <w:pPr>
        <w:spacing w:after="0" w:line="1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attain the guidance set forth in the three-year plan that was presented to our investors in April 2017 which could have an adverse impact on our stock price.</w:t>
      </w:r>
    </w:p>
    <w:p>
      <w:pPr>
        <w:spacing w:after="0" w:line="15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April 2017, guidance targets for revenue, adjusted earnings per share, adjusted EBITDAS, free cash flow, adjusted gross margin and leverage for the next three years were presented to our investors. If we do not achieve this guidance this could have an adverse effect on our stock price as investors could begin to lose confidence in the performance of the Company and its ability to forecast and execute.</w:t>
      </w:r>
    </w:p>
    <w:p>
      <w:pPr>
        <w:spacing w:after="0" w:line="334"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0" w:right="239" w:bottom="1440" w:gutter="0" w:footer="0" w:header="0"/>
        </w:sectPr>
      </w:pPr>
    </w:p>
    <w:bookmarkStart w:id="34" w:name="page35"/>
    <w:bookmarkEnd w:id="34"/>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year ended May 31, 2017, we operated in the following locations: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140" w:type="dxa"/>
            <w:vAlign w:val="bottom"/>
            <w:vMerge w:val="restart"/>
          </w:tcPr>
          <w:p>
            <w:pPr>
              <w:spacing w:after="0"/>
              <w:rPr>
                <w:sz w:val="13"/>
                <w:szCs w:val="13"/>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Approx.</w:t>
            </w: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CCEEFF"/>
            </w:tcBorders>
            <w:vMerge w:val="continue"/>
          </w:tcPr>
          <w:p>
            <w:pPr>
              <w:spacing w:after="0"/>
              <w:rPr>
                <w:sz w:val="16"/>
                <w:szCs w:val="16"/>
                <w:color w:val="auto"/>
              </w:rPr>
            </w:pPr>
          </w:p>
        </w:tc>
        <w:tc>
          <w:tcPr>
            <w:tcW w:w="360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Sq. Ft.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Type</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Latham, NY</w:t>
            </w: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Corporate headquarters</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Glens Falls, NY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Manufacturing</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189,000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Queensbury, NY</w:t>
            </w: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Manufacturing and distribution</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Manchester, GA</w:t>
            </w:r>
            <w:r>
              <w:rPr>
                <w:rFonts w:ascii="Times New Roman" w:cs="Times New Roman" w:eastAsia="Times New Roman" w:hAnsi="Times New Roman"/>
                <w:sz w:val="14"/>
                <w:szCs w:val="14"/>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Manufacturing and distribution</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Marlborough, MA</w:t>
            </w: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Research &amp; Development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Denmead, U.K.</w:t>
            </w:r>
            <w:r>
              <w:rPr>
                <w:rFonts w:ascii="Times New Roman" w:cs="Times New Roman" w:eastAsia="Times New Roman" w:hAnsi="Times New Roman"/>
                <w:sz w:val="14"/>
                <w:szCs w:val="14"/>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Manufacturing</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Amsterdam, NL</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Selling, Marketing &amp; Administrative</w:t>
            </w: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10,100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we lease sales offices in various other jurisdictions.</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two locations will be closed as part of the Operational Consolidation strategy during fiscal year 2018.</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955" w:right="239" w:bottom="1440" w:gutter="0" w:footer="0" w:header="0"/>
        </w:sectPr>
      </w:pPr>
    </w:p>
    <w:bookmarkStart w:id="35" w:name="page36"/>
    <w:bookmarkEnd w:id="35"/>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 Bard, Inc. v. AngioDynamics, Inc.</w:t>
      </w:r>
    </w:p>
    <w:p>
      <w:pPr>
        <w:spacing w:after="0" w:line="256" w:lineRule="exact"/>
        <w:rPr>
          <w:sz w:val="20"/>
          <w:szCs w:val="20"/>
          <w:color w:val="auto"/>
        </w:rPr>
      </w:pPr>
    </w:p>
    <w:p>
      <w:pPr>
        <w:ind w:right="40" w:firstLine="405"/>
        <w:spacing w:after="0" w:line="300"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then filed Requests for Rehearing in all three reexamination appeals and the Company filed Requests for Rehearing in two of the reexamination appeals (the ‘302 and ‘615 patent reexaminations). Each party filed comments in Opposition to the other party’s Rehearing Requests,. The PTO has since issued decisions denying all Rehearing Requests - - on February 1, 2017 for the ‘302; on February 17, 2017 for the ‘022; and on February 21, 2017 for the ‘615. In the ‘302 and ‘022, the PTO modified its characterization of one prior art reference. Bard has since filed a Notice of Appeal to the Federal Circuit Court of Appeals in all three reexams and we filed Cross-Appeals in the ‘302 and the ‘615 reexams. The parties are in the process of preparing and filing the various appellate briefs, starting with Bard’s Opening Brief which is currently due on July 31, 2017 and ending with our Reply Brief which is currently due on November 6, 2017. The Utah Action has been stayed pending final resolution of the 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87" w:lineRule="exact"/>
        <w:rPr>
          <w:sz w:val="20"/>
          <w:szCs w:val="20"/>
          <w:color w:val="auto"/>
        </w:rPr>
      </w:pPr>
    </w:p>
    <w:p>
      <w:pPr>
        <w:ind w:right="20" w:firstLine="405"/>
        <w:spacing w:after="0" w:line="299" w:lineRule="auto"/>
        <w:rPr>
          <w:sz w:val="20"/>
          <w:szCs w:val="20"/>
          <w:color w:val="auto"/>
        </w:rPr>
      </w:pPr>
      <w:r>
        <w:rPr>
          <w:rFonts w:ascii="Times New Roman" w:cs="Times New Roman" w:eastAsia="Times New Roman" w:hAnsi="Times New Roman"/>
          <w:sz w:val="18"/>
          <w:szCs w:val="18"/>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served various discovery requests on each other, and have been producing documents to each other; on May 27, 2016 Bard served its Infringement Contentions which identified all the port products accused of infringement; and, on June 24, 2016, we served Invalidity Contentions which detail various grounds for invalidating the three asserted patents. The parties completed briefing on the claim construction issues and the Markman hearing was held on March 10, 2017. A decision is expected on or about May 12, 2017, and the Court issued its Claim Construction Order on May 19, 2017. The Court has since amended the Scheduling Order to provide for the completion of Expert Discovery on October 30, 2017; briefing on Case-Dispositive Motions between November 17, 2017 and January 24, 2018 with oral argument set for February 22, 2018 and trial to commence May 29, 2018.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AngioDynamics, Inc. v. C.R. Bard, Inc.</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The Court has set an initial case management conference for August 29, 2017.</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3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Investigations</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w:t>
      </w:r>
    </w:p>
    <w:p>
      <w:pPr>
        <w:spacing w:after="0" w:line="180" w:lineRule="exact"/>
        <w:rPr>
          <w:sz w:val="20"/>
          <w:szCs w:val="20"/>
          <w:color w:val="auto"/>
        </w:rPr>
      </w:pPr>
    </w:p>
    <w:p>
      <w:pPr>
        <w:jc w:val="both"/>
        <w:ind w:right="580" w:firstLine="405"/>
        <w:spacing w:after="0" w:line="266" w:lineRule="auto"/>
        <w:rPr>
          <w:sz w:val="20"/>
          <w:szCs w:val="20"/>
          <w:color w:val="auto"/>
        </w:rPr>
      </w:pPr>
      <w:r>
        <w:rPr>
          <w:rFonts w:ascii="Times New Roman" w:cs="Times New Roman" w:eastAsia="Times New Roman" w:hAnsi="Times New Roman"/>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7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May 31, 2017 the Company accrued $12.5 million for these matters and in August 2017, the Company agreed in principle with the government to resolve these matters for approximately $12.5 million.</w:t>
      </w:r>
    </w:p>
    <w:p>
      <w:pPr>
        <w:spacing w:after="0" w:line="320"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8" w:lineRule="exact"/>
        <w:rPr>
          <w:sz w:val="20"/>
          <w:szCs w:val="20"/>
          <w:color w:val="auto"/>
        </w:rPr>
      </w:pPr>
    </w:p>
    <w:p>
      <w:pPr>
        <w:ind w:left="1040" w:right="2780" w:hanging="998"/>
        <w:spacing w:after="0" w:line="286"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51"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Global Select Market tier of The NASDAQ Stock Market LLC (formerly the Nasdaq National Market), under the symbol “ANGO.”</w:t>
      </w:r>
    </w:p>
    <w:p>
      <w:pPr>
        <w:spacing w:after="0" w:line="108"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fiscal quarters indicated, the high and low sale prices for our common stock as reported by The NASDAQ Stock Market.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Sale Price</w:t>
            </w:r>
          </w:p>
        </w:tc>
        <w:tc>
          <w:tcPr>
            <w:tcW w:w="130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Pr>
          <w:p>
            <w:pPr>
              <w:spacing w:after="0"/>
              <w:rPr>
                <w:sz w:val="22"/>
                <w:szCs w:val="22"/>
                <w:color w:val="auto"/>
              </w:rPr>
            </w:pPr>
          </w:p>
        </w:tc>
        <w:tc>
          <w:tcPr>
            <w:tcW w:w="130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May 31, 2017</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15.08</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15.89</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12.16</w:t>
            </w:r>
          </w:p>
        </w:tc>
      </w:tr>
      <w:tr>
        <w:trPr>
          <w:trHeight w:val="319"/>
        </w:trPr>
        <w:tc>
          <w:tcPr>
            <w:tcW w:w="7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Sale Price</w:t>
            </w:r>
          </w:p>
        </w:tc>
        <w:tc>
          <w:tcPr>
            <w:tcW w:w="1300" w:type="dxa"/>
            <w:vAlign w:val="bottom"/>
            <w:tcBorders>
              <w:bottom w:val="single" w:sz="8" w:color="auto"/>
            </w:tcBorders>
          </w:tcPr>
          <w:p>
            <w:pPr>
              <w:spacing w:after="0"/>
              <w:rPr>
                <w:sz w:val="24"/>
                <w:szCs w:val="24"/>
                <w:color w:val="auto"/>
              </w:rPr>
            </w:pPr>
          </w:p>
        </w:tc>
      </w:tr>
      <w:tr>
        <w:trPr>
          <w:trHeight w:val="264"/>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Pr>
          <w:p>
            <w:pPr>
              <w:spacing w:after="0"/>
              <w:rPr>
                <w:sz w:val="22"/>
                <w:szCs w:val="22"/>
                <w:color w:val="auto"/>
              </w:rPr>
            </w:pPr>
          </w:p>
        </w:tc>
        <w:tc>
          <w:tcPr>
            <w:tcW w:w="130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May 31, 2016</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14.31</w:t>
            </w:r>
          </w:p>
        </w:tc>
      </w:tr>
      <w:tr>
        <w:trPr>
          <w:trHeight w:val="27"/>
        </w:trPr>
        <w:tc>
          <w:tcPr>
            <w:tcW w:w="7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August 2, 2017, there were 197 holders of record of our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9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We did not declare any cash dividends on our common stock during our last three fiscal years. We do not anticipate paying any cash dividends on our common stock for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9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graph below matches AngioDynamics, Inc.’s cumulative 5-year total shareholder return on common stock with the cumulative total returns of the NASDAQ Composite index, the RDG SmallCap Medical Devices index, and the NASDAQ Medical Equipment index. The graph tracks the performance of a $100 investment in our common stock and in each index</w:t>
      </w:r>
    </w:p>
    <w:p>
      <w:pPr>
        <w:sectPr>
          <w:pgSz w:w="11900" w:h="16838" w:orient="portrait"/>
          <w:cols w:equalWidth="0" w:num="1">
            <w:col w:w="11420"/>
          </w:cols>
          <w:pgMar w:left="240" w:top="57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76" w:right="239" w:bottom="1440" w:gutter="0" w:footer="0" w:header="0"/>
          <w:type w:val="continuous"/>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(with the reinvestment of all dividends) from May 31, 2012 to May 31, 2017.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28575</wp:posOffset>
            </wp:positionV>
            <wp:extent cx="5848985" cy="4519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451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240" w:top="661" w:right="319" w:bottom="1440" w:gutter="0" w:footer="0" w:header="0"/>
        </w:sectPr>
      </w:pPr>
    </w:p>
    <w:bookmarkStart w:id="38" w:name="page39"/>
    <w:bookmarkEnd w:id="38"/>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121"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You should read the following selected financial data in conjunction with our consolidated financial statements and the related notes and “Management’s Discussion and Analysis of Financial Condition and Results of Operations” included elsewhere in this Annual Report on Form 10-K.</w:t>
      </w:r>
    </w:p>
    <w:p>
      <w:pPr>
        <w:spacing w:after="0" w:line="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consolidated statements of operations data for the fiscal years ended May 31, 2017, May 31, 2016, and May 31, 2015, and the consolidated balance sheet data as of May 31, 2017 and May 31, 2016, are derived from the consolidated financial statements that are included elsewhere in this Annual Report on Form 10-K. The consolidated statements of operations data for the fiscal years ended May 31, 2014 and May 31, 2013, and the consolidated balance sheet data as of May 31, 2015, May 31, 2014 and May 31, 2013, are derived from our audited consolidated financial statements not included in this Annual Report on Form 10-K. Historical results are not necessarily indicative of the results of operations to be expected for future periods. See Note 14 of “Notes to Consolidated Financial Statements” for a description of the method that we used to compute our historical basic and diluted net income per share attributable to common stockholders.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May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 except per share information)</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349,643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353,890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341,916</w:t>
            </w:r>
          </w:p>
        </w:tc>
      </w:tr>
      <w:tr>
        <w:trPr>
          <w:trHeight w:val="243"/>
        </w:trPr>
        <w:tc>
          <w:tcPr>
            <w:tcW w:w="4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 (exclusive of intangible amortization)</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176,169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168,514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26,091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83,743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77,790</w:t>
            </w:r>
          </w:p>
        </w:tc>
      </w:tr>
      <w:tr>
        <w:trPr>
          <w:trHeight w:val="243"/>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25,809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16,599</w:t>
            </w:r>
          </w:p>
        </w:tc>
      </w:tr>
      <w:tr>
        <w:trPr>
          <w:trHeight w:val="243"/>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Acquisition, restructuring and other items, net (a)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13,800</w:t>
            </w:r>
          </w:p>
        </w:tc>
      </w:tr>
      <w:tr>
        <w:trPr>
          <w:trHeight w:val="243"/>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Medical device excise tax</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163,202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173,298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179,245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169,687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163,272</w:t>
            </w:r>
          </w:p>
        </w:tc>
      </w:tr>
      <w:tr>
        <w:trPr>
          <w:trHeight w:val="237"/>
        </w:trPr>
        <w:tc>
          <w:tcPr>
            <w:tcW w:w="47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5,242</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37"/>
        </w:trPr>
        <w:tc>
          <w:tcPr>
            <w:tcW w:w="47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(43,590)</w:t>
            </w:r>
          </w:p>
        </w:tc>
        <w:tc>
          <w:tcPr>
            <w:tcW w:w="1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7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40" w:right="440" w:hanging="316"/>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restructuring and one-time items include restructuring expenses or expenses incurred as part of M&amp;A, product discontinuance, legal settlements and legal costs that are related to litigation that is not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3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May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48,759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23,955</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82,398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79,527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71,643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707,961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726,194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773,058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798,576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790,561</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14"/>
                <w:szCs w:val="14"/>
                <w:color w:val="auto"/>
              </w:rPr>
              <w:t>(1)</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120,541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142,500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14"/>
                <w:szCs w:val="14"/>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75,049</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121,418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152,239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201,317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515,027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507,228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545,099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536,885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526,324</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ind w:left="800" w:hanging="252"/>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 for adoption of new accounting standard.</w:t>
      </w:r>
    </w:p>
    <w:p>
      <w:pPr>
        <w:spacing w:after="0" w:line="9" w:lineRule="exact"/>
        <w:rPr>
          <w:rFonts w:ascii="Times New Roman" w:cs="Times New Roman" w:eastAsia="Times New Roman" w:hAnsi="Times New Roman"/>
          <w:sz w:val="18"/>
          <w:szCs w:val="18"/>
          <w:color w:val="auto"/>
        </w:rPr>
      </w:pPr>
    </w:p>
    <w:p>
      <w:pPr>
        <w:ind w:left="800" w:hanging="252"/>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for explanation on the change.</w:t>
      </w:r>
    </w:p>
    <w:p>
      <w:pPr>
        <w:spacing w:after="0" w:line="365"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Conditions and Results of Operations.</w:t>
      </w:r>
    </w:p>
    <w:p>
      <w:pPr>
        <w:spacing w:after="0" w:line="256"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audited consolidated financial statements and the notes thereto and other information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acquisitions,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the actual results include, without limitation, our ability to develop our existing and new products, future actions by the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the loss of any of our key customers or reduction in the purchase of our products by any such customers, and our ability to integrate acquired businesses as well as the risk factors listed in Part I, Item 1A of this Annual Report on Form 10-K.</w:t>
      </w:r>
    </w:p>
    <w:p>
      <w:pPr>
        <w:spacing w:after="0" w:line="191"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We disclaim any obligation to update the forward-looking statements. Investors are cautioned not to place undue reliance on these forward-looking statements which speak only as of the date stated, or if no date is stated, as of the date of this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and Market</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longer-term use.</w:t>
      </w:r>
    </w:p>
    <w:p>
      <w:pPr>
        <w:spacing w:after="0" w:line="17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36" w:right="239" w:bottom="1440" w:gutter="0" w:footer="0" w:header="0"/>
        </w:sectPr>
      </w:pPr>
    </w:p>
    <w:bookmarkStart w:id="40" w:name="page41"/>
    <w:bookmarkEnd w:id="40"/>
    <w:p>
      <w:pPr>
        <w:ind w:right="80"/>
        <w:spacing w:after="0" w:line="266" w:lineRule="auto"/>
        <w:rPr>
          <w:sz w:val="20"/>
          <w:szCs w:val="20"/>
          <w:color w:val="auto"/>
        </w:rPr>
      </w:pPr>
      <w:r>
        <w:rPr>
          <w:rFonts w:ascii="Times New Roman" w:cs="Times New Roman" w:eastAsia="Times New Roman" w:hAnsi="Times New Roman"/>
          <w:sz w:val="18"/>
          <w:szCs w:val="18"/>
          <w:color w:val="auto"/>
        </w:rPr>
        <w:t>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sell our products in the United States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Initiatives to Drive Growth</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Throughout the year, we introduced strategic moves designed to streamline our business, improve our overall business operations and position ourselves for growth. Those initiatives included:</w:t>
      </w:r>
    </w:p>
    <w:p>
      <w:pPr>
        <w:spacing w:after="0" w:line="160" w:lineRule="exact"/>
        <w:rPr>
          <w:sz w:val="20"/>
          <w:szCs w:val="20"/>
          <w:color w:val="auto"/>
        </w:rPr>
      </w:pPr>
    </w:p>
    <w:p>
      <w:pPr>
        <w:ind w:left="660" w:right="40" w:hanging="328"/>
        <w:spacing w:after="0" w:line="259"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Introduction of new corporate strategy</w:t>
      </w:r>
      <w:r>
        <w:rPr>
          <w:rFonts w:ascii="Times New Roman" w:cs="Times New Roman" w:eastAsia="Times New Roman" w:hAnsi="Times New Roman"/>
          <w:sz w:val="18"/>
          <w:szCs w:val="18"/>
          <w:color w:val="auto"/>
        </w:rPr>
        <w:t>. As outlined in an Investor Day held in New York City in the fourth quarter, leadership introduced a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that would include portfolio management with product categories designated into “invest” and “maintain” businesses; continued efforts to improve operational performance; international expansion; and an ability to pursue growth through organic and inorganic opportunities through strong cash generation. In addition to introducing the strategy, the company also put forth projected financial metrics anticipated for the 2018, 2019 and 2020 fiscal years.</w:t>
      </w:r>
    </w:p>
    <w:p>
      <w:pPr>
        <w:spacing w:after="0" w:line="179" w:lineRule="exact"/>
        <w:rPr>
          <w:rFonts w:ascii="Times New Roman" w:cs="Times New Roman" w:eastAsia="Times New Roman" w:hAnsi="Times New Roman"/>
          <w:sz w:val="18"/>
          <w:szCs w:val="18"/>
          <w:color w:val="auto"/>
        </w:rPr>
      </w:pPr>
    </w:p>
    <w:p>
      <w:pPr>
        <w:ind w:left="660" w:right="160" w:hanging="328"/>
        <w:spacing w:after="0" w:line="259"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Consolidation</w:t>
      </w:r>
      <w:r>
        <w:rPr>
          <w:rFonts w:ascii="Times New Roman" w:cs="Times New Roman" w:eastAsia="Times New Roman" w:hAnsi="Times New Roman"/>
          <w:sz w:val="18"/>
          <w:szCs w:val="18"/>
          <w:color w:val="auto"/>
        </w:rPr>
        <w:t>. The Company announced a planned consolidation of operations from the Manchester, GA and Denmead, UK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the Glens Falls and Queensbury, NY manufacturing facilities in the third quarter. The consolidation will result in streamlined operations, reduced costs, optimized inventory management and gross margin improvement. As part of the plan, the Company expects to incur restructuring expenses, including severance and retention, equipment transfer, set-up and purchases, regulatory expenses, lease termination expenses and other miscellaneous expenses. The plan is expected to be completed in the third quarter of fiscal year 2018.</w:t>
      </w:r>
    </w:p>
    <w:p>
      <w:pPr>
        <w:spacing w:after="0" w:line="179" w:lineRule="exact"/>
        <w:rPr>
          <w:rFonts w:ascii="Times New Roman" w:cs="Times New Roman" w:eastAsia="Times New Roman" w:hAnsi="Times New Roman"/>
          <w:sz w:val="18"/>
          <w:szCs w:val="18"/>
          <w:color w:val="auto"/>
        </w:rPr>
      </w:pPr>
    </w:p>
    <w:p>
      <w:pPr>
        <w:ind w:left="660" w:right="380" w:hanging="328"/>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new product development process. </w:t>
      </w:r>
      <w:r>
        <w:rPr>
          <w:rFonts w:ascii="Times New Roman" w:cs="Times New Roman" w:eastAsia="Times New Roman" w:hAnsi="Times New Roman"/>
          <w:sz w:val="18"/>
          <w:szCs w:val="18"/>
          <w:color w:val="auto"/>
        </w:rPr>
        <w:t>The company introduced a robust product development process intended to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ability to bring new products to market.</w:t>
      </w:r>
    </w:p>
    <w:p>
      <w:pPr>
        <w:spacing w:after="0" w:line="158" w:lineRule="exact"/>
        <w:rPr>
          <w:rFonts w:ascii="Times New Roman" w:cs="Times New Roman" w:eastAsia="Times New Roman" w:hAnsi="Times New Roman"/>
          <w:sz w:val="18"/>
          <w:szCs w:val="18"/>
          <w:color w:val="auto"/>
        </w:rPr>
      </w:pPr>
    </w:p>
    <w:p>
      <w:pPr>
        <w:ind w:left="660" w:right="120" w:hanging="328"/>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Rationalization of underperforming or below-cost products</w:t>
      </w:r>
      <w:r>
        <w:rPr>
          <w:rFonts w:ascii="Times New Roman" w:cs="Times New Roman" w:eastAsia="Times New Roman" w:hAnsi="Times New Roman"/>
          <w:sz w:val="18"/>
          <w:szCs w:val="18"/>
          <w:color w:val="auto"/>
        </w:rPr>
        <w:t>. This initiative eliminated more than 900 SKUs and was partnered with a price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products that did not have a profitable cost structure.</w:t>
      </w:r>
    </w:p>
    <w:p>
      <w:pPr>
        <w:spacing w:after="0" w:line="158" w:lineRule="exact"/>
        <w:rPr>
          <w:rFonts w:ascii="Times New Roman" w:cs="Times New Roman" w:eastAsia="Times New Roman" w:hAnsi="Times New Roman"/>
          <w:sz w:val="18"/>
          <w:szCs w:val="18"/>
          <w:color w:val="auto"/>
        </w:rPr>
      </w:pPr>
    </w:p>
    <w:p>
      <w:pPr>
        <w:ind w:left="660" w:hanging="328"/>
        <w:spacing w:after="0" w:line="259"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members of the executive leadership team</w:t>
      </w:r>
      <w:r>
        <w:rPr>
          <w:rFonts w:ascii="Times New Roman" w:cs="Times New Roman" w:eastAsia="Times New Roman" w:hAnsi="Times New Roman"/>
          <w:sz w:val="18"/>
          <w:szCs w:val="18"/>
          <w:color w:val="auto"/>
        </w:rPr>
        <w:t>. Following his arrival in April 2016, President and Chief Executive Officer James C. Clemmer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welcomed several members to the AngioDynamics leadership team, including Executive Vice President and Chief Financial Officer Michael C. Greiner, Senior Vice President of Quality and Regulatory Affairs Warren G. Nighan, Senior Vice President and General Manager of the Vascular Access Global Business Unit Chad T. Campbell, Senior Vice President and General Manager of the Peripheral Vascular Global Business Unit Robert A. Simpson and Senior Vice President of Human Resources Heather J. Daniels Cariveau.</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deliberate actions taken by management as listed above, several significant developments occurred over the course of the fiscal year which impacted our business, including:</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 added two members to the Board of Directors, Eileen Auen and Jan Reed. Auen most recently served as Executive Chairman of Helios, a $1 billion healthcare services firm. Reed most recently was Senior Vice President, General Counsel and Corporate Secretary at Walgreens Boots Alliance.</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made the decision to discontinue its investment in the TiLo product that was acquired in August 2013 as part of the Clinical Devices acquisition. This decision resulted in the write-off of the acquired in-process research and development (IPR&amp;D) of $3.6 million along with a $3.1 million gain from the reduction in the fair value of contingent consideration liability associated with future milestones that will no longer be met.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580" w:right="279" w:bottom="1440" w:gutter="0" w:footer="0" w:header="0"/>
        </w:sectPr>
      </w:pPr>
    </w:p>
    <w:bookmarkStart w:id="41" w:name="page42"/>
    <w:bookmarkEnd w:id="41"/>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revised the sales projections for the AngioVac product as a result of reviews performed by executive management across all products. The adjustments to the sales projections resulted in a $13.4 million gain from the reduction in the fair value of the contingent liability that is based on lower projected sales volume over the contractual earn out period.</w:t>
      </w:r>
    </w:p>
    <w:p>
      <w:pPr>
        <w:spacing w:after="0" w:line="176"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decided to terminate its agreements with EmboMedics. The termination of these agreements resulted in a write-off of the initial $2.0 million investment in EmboMedics (Note 2).</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approved a share repurchase program (the “Repurchase Program”) under which they authorized the Company the option to repurchase up to $25.0 million of its outstanding common stock during the twenty-four month period ending November 6, 2018. During the second and fourth quarter of fiscal year 2017, the Company repurchased a total of 870,000 shares of common stock in the open market at an aggregate cost of $13.6 million under the Repurchase Program.</w:t>
      </w:r>
    </w:p>
    <w:p>
      <w:pPr>
        <w:spacing w:after="0" w:line="35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entered into a new credit agreement ("Credit Agreement") which provides for a $100.0 million senior secured term loan facility ("Term Loan") and a $150.0 million senior secured revolving credit facility ("Revolving Facility", and together with the Term Loan, "The Facilities") along with up to a $20.0 million sublimit for letters of credit and a $5.0 million limit for swing line loans. With the proceeds from the Credit Agreement, the existing credit facility that was entered into in September 2013 was paid down in full.</w:t>
      </w:r>
    </w:p>
    <w:p>
      <w:pPr>
        <w:spacing w:after="0" w:line="180"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Company announced to employees an Operational Consolidation strategy which included the consolidation of the Manchester, GA and Denmead, UK facilities into the Glens Falls and Queensbury, NY manufacturing facilities. As part of the plan, the Company expects to incur restructuring expenses, including severance and retention, equipment transfer, set-up and purchases, regulatory expenses, lease termination expenses and other miscellaneous expenses. The plan is expected to be completed in the third quarter of fiscal year 2018.</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Following completion of the sale of common stock pursuant to the Underwriting Agreement, Avista Capital Partners’ beneficial ownership in AngioDynamics has been reduced to zero as they sold their entire position in AngioDynamics. As a result, in accordance with the terms of his appointment to AngioDynamics’ Board of Directors and the terms of the Stockholders Agreement, David Burgstahler resigned as a director on April 12, 2017.</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filed a lawsuit alleging that C.R. Bard has violated federal antitrust laws by illegally tying the sale of its tip location systems to its line of peripherally inserted central catheters. The Company claims that these actions by Bard are preventing competition in the marketplace and limiting patient access to superior technology.</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issued a voluntary recall of its Acculis probes that were sold over the past two years. As a result of this voluntary recall, the company decided to also do a voluntary market withdrawal of its Acculis capital systems and discontinue selling the product. The voluntary recall resulted in a deferral of revenue of $2.6 million and an increase of $2.6 million in inventory and hardware asset reserves. The total impact to income before taxes of the recall was $4.5 million. Additional costs will be incurred in fiscal year 2018 related to the market withdrawal of the Acculis capital systems.</w:t>
      </w:r>
    </w:p>
    <w:p>
      <w:pPr>
        <w:spacing w:after="0" w:line="180"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received notification in the fourth quarter of 2017 that a $1.8 million refund from the Internal Revenue Service related to prior medical device taxes paid would be received.</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May 31, 2017 the Company accrued $12.5 million for these matters and in August 2017, the Company agreed in principle with the government to resolve these matters for approximately $12.5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Use of Non-GAAP Measures</w:t>
      </w:r>
    </w:p>
    <w:p>
      <w:pPr>
        <w:spacing w:after="0" w:line="229"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Net sales “on a constant currency basis” is a non-GAAP measure. The Company analyzes net sales on a constant currency basis to better measure the comparability of results between periods. Because changes in foreign currency exchange rates have a non-operating impact on net sales, the Company believes that evaluating growth in net sales on a constant currency basis provides an additional and meaningful assessment of net sales to both management and the company’s investors. Constant currency growth rates are calculated by subtracting the current period's local currency sales at the prior period’s exchange rate from the current period’s local currency sales at the current period’s exchange rate.</w:t>
      </w:r>
    </w:p>
    <w:p>
      <w:pPr>
        <w:spacing w:after="0" w:line="18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Constant currency growth rates are not indicative of changes in corresponding cash flows. The limitation of these non-GAAP measures is that they do not reflect results on a standardized reporting basis. Non-GAAP measures are intended to supplement the applicable GAAP disclosures and should not be viewed as replacements of GAAP results.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9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Use of Estimates</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summarized in Note 1 to Notes to Consolidated Financial Statements included elsewhere in this Annual Report on Form 10-K. While all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The accounting policies identified as critical are as follows: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color w:val="auto"/>
        </w:rPr>
        <w:t>We recognize revenue in accordance with generally accepted accounting principles as outlined in the SEC’s authoritative guidance on revenue recognition which requires that four criteria be met before revenue can be recognized: (i) persuasive evidence that an arrangement exists; (ii) the price is fixed or determinable; (iii) collectability is reasonably assured; and (iv) product delivery has occurred or services have been rendered. Decisions relative to criterion</w:t>
      </w:r>
    </w:p>
    <w:p>
      <w:pPr>
        <w:spacing w:after="0" w:line="2" w:lineRule="exact"/>
        <w:rPr>
          <w:sz w:val="20"/>
          <w:szCs w:val="20"/>
          <w:color w:val="auto"/>
        </w:rPr>
      </w:pPr>
    </w:p>
    <w:p>
      <w:pPr>
        <w:ind w:right="120" w:firstLine="8"/>
        <w:spacing w:after="0" w:line="269" w:lineRule="auto"/>
        <w:tabs>
          <w:tab w:leader="none" w:pos="3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regarding collectability are based upon our judgments, as discussed under “Accounts Receivable” in Note 1, and should conditions change in the future and cause us to determine this criterion is not met; our results of operations may be affected. We recognize revenue, net of sales taxes assessed by any governmental authority, as products are shipped, based on F.O.B. shipping point terms when title and risk of loss passes to customers. We negotiate shipping and credit terms on a customer-by-customer basis and products are shipped at an agreed upon price. All product returns must be pre-approved by us and customers may be subject to a 20% restocking charge. To be accepted, a returned product must be unadulterated, undamaged and have at least 12 months remaining prior to its expiration date. Charges for discounts, returns, rebates and other allowances are recognized as a deduction from revenue on an accrual basis in the period in which the revenue is recorded. The accrual for product returns, discounts and other allowances is based on the Company’s history.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60" w:firstLine="392"/>
        <w:spacing w:after="0" w:line="258" w:lineRule="auto"/>
        <w:rPr>
          <w:sz w:val="20"/>
          <w:szCs w:val="20"/>
          <w:color w:val="auto"/>
        </w:rPr>
      </w:pPr>
      <w:r>
        <w:rPr>
          <w:rFonts w:ascii="Times New Roman" w:cs="Times New Roman" w:eastAsia="Times New Roman" w:hAnsi="Times New Roman"/>
          <w:sz w:val="18"/>
          <w:szCs w:val="18"/>
          <w:color w:val="auto"/>
        </w:rPr>
        <w:t>We calculate income tax expense for each jurisdiction in which we operate. This involves estimating actual current taxes due plus assessing temporary differences arising from differing treatment for tax and accounting purposes that are recorded as deferred tax assets and liabilities. We periodically evaluate deferred tax assets, capital loss carryforwards and tax credit carryforwards to determine their recoverability based primarily on our ability to generate future taxable income and capital gains. Where it is more-likely-than-not these will not be recovered, we estimate a valuation allowance and record a corresponding additional tax expense in our statement of operations.</w:t>
      </w:r>
    </w:p>
    <w:p>
      <w:pPr>
        <w:spacing w:after="0" w:line="184" w:lineRule="exact"/>
        <w:rPr>
          <w:sz w:val="20"/>
          <w:szCs w:val="20"/>
          <w:color w:val="auto"/>
        </w:rPr>
      </w:pPr>
    </w:p>
    <w:p>
      <w:pPr>
        <w:ind w:right="80" w:firstLine="392"/>
        <w:spacing w:after="0" w:line="258"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various state and foreign jurisdictions. In the normal course of business we are subject to examination by taxing authorities throughout the world. Fiscal years 2014 through 2017 remain open to examination by the various tax authorities. We analyzed filing positions in all of the Federal and state jurisdictions where we are required to file income taxes, as well as all open tax years in these jurisdictions and believe that our income tax filing positions and deductions will be sustained on audit and we do not anticipate any adjustments will result in a material adverse effect on our financial condition, results of operations or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Contingent Consideration</w:t>
      </w:r>
    </w:p>
    <w:p>
      <w:pPr>
        <w:spacing w:after="0" w:line="227" w:lineRule="exact"/>
        <w:rPr>
          <w:sz w:val="20"/>
          <w:szCs w:val="20"/>
          <w:color w:val="auto"/>
        </w:rPr>
      </w:pPr>
    </w:p>
    <w:p>
      <w:pPr>
        <w:ind w:right="260" w:firstLine="432"/>
        <w:spacing w:after="0" w:line="258" w:lineRule="auto"/>
        <w:rPr>
          <w:sz w:val="20"/>
          <w:szCs w:val="20"/>
          <w:color w:val="auto"/>
        </w:rPr>
      </w:pPr>
      <w:r>
        <w:rPr>
          <w:rFonts w:ascii="Times New Roman" w:cs="Times New Roman" w:eastAsia="Times New Roman" w:hAnsi="Times New Roman"/>
          <w:sz w:val="18"/>
          <w:szCs w:val="18"/>
          <w:color w:val="auto"/>
        </w:rPr>
        <w:t>In a business combination, the acquisition method of accounting requires that the identifiable assets acquired and liabilities assumed be measured at their fair value, with goodwill being the excess value of consideration paid over the fair value of the net identifiable assets acquired. IP R&amp;D is capitalized and recorded as an indefinite-lived intangible asset at the acquisition date, contingent consideration is recorded at fair value at the acquisition date, and transaction costs are expensed as incurred. When the Company acquires net assets that are not accounted for as a business combination, no goodwill is recognized.</w:t>
      </w:r>
    </w:p>
    <w:p>
      <w:pPr>
        <w:spacing w:after="0" w:line="184" w:lineRule="exact"/>
        <w:rPr>
          <w:sz w:val="20"/>
          <w:szCs w:val="20"/>
          <w:color w:val="auto"/>
        </w:rPr>
      </w:pPr>
    </w:p>
    <w:p>
      <w:pPr>
        <w:jc w:val="both"/>
        <w:ind w:right="540"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liability for contingent consideration recorded on the acquisition date is based on probability weighted estimated cash flow streams, discounted back to present value using a discount rate determined in accordance with accepted valuation methods. The liability for contingent consideration is remeasured to fair value at each reporting period with changes recorded in earnings until the contingency is resolved.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27"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Intangible assets other than goodwill, indefinite lived intangible assets and in process research and development ("IP R&amp;D") are amortized over their estimated useful lives, which range between two to eighteen years, on either a straight-line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576" w:right="259" w:bottom="1440" w:gutter="0" w:footer="0" w:header="0"/>
        </w:sectPr>
      </w:pPr>
    </w:p>
    <w:bookmarkStart w:id="43" w:name="page44"/>
    <w:bookmarkEnd w:id="43"/>
    <w:p>
      <w:pPr>
        <w:ind w:right="80"/>
        <w:spacing w:after="0" w:line="261" w:lineRule="auto"/>
        <w:rPr>
          <w:sz w:val="20"/>
          <w:szCs w:val="20"/>
          <w:color w:val="auto"/>
        </w:rPr>
      </w:pPr>
      <w:r>
        <w:rPr>
          <w:rFonts w:ascii="Times New Roman" w:cs="Times New Roman" w:eastAsia="Times New Roman" w:hAnsi="Times New Roman"/>
          <w:sz w:val="18"/>
          <w:szCs w:val="18"/>
          <w:color w:val="auto"/>
        </w:rPr>
        <w:t>basis over the expected period of benefit or as revenues are earned from the sales of the related products. We periodically review the estimated useful lives of our intangible assets and review such assets for impairment whenever events or changes in circumstances indicate that the carrying value of the assets may not be recoverable. If an intangible asset is considered to be impaired, the amount of the impairment will equal the excess of the carrying value over the fair value of the asset.</w:t>
      </w:r>
    </w:p>
    <w:p>
      <w:pPr>
        <w:spacing w:after="0" w:line="180"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Acquired IP R&amp;D is not amortized until completion and development of the project, at which time the IP R&amp;D becomes an amortizable asset with an appropriate useful life and an amortization method is determined. If the related project is not completed in a timely manner or the project is terminated or abandoned, we may have an impairment related to the IP R&amp;D, calculated as the excess of the asset’s carrying value over its fair value.</w:t>
      </w:r>
    </w:p>
    <w:p>
      <w:pPr>
        <w:spacing w:after="0" w:line="1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policy defines IP R&amp;D as the value assigned to those projects for which the related products have not received regulatory approval and have no alternative future use. Determining the portion of the purchase price allocated to IP R&amp;D requires us to make significant estimates. The amount of the purchase price allocated to IP R&amp;D is determined by estimating the future cash flows of each project or technology and discounting the net cash flows back to their present values. The discount rate used is determined at the time of measurement in accordance with accepted valuation methods. These methodologies include consideration of the risk of the project not achieving commercial feasibility.</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80"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For goodwill, the impairment test requires a comparison of the estimated fair value of the reporting unit to which the goodwill is assigned to the sum of the carrying value of the assets and liabilities of that unit. The determination of reporting units also requires management judgment. We consider whether a reporting unit exists within a reportable segment based on the availability of discrete financial information that is regularly reviewed by segment management. If the sum of the carrying value of the assets and liabilities of a reporting unit exceeds the fair value of the reporting unit, the carrying value of the reporting unit’s goodwill is reduced to its implied fair value through an adjustment to the goodwill balance, resulting in an impairment charge. The Company utilizes either discounted cash flow models or other valuation models, such as comparative transactions and market multiples, to determine the fair value of our reporting unit. We must make assumptions about future cash flows, future operating plans, discount rates, comparable companies, market multiples, purchase price premiums and other factors in those models. Different assumptions and judgment determinations could yield different conclusions that would result in an impairment charge to income in the period that such change or determination was made.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260" w:firstLine="432"/>
        <w:spacing w:after="0" w:line="253" w:lineRule="auto"/>
        <w:rPr>
          <w:sz w:val="20"/>
          <w:szCs w:val="20"/>
          <w:color w:val="auto"/>
        </w:rPr>
      </w:pPr>
      <w:r>
        <w:rPr>
          <w:rFonts w:ascii="Times New Roman" w:cs="Times New Roman" w:eastAsia="Times New Roman" w:hAnsi="Times New Roman"/>
          <w:sz w:val="18"/>
          <w:szCs w:val="18"/>
          <w:color w:val="auto"/>
        </w:rPr>
        <w:t>We are involved, both as a plaintiff and a defendant, in various legal proceedings that arise in the ordinary course of business, including patent infringement and product liability, as further discussed in Note 15 to our consolidated financial statements. Accruals recorded for various contingencies including legal proceedings, self insurance and other claims, are based on judgment, the probability of losses and, where applicable, the consideration of opinions of internal and/or external legal counsel, internal and/or external technical consultants and actuarially determined estimates. When a range is established but a best estimate cannot be made, we record the minimum loss contingency amount, which could be zero. An estimate is often initially developed substantially earlier than the ultimate loss is known and is reevaluated each accounting period.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 We record receivables from third-party insurers up to the amount of the related liability when we have determined that existing insurance policies will provide reimbursement. In making this determination, we consider applicable deductibles, policy limits and the historical payment experience of the insurance carriers. Receivables are not netted against the related liabilities for financial statement presentation.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May 31, 2017 and 2016</w:t>
      </w:r>
    </w:p>
    <w:p>
      <w:pPr>
        <w:spacing w:after="0" w:line="229"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For the fiscal year ended May 31, 2017, we reported net income of $5.0 million, or $0.14 income per diluted share, on net sales of $349.6 million compared to a fiscal 2016 net loss of $43.6 million, or $1.21 loss per diluted share, on net sales of $353.9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the year ended May 31, 2017 and 2016 were: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For the year ended May 31,</w:t>
            </w:r>
          </w:p>
        </w:tc>
        <w:tc>
          <w:tcPr>
            <w:tcW w:w="13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w:t>
            </w: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Impact (Pos)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Growth Non-</w:t>
            </w:r>
          </w:p>
        </w:tc>
      </w:tr>
      <w:tr>
        <w:trPr>
          <w:trHeight w:val="256"/>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Growth</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Neg</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GAAP</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by Product Category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Peripheral Vascular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208,602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205,620</w:t>
            </w:r>
          </w:p>
        </w:tc>
        <w:tc>
          <w:tcPr>
            <w:tcW w:w="13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96,481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99,375</w:t>
            </w:r>
          </w:p>
        </w:tc>
        <w:tc>
          <w:tcPr>
            <w:tcW w:w="13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Oncology/Surgery</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44,560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48,895</w:t>
            </w:r>
          </w:p>
        </w:tc>
        <w:tc>
          <w:tcPr>
            <w:tcW w:w="13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349,643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353,890</w:t>
            </w:r>
          </w:p>
        </w:tc>
        <w:tc>
          <w:tcPr>
            <w:tcW w:w="13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by Geography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282,168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285,824</w:t>
            </w:r>
          </w:p>
        </w:tc>
        <w:tc>
          <w:tcPr>
            <w:tcW w:w="13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67,475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68,066</w:t>
            </w:r>
          </w:p>
        </w:tc>
        <w:tc>
          <w:tcPr>
            <w:tcW w:w="13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349,643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353,890</w:t>
            </w:r>
          </w:p>
        </w:tc>
        <w:tc>
          <w:tcPr>
            <w:tcW w:w="13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year ended May 31, 2017, net sales decreased $4.2 million to $349.6 million compared to the year ended May 31, 2016.</w:t>
      </w:r>
    </w:p>
    <w:p>
      <w:pPr>
        <w:spacing w:after="0" w:line="225" w:lineRule="exact"/>
        <w:rPr>
          <w:sz w:val="20"/>
          <w:szCs w:val="20"/>
          <w:color w:val="auto"/>
        </w:rPr>
      </w:pPr>
    </w:p>
    <w:p>
      <w:pPr>
        <w:ind w:left="660" w:right="2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and U.S. net sales decreased from the prior year as a result of decreased net sales from Vascular Access and Oncology Surgery. This decrease was partially offset by 1% year over year growth in our Peripheral Vascular franchise.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Peripheral Vascular</w:t>
      </w:r>
    </w:p>
    <w:p>
      <w:pPr>
        <w:spacing w:after="0" w:line="225" w:lineRule="exact"/>
        <w:rPr>
          <w:sz w:val="20"/>
          <w:szCs w:val="20"/>
          <w:color w:val="auto"/>
        </w:rPr>
      </w:pPr>
    </w:p>
    <w:p>
      <w:pPr>
        <w:ind w:left="660" w:right="140" w:hanging="328"/>
        <w:spacing w:after="0" w:line="25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Peripheral Vascular sales increased $3.0 million primarily attributable to increased sales volume of Angiographic and Core products of $9.9 million. This increased sales volume was partially offset by a decrease of volume in Fluid Management, Venous and AngioVac of $5.6 million. The decrease in Fluid Management was attributed to a discontinuance of our inflation device and automation challenges in the European markets. Although AngioVac procedures were up year over year, AngioVac unit sales decreased by $1.4 million due to available inventory already in the market place.</w:t>
      </w:r>
    </w:p>
    <w:p>
      <w:pPr>
        <w:spacing w:after="0" w:line="3" w:lineRule="exact"/>
        <w:rPr>
          <w:rFonts w:ascii="Times New Roman" w:cs="Times New Roman" w:eastAsia="Times New Roman" w:hAnsi="Times New Roman"/>
          <w:sz w:val="18"/>
          <w:szCs w:val="18"/>
          <w:color w:val="auto"/>
        </w:rPr>
      </w:pPr>
    </w:p>
    <w:p>
      <w:pPr>
        <w:jc w:val="both"/>
        <w:ind w:left="660" w:right="28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Peripheral Vascular sales increased $2.8 million and international Peripheral Vascular sales increased $0.2 million which was primarily due to increased sales volume of Angiographic catheters. This increased sales volume was offset by a decrease in volume in Fluid Management, Venous and AngioVac.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Vascular Access</w:t>
      </w:r>
    </w:p>
    <w:p>
      <w:pPr>
        <w:spacing w:after="0" w:line="225" w:lineRule="exact"/>
        <w:rPr>
          <w:sz w:val="20"/>
          <w:szCs w:val="20"/>
          <w:color w:val="auto"/>
        </w:rPr>
      </w:pPr>
    </w:p>
    <w:p>
      <w:pPr>
        <w:ind w:left="660" w:right="14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Vascular Access sales decreased $2.9 million primarily in our non-BioFlo businesses. Our BioFlo product line grew by $4.8 million primarily driven by growth in Midlines.</w:t>
      </w:r>
    </w:p>
    <w:p>
      <w:pPr>
        <w:ind w:left="660" w:right="10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Vascular Access sales declined by 5% due to softness across the portfolio offset by Midline and BioFlo dialysis which continued to gain traction in the marketplace.</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Vascular Access sales increased 15% due to the market penetration of BioFlo PICCs.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Oncology/Surgery</w:t>
      </w:r>
    </w:p>
    <w:p>
      <w:pPr>
        <w:spacing w:after="0" w:line="225" w:lineRule="exact"/>
        <w:rPr>
          <w:sz w:val="20"/>
          <w:szCs w:val="20"/>
          <w:color w:val="auto"/>
        </w:rPr>
      </w:pPr>
    </w:p>
    <w:p>
      <w:pPr>
        <w:ind w:left="660" w:right="3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Oncology/Surgery sales decreased $4.3 million year over year primarily due to fewer sales of capital units in Microwave and NanoKnife as well as the $2.6 million deferral of revenue related to the Acculis probe recall that was announced in the fourth quarter of fiscal year 2017.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sectPr>
      </w:pPr>
    </w:p>
    <w:bookmarkStart w:id="45" w:name="page46"/>
    <w:bookmarkEnd w:id="45"/>
    <w:p>
      <w:pPr>
        <w:ind w:left="660" w:right="100" w:hanging="328"/>
        <w:spacing w:after="0" w:line="25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Oncology/Surgery declined by 8%, driven primarily through lower capital and disposable sales in Radio Frequency and Microwave offset by NanoKnife growth. The decrease is also attributed to a $1.4 million deferral of revenue related to the Acculis probe recall that was announced in the fourth quarter of fiscal year 2017.</w:t>
      </w:r>
    </w:p>
    <w:p>
      <w:pPr>
        <w:spacing w:after="0" w:line="1"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Oncology/Surgery sales decreased 10% year over year as a result of lower NanoKnife capital and disposable sales and a $1.2 million deferral of revenue related to the Acculis probe recall that was announced in the fourth quarter of fiscal year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Operating expenses, and Other income (expense)</w:t>
      </w:r>
    </w:p>
    <w:p>
      <w:pPr>
        <w:spacing w:after="0" w:line="17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34290</wp:posOffset>
            </wp:positionV>
            <wp:extent cx="2452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 Change</w:t>
            </w:r>
          </w:p>
        </w:tc>
      </w:tr>
      <w:tr>
        <w:trPr>
          <w:trHeight w:val="249"/>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(exclusive of intangible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by $1.9 million compared to the prior year. The increase is attributable to the following:</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2017, a net charge of $4.5 million was recorded as a result of the Acculis probe recall.</w:t>
      </w:r>
    </w:p>
    <w:p>
      <w:pPr>
        <w:spacing w:after="0" w:line="2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2016, a $5.9 million charge related to the write-off of Celerity inventory on hand and hardware assets after the business decision to no longer pursue the Celerity Navigation project.</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increase is driven by net productivity offset by price and mix of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gross profit as a percentage of 1.1% is attributed to the factors noted above.</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 Research and development (“R&amp;D”) expenses include internal and external costs to develop new products, enhance existing products, validate new and enhanced products, manage clinical, regulatory and medical affairs.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increased $0.2 million compared to the prior year. The increase is attributable to the following:</w:t>
      </w:r>
    </w:p>
    <w:p>
      <w:pPr>
        <w:spacing w:after="0" w:line="225" w:lineRule="exact"/>
        <w:rPr>
          <w:sz w:val="20"/>
          <w:szCs w:val="20"/>
          <w:color w:val="auto"/>
        </w:rPr>
      </w:pPr>
    </w:p>
    <w:p>
      <w:pPr>
        <w:ind w:left="660" w:right="8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headcount in the R&amp;D department compared to the prior year resulted in $1.2 million in additional expense as well as expenses associated with consultants of $0.6 million and severance of $0.4 million.</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increases were partially offset by less project spend of $1.2 million, $0.6 million in samples and $0.2 million in travel and other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 as a percentage of sales remained consistent year over year.</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expenses</w:t>
      </w:r>
      <w:r>
        <w:rPr>
          <w:rFonts w:ascii="Times New Roman" w:cs="Times New Roman" w:eastAsia="Times New Roman" w:hAnsi="Times New Roman"/>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 decreased by $4.9 million compared to the prior year. The decrease is attributable to the following:</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decrease in headcount from the prior year which resulted in a $2.5 million decrease in salaries and benefits.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headcount along with a focus on reduced travel spend resulted in a decrease in travel expenses of $1.3 million.</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$0.7 million decrease in trade shows and meeting expenses along with a $0.7 million decrease in samples as a result of a focus on reducing expenses.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decreases were partially offset by severance of $0.8 million.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6" w:name="page47"/>
    <w:bookmarkEnd w:id="46"/>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these decreases in S&amp;M expenses, the percentage of S&amp;M to sales decreased 1.2%.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 expense increased by $0.8 million compared to the prior year. The increase is attributable to the following:</w:t>
      </w:r>
    </w:p>
    <w:p>
      <w:pPr>
        <w:spacing w:after="0" w:line="225" w:lineRule="exact"/>
        <w:rPr>
          <w:sz w:val="20"/>
          <w:szCs w:val="20"/>
          <w:color w:val="auto"/>
        </w:rPr>
      </w:pPr>
    </w:p>
    <w:p>
      <w:pPr>
        <w:jc w:val="both"/>
        <w:ind w:left="660" w:right="20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stock based compensation expense related to the new grant for the CEO along with two new board members of $1.7 million. Along with the stock based compensation increase, bonus for fiscal year 2017 was accrued at a higher rate than the prior year which resulted in a $1.0 million increase to G&amp;A expense.</w:t>
      </w:r>
    </w:p>
    <w:p>
      <w:pPr>
        <w:spacing w:after="0" w:line="1"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the appointment of new members in the executive leadership team, recruiting and relocation expenses resulted in an increase of $0.5 million from the prior year</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also an increase in professional fees of $0.3 million related to audit fees and director fees partially offset by a decrease in legal fees.</w:t>
      </w:r>
    </w:p>
    <w:p>
      <w:pPr>
        <w:spacing w:after="0" w:line="9"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increases were partially offset by decreases in compensation benefits of $0.5 million as a result of a reduction in benefit claims, depreciation expense of $0.8 million, $0.2 million in facilities expenses including insurance, lease expenses and utilities, bad debt favorability of $0.4 million and other miscellaneous decreases in expenses of $0.4 million.</w:t>
      </w:r>
    </w:p>
    <w:p>
      <w:pPr>
        <w:spacing w:after="0" w:line="348"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34290</wp:posOffset>
            </wp:positionV>
            <wp:extent cx="2306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 Change</w:t>
            </w:r>
          </w:p>
        </w:tc>
      </w:tr>
      <w:tr>
        <w:trPr>
          <w:trHeight w:val="24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device excise tax</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of $0.7 million is primarily related to intangible assets that became fully amortized.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62" w:lineRule="exact"/>
        <w:rPr>
          <w:sz w:val="20"/>
          <w:szCs w:val="20"/>
          <w:color w:val="auto"/>
        </w:rPr>
      </w:pPr>
    </w:p>
    <w:p>
      <w:pPr>
        <w:ind w:left="660" w:right="3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is due to a write-off of $13.4 million that was taken on the AngioVac product as a result of decreases in future sales projections that eliminated any payments above minimums and a write-off of $3.1 million on the TiLo product as the milestone will not be achieved. This was partially offset by normal amortization of the present value discount on the contingent liabilities.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restructuring and other items, net increased by $14.9 million compared to the prior year. The increase is attributable to the following:</w:t>
      </w:r>
    </w:p>
    <w:p>
      <w:pPr>
        <w:spacing w:after="0" w:line="225" w:lineRule="exact"/>
        <w:rPr>
          <w:sz w:val="20"/>
          <w:szCs w:val="20"/>
          <w:color w:val="auto"/>
        </w:rPr>
      </w:pPr>
    </w:p>
    <w:p>
      <w:pPr>
        <w:ind w:left="660" w:right="140" w:hanging="328"/>
        <w:spacing w:after="0" w:line="25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Q2 fiscal year 2017, the intangible assets associated with TiLo were written off for $3.6 million as a result of the decision to discontinue our investment in the TiLo product along with a $2.0 million write-off of the investment in Embomedics due to termination of the agreement. The prior year had asset impairments of $0.4 million.</w:t>
      </w:r>
    </w:p>
    <w:p>
      <w:pPr>
        <w:spacing w:after="0" w:line="1" w:lineRule="exact"/>
        <w:rPr>
          <w:rFonts w:ascii="Times New Roman" w:cs="Times New Roman" w:eastAsia="Times New Roman" w:hAnsi="Times New Roman"/>
          <w:sz w:val="18"/>
          <w:szCs w:val="18"/>
          <w:color w:val="auto"/>
        </w:rPr>
      </w:pPr>
    </w:p>
    <w:p>
      <w:pPr>
        <w:ind w:left="660" w:right="220" w:hanging="328"/>
        <w:spacing w:after="0" w:line="277"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was $1.3 million of expense related to the plant consolidation which consisted mainly of severance and start-up costs to move the product lines including equipment transfer expenses, accelerated depreciation for assets that will not be transferred, validation and other start up costs. The prior year had accelerated depreciation related to the Operational Excellence program of $1.0 million along with $0.5 million in other expenses.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80" w:right="239" w:bottom="1440" w:gutter="0" w:footer="0" w:header="0"/>
        </w:sectPr>
      </w:pPr>
    </w:p>
    <w:bookmarkStart w:id="47" w:name="page48"/>
    <w:bookmarkEnd w:id="47"/>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litigation settlement accrual for $12.5 million was recorded in the fourth quarter of fiscal year 2017.</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expenses of $7.0 million which was a decrease of $0.5 million from the prior year.</w:t>
      </w:r>
    </w:p>
    <w:p>
      <w:pPr>
        <w:spacing w:after="0" w:line="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miscellaneous items decreased $2.2 million from the prior year primarily attributable to a decrease in M&amp;A expenses of $2.5 million offset by a gain in the prior year of $0.7 million related to the modification of stock based compensation awards for the former CEO.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Medical device excise tax</w:t>
      </w:r>
      <w:r>
        <w:rPr>
          <w:rFonts w:ascii="Times New Roman" w:cs="Times New Roman" w:eastAsia="Times New Roman" w:hAnsi="Times New Roman"/>
          <w:sz w:val="18"/>
          <w:szCs w:val="18"/>
          <w:color w:val="auto"/>
        </w:rPr>
        <w:t xml:space="preserve"> - Medical device excise tax is assessed on our U.S. product sales subject to exclusions and adjustments.</w:t>
      </w:r>
    </w:p>
    <w:p>
      <w:pPr>
        <w:spacing w:after="0" w:line="225" w:lineRule="exact"/>
        <w:rPr>
          <w:sz w:val="20"/>
          <w:szCs w:val="20"/>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Excise Tax was suspended on January 1, 2016 therefore, fiscal year 2016 had seven months of the tax. In the current year, there is a $1.8 million refund from the Internal Revenue Service related to prior medical device taxes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expenses</w:t>
      </w:r>
      <w:r>
        <w:rPr>
          <w:rFonts w:ascii="Times New Roman" w:cs="Times New Roman" w:eastAsia="Times New Roman" w:hAnsi="Times New Roman"/>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jc w:val="both"/>
        <w:ind w:left="660" w:right="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other expenses of $1.2 million was due to lower interest expense on lower outstanding debt and lower interest rates under the Credit Agreement along with unrealized foreign currency gains from re-measurement offset by the write off of the deferred financing fees from the original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7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For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16376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2016</w:t>
            </w:r>
          </w:p>
        </w:tc>
      </w:tr>
      <w:tr>
        <w:trPr>
          <w:trHeight w:val="249"/>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40.3</w:t>
            </w:r>
          </w:p>
        </w:tc>
      </w:tr>
      <w:tr>
        <w:trPr>
          <w:trHeight w:val="24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r>
    </w:tbl>
    <w:p>
      <w:pPr>
        <w:spacing w:after="0" w:line="22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 was 49% for fiscal 2017 compared with (1,240)% for the prior year. The current year rate reflects expense of $4.8 million primarily driven by the impact of the US valuation allowance and the deferred tax liability related to intangibles that have an indefinite reversal period and cannot be used to support the deferred tax assets. The prior year rate primarily reflects income tax expense of $40.4 million related to full valuation allowance on our US net deferred tax assets that was established during fiscal 2016 and the deferred tax liability related to intangibles that have an indefinite reversal period and cannot be used to support the deferred tax assets.</w:t>
      </w:r>
    </w:p>
    <w:p>
      <w:pPr>
        <w:spacing w:after="0" w:line="18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At May 31, 2017, we had a net deferred tax liability of $26.1 million, after a valuation allowance on our US deferred tax assets of $48.3 million. The increase in the valuation allowance during fiscal 2017 was $6.1 million.</w:t>
      </w:r>
    </w:p>
    <w:p>
      <w:pPr>
        <w:spacing w:after="0" w:line="162"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if based upon the weight of available evidence, it is more likely than not that some or all of the deferred tax assets will not be realized. After careful consideration and weighing of all the available positive and negative evidence, the weight given to the three</w:t>
      </w:r>
    </w:p>
    <w:p>
      <w:pPr>
        <w:ind w:right="60"/>
        <w:spacing w:after="0" w:line="252" w:lineRule="auto"/>
        <w:rPr>
          <w:sz w:val="20"/>
          <w:szCs w:val="20"/>
          <w:color w:val="auto"/>
        </w:rPr>
      </w:pPr>
      <w:r>
        <w:rPr>
          <w:rFonts w:ascii="Times New Roman" w:cs="Times New Roman" w:eastAsia="Times New Roman" w:hAnsi="Times New Roman"/>
          <w:sz w:val="18"/>
          <w:szCs w:val="18"/>
          <w:color w:val="auto"/>
        </w:rPr>
        <w:t>year cumulative loss and lack of a recent history of core earnings was difficult to overcome and a full valuation allowance related to the U.S. deferred tax assets was established in the period ending May 31, 2016. Management considered all available positive and negative evidence at May 31, 2017, and considering the cumulative loss in the U.S. over the three year period, determined that the valuation allowance is still required. Management will continue to reevaluate the positive and negative evidence at each reporting period and if future results as projected in the U.S. and the Company's tax planning strategies are favorable, the valuation allowance may be removed, which could have a favorable material impact on the Company's results of operations in the period in which it is recorded.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May 31, 2016 and 2015</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For the fiscal year ended May 31, 2016, we reported net loss of $43.6 million, or $1.21 loss per basic and diluted common share, on net sales of $353.9 million compared to a fiscal 2015 net loss of $3.4 million, or $0.09 per basic and diluted common share, on net sales of $356.5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the year ended May 31, 2016 and 2015 were: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tbl>
      <w:tblPr>
        <w:tblLayout w:type="fixed"/>
        <w:tblInd w:w="4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For the year ended May 31,</w:t>
            </w:r>
          </w:p>
        </w:tc>
        <w:tc>
          <w:tcPr>
            <w:tcW w:w="132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w:t>
            </w: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Impact (Pos)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Growth Non-</w:t>
            </w:r>
          </w:p>
        </w:tc>
      </w:tr>
      <w:tr>
        <w:trPr>
          <w:trHeight w:val="25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Growth</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Neg</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GAAP</w:t>
            </w:r>
          </w:p>
        </w:tc>
      </w:tr>
      <w:tr>
        <w:trPr>
          <w:trHeight w:val="24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Product Category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Peripheral Vascular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205,620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196,890</w:t>
            </w:r>
          </w:p>
        </w:tc>
        <w:tc>
          <w:tcPr>
            <w:tcW w:w="13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Vascular Access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99,375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107,754</w:t>
            </w:r>
          </w:p>
        </w:tc>
        <w:tc>
          <w:tcPr>
            <w:tcW w:w="136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Oncology/Surgery</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51,890</w:t>
            </w:r>
          </w:p>
        </w:tc>
        <w:tc>
          <w:tcPr>
            <w:tcW w:w="13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353,890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356,534</w:t>
            </w:r>
          </w:p>
        </w:tc>
        <w:tc>
          <w:tcPr>
            <w:tcW w:w="136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11"/>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285,824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284,122</w:t>
            </w:r>
          </w:p>
        </w:tc>
        <w:tc>
          <w:tcPr>
            <w:tcW w:w="13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68,066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72,412</w:t>
            </w:r>
          </w:p>
        </w:tc>
        <w:tc>
          <w:tcPr>
            <w:tcW w:w="136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353,890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356,534</w:t>
            </w:r>
          </w:p>
        </w:tc>
        <w:tc>
          <w:tcPr>
            <w:tcW w:w="13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For year ended May 31, 2016, net sales decreased $2.6 million to $353.9 million compared to the year ended May 31, 2015. As shown in the table above, while consolidated net sales decreased by 1% excluding the negative impact from fluctuations in currency exchange rates, our sales were flat year over year. The decline in net sales from vascular access and oncology surgery was partially offset by 4% year over year growth in our peripheral vascular franchise. Our international sales were significantly impacted by unfavorable movement in currency exchange rates, particularly the Euro, British pound and Canadian dollar</w:t>
      </w:r>
    </w:p>
    <w:p>
      <w:pPr>
        <w:spacing w:after="0" w:line="18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Peripheral Vascular sales increased $8.7 million primarily attributable to increased sales of AngioVac, Core and Venus products. While Vascular Access sales decreased $8.4 million primarily in our non-BioFlo businesses, our BioFlo line of products continued to gain traction in the marketplace. Oncology/Surgery sales decreased $3.0 million primarily due to fewer capital sales across all product lines compared to prior year. This was partially offset by increases in the sales of disposables in our Microwave and NanoKnife product lines.</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U.S. sales increased $1.7 million due to growth in the Peripheral Vascular products, offset by a reduction in Vascular Access and Oncology/Surgery sales. While total US Vascular Access sales declined by $6.2 million overall, we saw growth in our U.S. BioFlo product lines of 18% year over year. U.S. Oncology/Surgery declined by $1.6 million, driven primarily through lower capital sales offset by growth in disposables. International sales decreased 2% on a constant-currency basis, due to a decline in Thermal Ablation and in the Vascular Access product 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Operating expenses, and Other income (expense)</w:t>
      </w:r>
    </w:p>
    <w:p>
      <w:pPr>
        <w:spacing w:after="0" w:line="17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34290</wp:posOffset>
            </wp:positionV>
            <wp:extent cx="2452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 Change</w:t>
            </w:r>
          </w:p>
        </w:tc>
      </w:tr>
      <w:tr>
        <w:trPr>
          <w:trHeight w:val="24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7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$1.5 million decrease compared to 2015 is primarily attributable to a $5.9 million charge related to the write-off of Celerity inventory on hand and hardware assets after the business decision to no longer pursue the Celerity Navigation project. The prior year gross profit included a $4.8 million charge related to the voluntary Morpheus recall.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42" w:right="239" w:bottom="1440" w:gutter="0" w:footer="0" w:header="0"/>
        </w:sectPr>
      </w:pPr>
    </w:p>
    <w:bookmarkStart w:id="49" w:name="page50"/>
    <w:bookmarkEnd w:id="49"/>
    <w:p>
      <w:pPr>
        <w:ind w:right="20" w:firstLine="405"/>
        <w:spacing w:after="0" w:line="261"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 Research and development (“R&amp;D”) expenses include internal and external costs to develop new products, enhance existing products, validate new and enhanced products, manage clinical, regulatory and medical affairs. The decrease in R&amp;D costs for the year ended May 31, 2016 is due to reductions in project spend and restructuring. As a percentage of net sales, R&amp;D expenses were 7.1% for fiscal 2016, compared to 7.5% for fiscal 2015.</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u w:val="single" w:color="auto"/>
          <w:color w:val="auto"/>
        </w:rPr>
        <w:t>Sales and marketing expenses</w:t>
      </w:r>
      <w:r>
        <w:rPr>
          <w:rFonts w:ascii="Times New Roman" w:cs="Times New Roman" w:eastAsia="Times New Roman" w:hAnsi="Times New Roman"/>
          <w:sz w:val="18"/>
          <w:szCs w:val="18"/>
          <w:color w:val="auto"/>
        </w:rPr>
        <w:t xml:space="preserve"> - Sales and marketing (“S&amp;M”) expenses consist primarily of salaries, commissions, travel and related business expenses, attendance at medical society meetings, product promotions and marketing activities. Increases in S&amp;M expense for the year ended May 31, 2016 is the result of investments made in the US sales force focused around retention and improved sales performance along with an increase in credit card fees. As a percentage of net sales, S&amp;M expenses were 23.7% for fiscal 2016 compared to 23.1% for fiscal 2015.</w:t>
      </w:r>
    </w:p>
    <w:p>
      <w:pPr>
        <w:spacing w:after="0" w:line="180"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Increases in G&amp;A expenses for the year ended May 31, 2016 are primarily the result of increased legal and audit fees.</w:t>
      </w:r>
    </w:p>
    <w:p>
      <w:pPr>
        <w:spacing w:after="0" w:line="200" w:lineRule="exact"/>
        <w:rPr>
          <w:sz w:val="20"/>
          <w:szCs w:val="20"/>
          <w:color w:val="auto"/>
        </w:rPr>
      </w:pPr>
    </w:p>
    <w:p>
      <w:pPr>
        <w:spacing w:after="0" w:line="27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34290</wp:posOffset>
            </wp:positionV>
            <wp:extent cx="2246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 Change</w:t>
            </w:r>
          </w:p>
        </w:tc>
      </w:tr>
      <w:tr>
        <w:trPr>
          <w:trHeight w:val="24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device excise tax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7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Amortization of intangibles for the year ended May 31, 2016 remained consistent with the prior year.</w:t>
      </w:r>
    </w:p>
    <w:p>
      <w:pPr>
        <w:spacing w:after="0" w:line="225"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 The decrease from the prior year is due to a $10.5 million gain recognized as a result of reducing the estimated present value of future payments due on earn-outs in the prior year compared to $1 million in gains in 2016. These gains were partially offset in each period by amortization of the present value discount on the contingent liabilities.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Expense for fiscal 2016 consists of $7.5 million of litigation expense, $2.5 million of M&amp;A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$1.9 million of severance, $0.7 million of a gain related to the modification of stock based compensation awards for the former CEO and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accelerated depreciation associated with our operational excellence program, and other miscellaneous items. Expense for fiscal 2015 consists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million of fixed and long-term asset impairments, $6.4 million of impairment on the NAMIC trademark, other costs associated with litigation, the recall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Morpheus, our operational excellence program, and other miscellaneous items. The impairment charges were primarily driven by a change in strategy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our fluid management product development pipeline, as we moved away from our planned design of an Automated Power Injector.</w:t>
      </w:r>
    </w:p>
    <w:p>
      <w:pPr>
        <w:spacing w:after="0" w:line="207"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u w:val="single" w:color="auto"/>
          <w:color w:val="auto"/>
        </w:rPr>
        <w:t>Medical device excise tax</w:t>
      </w:r>
      <w:r>
        <w:rPr>
          <w:rFonts w:ascii="Times New Roman" w:cs="Times New Roman" w:eastAsia="Times New Roman" w:hAnsi="Times New Roman"/>
          <w:sz w:val="18"/>
          <w:szCs w:val="18"/>
          <w:color w:val="auto"/>
        </w:rPr>
        <w:t xml:space="preserve"> - Medical device excise tax is assessed on our U.S. product sales subject to exclusions and adjustments. The decrease as compared to the prior year is attributable to the suspension of the medical device excise tax as of January 1, 2016.</w:t>
      </w:r>
    </w:p>
    <w:p>
      <w:pPr>
        <w:spacing w:after="0" w:line="162"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u w:val="single" w:color="auto"/>
          <w:color w:val="auto"/>
        </w:rPr>
        <w:t>Other expenses</w:t>
      </w:r>
      <w:r>
        <w:rPr>
          <w:rFonts w:ascii="Times New Roman" w:cs="Times New Roman" w:eastAsia="Times New Roman" w:hAnsi="Times New Roman"/>
          <w:sz w:val="18"/>
          <w:szCs w:val="18"/>
          <w:color w:val="auto"/>
        </w:rPr>
        <w:t xml:space="preserve"> - Other expenses include interest expense, foreign currency impacts, bank fees, and amortization of deferred financing costs. The increase in other expenses was primarily related to foreign currency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796"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31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For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34290</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2015</w:t>
            </w:r>
          </w:p>
        </w:tc>
      </w:tr>
      <w:tr>
        <w:trPr>
          <w:trHeight w:val="24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2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 was (1,240)% for fiscal 2016 compared with 58% for the prior year. The current year rate reflects expense of $40.4 million related to a full valuation allowance on our US net deferred tax assets. The prior year rate reflects the benefit of $9.2 million nontaxable adjustment to the contingent liabilities related to Vortex Medical and Clinical Devices, and a seven month benefit from the R&amp;D tax credit that expired on December 31, 2014, offset by non-deductible interest expense related to contingent payments, true-ups of our fiscal year 2014 US income tax returns and the impact of the elimination of the ASC 718 APIC pool.</w:t>
      </w:r>
    </w:p>
    <w:p>
      <w:pPr>
        <w:spacing w:after="0" w:line="184"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At May 31, 2016, we had a net deferred tax liability of $21.7 million, after recording a valuation allowance of $42.2 million. The increase in the valuation allowance was $40.4 million.</w:t>
      </w:r>
    </w:p>
    <w:p>
      <w:pPr>
        <w:spacing w:after="0" w:line="16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While the net deferred tax asset at May 31, 2016 before the valuation allowance was $19.9 million, the Company was required to record a valuation allowance of $40.4 million due to deferred tax liabilities related to intangibles of $20.5 million that have an indefinite reversal period and can not be used to support the deferred tax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cash and cash equivalents totaled $47.5 million as of May 31, 2017, compared with $32.3 million as of May 31, 2016. Marketable securities totaled $1.2 million and $1.7 million as of May 31, 2017 and 2016, respectively, and consist of auction rate securities. As of May 31, 2017, total debt outstanding was $97.5 million comprised of a term loan. The net debt to Consolidated EBITDA, as defined by the Credit Agreement (Note 11), is 1.4x. The fair value of contingent consideration liability as of May 31, 2017 was $12.8 million.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summarizes our cash flows for the years ended May 31, 2017, 2016 and 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color w:val="auto"/>
              </w:rPr>
              <w:t>For the year ended May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2015</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55,745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45,216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25,685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(7,569)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(23,663)</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15,211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13,942</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2,286</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twelve months ended May 31, 2017 and 2016, cash flows consisted of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operating activities</w:t>
      </w:r>
    </w:p>
    <w:p>
      <w:pPr>
        <w:spacing w:after="0" w:line="225" w:lineRule="exact"/>
        <w:rPr>
          <w:sz w:val="20"/>
          <w:szCs w:val="20"/>
          <w:color w:val="auto"/>
        </w:rPr>
      </w:pPr>
    </w:p>
    <w:p>
      <w:pPr>
        <w:ind w:left="1080" w:right="100" w:hanging="316"/>
        <w:spacing w:after="0" w:line="25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driven by higher gross margins, lower sales and marketing expenses as well as the medical device tax refund. Also impacting net income, were non-cash items which consisted of $15.3 million of contingent consideration gains, $2.0 million in the write-off of the Embomedics investment and $3.6 million in intangible write-offs related to TiLo. In addition, the prior year net income included a full valuation allowance on the Company's net operating losses.</w:t>
      </w:r>
    </w:p>
    <w:p>
      <w:pPr>
        <w:spacing w:after="0" w:line="2" w:lineRule="exact"/>
        <w:rPr>
          <w:rFonts w:ascii="Times New Roman" w:cs="Times New Roman" w:eastAsia="Times New Roman" w:hAnsi="Times New Roman"/>
          <w:sz w:val="18"/>
          <w:szCs w:val="18"/>
          <w:color w:val="auto"/>
        </w:rPr>
      </w:pPr>
    </w:p>
    <w:p>
      <w:pPr>
        <w:ind w:left="1080" w:right="60" w:hanging="316"/>
        <w:spacing w:after="0" w:line="25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working capital, the Company focused on optimizing both DSO and DPO which contributed to $15.2 million of working capital improvement. With respect to inventory, the $2.4 million reserve for Acculis inventory partially offset the inventory build related to the plant consolidation.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92"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225" w:lineRule="exact"/>
        <w:rPr>
          <w:sz w:val="20"/>
          <w:szCs w:val="20"/>
          <w:color w:val="auto"/>
        </w:rPr>
      </w:pPr>
    </w:p>
    <w:p>
      <w:pPr>
        <w:ind w:left="1080" w:hanging="316"/>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in fixed asset additions compared to fixed asset additions of $2.3 million in the prior year.</w:t>
      </w:r>
    </w:p>
    <w:p>
      <w:pPr>
        <w:spacing w:after="0" w:line="27"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 proceeds from an auction rate security that was called during fiscal year 2017.</w:t>
      </w:r>
    </w:p>
    <w:p>
      <w:pPr>
        <w:spacing w:after="0" w:line="9" w:lineRule="exact"/>
        <w:rPr>
          <w:rFonts w:ascii="Times New Roman" w:cs="Times New Roman" w:eastAsia="Times New Roman" w:hAnsi="Times New Roman"/>
          <w:sz w:val="18"/>
          <w:szCs w:val="18"/>
          <w:color w:val="auto"/>
        </w:rPr>
      </w:pPr>
    </w:p>
    <w:p>
      <w:pPr>
        <w:ind w:left="1080" w:right="240" w:hanging="316"/>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year also had $2.0 million in warrant additions related to EmboMedics and $3.3 million in intangible asset additions related to the Merz Distribution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financing activities</w:t>
      </w:r>
    </w:p>
    <w:p>
      <w:pPr>
        <w:spacing w:after="0" w:line="225" w:lineRule="exact"/>
        <w:rPr>
          <w:sz w:val="20"/>
          <w:szCs w:val="20"/>
          <w:color w:val="auto"/>
        </w:rPr>
      </w:pPr>
    </w:p>
    <w:p>
      <w:pPr>
        <w:ind w:left="1080" w:right="160" w:hanging="316"/>
        <w:spacing w:after="0" w:line="257"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$23.9 million in repayments on long-term debt after the proceeds from the Credit Agreement and repayment of the old credit agreement compared to $16.3 million in repayments in the prior year. The increase from the prior year is due to the fact that the revolver was paid down in full as of the third quarter of fiscal year 2017.</w:t>
      </w:r>
    </w:p>
    <w:p>
      <w:pPr>
        <w:spacing w:after="0" w:line="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in deferred financing fees related to the new credit agreement.</w:t>
      </w:r>
    </w:p>
    <w:p>
      <w:pPr>
        <w:spacing w:after="0" w:line="9" w:lineRule="exact"/>
        <w:rPr>
          <w:rFonts w:ascii="Times New Roman" w:cs="Times New Roman" w:eastAsia="Times New Roman" w:hAnsi="Times New Roman"/>
          <w:sz w:val="18"/>
          <w:szCs w:val="18"/>
          <w:color w:val="auto"/>
        </w:rPr>
      </w:pPr>
    </w:p>
    <w:p>
      <w:pPr>
        <w:ind w:left="1080" w:right="180" w:hanging="316"/>
        <w:spacing w:after="0" w:line="250"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million of proceeds from stock option and ESPP activity compared to $2.4 million in the prior year. The large increase is related to the exercise of stock based awards from executive management turnover that took place over the past year.</w:t>
      </w:r>
    </w:p>
    <w:p>
      <w:pPr>
        <w:ind w:left="1080" w:hanging="316"/>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payment on earn-out liabilities which is consistent with the prior year.</w:t>
      </w:r>
    </w:p>
    <w:p>
      <w:pPr>
        <w:spacing w:after="0" w:line="9"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 million from the repurchase of common shares in fiscal 2017.</w:t>
      </w:r>
    </w:p>
    <w:p>
      <w:pPr>
        <w:spacing w:after="0" w:line="207"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On November 7, 2016, the Company entered into a Credit Agreement that provides for a $100.0 million senior secured term loan facility and a $150.0 million senior secured revolving credit facility, which includes up to a $20.0 million sublimit for letters of credit and a $5.0 million sublimit for swingline loans.</w:t>
      </w:r>
    </w:p>
    <w:p>
      <w:pPr>
        <w:spacing w:after="0" w:line="17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and investment balances, together with cash generated from operations and access to our revolving credit facility,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176"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Our contractual obligations as of May 31, 2017 are set forth in the table below (in thousands). We have no variable interest entities or other off-balance sheet obligations.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Cash Payments Due By Period as of May 31, 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2"/>
                <w:szCs w:val="12"/>
                <w:color w:val="auto"/>
              </w:rPr>
            </w:pPr>
          </w:p>
        </w:tc>
        <w:tc>
          <w:tcPr>
            <w:tcW w:w="90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After 5</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 term debt and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106,469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69,162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leases (1)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obligations (1)</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Acquisition-related future obligations (2)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223,840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30,446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75,291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91,570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26,533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680" w:hanging="492"/>
        <w:spacing w:after="0" w:line="261"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non-cancelable operating leases and inventory purchase obligations are not reflected on our consolidated balance sheets under accounting principles generally accepted in the United States of America.</w:t>
      </w:r>
    </w:p>
    <w:p>
      <w:pPr>
        <w:ind w:left="500" w:right="500" w:hanging="492"/>
        <w:spacing w:after="0" w:line="254"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future obligations include scheduled minimum payments and contingent payments based upon achievement of performance measures or milestones such as sales or profitability targets, the achievement of research and development objectives or the receipt of regulatory approvals. The amount represents the undiscounted value of contingent liabilities recorded on the balance sheet. Timing of payments are as contractually scheduled, or where contingent, the Company's best estimate of payment timing.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1 for Recently issued Accounting Pronouncements.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796" w:right="259" w:bottom="1440" w:gutter="0" w:footer="0" w:header="0"/>
        </w:sectPr>
      </w:pPr>
    </w:p>
    <w:bookmarkStart w:id="52" w:name="page53"/>
    <w:bookmarkEnd w:id="52"/>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62"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Approximately 7.2% of our sales in fiscal 2017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November 7, 2016, we entered into the Credit Agreement which provides for a $100 million senior secured Term Loan and a $150 million Revolving Facility. Interest on both the Term Loan and Revolving Facility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A 50 basis point (0.50%) increase or decrease in the interest rate would result approximately in a $2.0 million increase or decrease in interest expense over the life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62"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7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338"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4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Financial statements and supplementary data required by Part II, Item 8 are included in Part IV of this report as indexed as Item 15 (a) (1) and (2) of this report, and are incorporated by reference into this Item 8.</w:t>
      </w:r>
    </w:p>
    <w:p>
      <w:pPr>
        <w:spacing w:after="0" w:line="104"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955" w:right="239" w:bottom="1440" w:gutter="0" w:footer="0" w:header="0"/>
        </w:sectPr>
      </w:pPr>
    </w:p>
    <w:bookmarkStart w:id="53" w:name="page54"/>
    <w:bookmarkEnd w:id="53"/>
    <w:p>
      <w:pPr>
        <w:ind w:right="120"/>
        <w:spacing w:after="0" w:line="258" w:lineRule="auto"/>
        <w:rPr>
          <w:sz w:val="20"/>
          <w:szCs w:val="20"/>
          <w:color w:val="auto"/>
        </w:rPr>
      </w:pPr>
      <w:r>
        <w:rPr>
          <w:rFonts w:ascii="Times New Roman" w:cs="Times New Roman" w:eastAsia="Times New Roman" w:hAnsi="Times New Roman"/>
          <w:sz w:val="18"/>
          <w:szCs w:val="18"/>
          <w:color w:val="auto"/>
        </w:rPr>
        <w:t>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8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7"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spacing w:after="0" w:line="1"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 xml:space="preserve">Our management has assessed the effectiveness of our internal control over financial reporting as of May 31, 2017. In making this assessment, management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Framework </w:t>
      </w:r>
      <w:r>
        <w:rPr>
          <w:rFonts w:ascii="Times New Roman" w:cs="Times New Roman" w:eastAsia="Times New Roman" w:hAnsi="Times New Roman"/>
          <w:sz w:val="17"/>
          <w:szCs w:val="17"/>
          <w:color w:val="auto"/>
        </w:rPr>
        <w:t>(2013). Based on this evaluation, management concluded that our internal control over financial reporting was effective as of May 31, 2017.</w:t>
      </w:r>
    </w:p>
    <w:p>
      <w:pPr>
        <w:spacing w:after="0" w:line="15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May 31, 2017 has been audited by Deloitte &amp; Touche LLP, an independent registered public accounting firm, as stated in their report which appears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May 31, 2017 other than items described below related to our remediation actions,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Prior Material Weakness in Internal Control Over Financial Reporting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of the Company previously identified and disclosed the following material weakness that existed as of May 31, 2016.</w:t>
      </w:r>
    </w:p>
    <w:p>
      <w:pPr>
        <w:spacing w:after="0" w:line="223" w:lineRule="exact"/>
        <w:rPr>
          <w:sz w:val="20"/>
          <w:szCs w:val="20"/>
          <w:color w:val="auto"/>
        </w:rPr>
      </w:pPr>
    </w:p>
    <w:p>
      <w:pPr>
        <w:jc w:val="both"/>
        <w:ind w:firstLine="378"/>
        <w:spacing w:after="0" w:line="267" w:lineRule="auto"/>
        <w:rPr>
          <w:sz w:val="20"/>
          <w:szCs w:val="20"/>
          <w:color w:val="auto"/>
        </w:rPr>
      </w:pPr>
      <w:r>
        <w:rPr>
          <w:rFonts w:ascii="Times New Roman" w:cs="Times New Roman" w:eastAsia="Times New Roman" w:hAnsi="Times New Roman"/>
          <w:sz w:val="18"/>
          <w:szCs w:val="18"/>
          <w:i w:val="1"/>
          <w:iCs w:val="1"/>
          <w:color w:val="auto"/>
        </w:rPr>
        <w:t>We did not design and maintain effective internal controls over the accounting for the annual goodwill impairment test. Specifically, we did not design and maintain effective controls to review in sufficient detail the cash flow projections and significant valuation model assumptions used in the goodwill impairment test as of December 31, 2015.</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2017, management of the Company was actively engaged in remediation efforts to address the material weakness noted above. The following actions were taken:</w:t>
      </w:r>
    </w:p>
    <w:p>
      <w:pPr>
        <w:spacing w:after="0" w:line="162" w:lineRule="exact"/>
        <w:rPr>
          <w:sz w:val="20"/>
          <w:szCs w:val="20"/>
          <w:color w:val="auto"/>
        </w:rPr>
      </w:pPr>
    </w:p>
    <w:p>
      <w:pPr>
        <w:jc w:val="both"/>
        <w:ind w:left="660" w:right="58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annual goodwill impairment test control was updated to ensure the sufficiency of the control procedures. Specifically, if the discounted cash flow method is required for performing the goodwill impairment test, detailed procedures over the cash flow projections and valuation model assumptions are appropriately detailed to instruct the operating effectiveness of the control.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54" w:name="page55"/>
    <w:bookmarkEnd w:id="54"/>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documentation was prepared, reviewed and retained over the goodwill impairment test performed as of December 31, 2016.</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significant actions taken and the testing and evaluation of the effectiveness of our internal control over financial reporting, management of the Company has concluded the material weakness in the Company’s controls no longer existed as of May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620"/>
          </w:cols>
          <w:pgMar w:left="240" w:top="580" w:right="10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New York</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AngioDynamics, Inc. and subsidiaries (the "Company") as of May 31, 2017,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May 31, 2017,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and financial statement schedule as of and for the year ended May 31, 2017 of the Company and our report dated August 4, 2017 expressed an unqualified opinion on those consolidated financial statements and 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009" w:right="239" w:bottom="1440" w:gutter="0" w:footer="0" w:header="0"/>
        </w:sectPr>
      </w:pPr>
    </w:p>
    <w:bookmarkStart w:id="56" w:name="page57"/>
    <w:bookmarkEnd w:id="56"/>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179"/>
          </w:cols>
          <w:pgMar w:left="280" w:top="738" w:right="1440"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5"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2017. The information included in the Proxy Statement under the respective headings noted below is incorporated herein by reference.</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56"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334"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Item 11 is incorporated herein by reference to our Proxy Statement under the heading “Executive Compensation”.</w:t>
      </w:r>
    </w:p>
    <w:p>
      <w:pPr>
        <w:spacing w:after="0" w:line="383"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“Ownership of Securities”.</w:t>
      </w:r>
    </w:p>
    <w:p>
      <w:pPr>
        <w:spacing w:after="0" w:line="383"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56"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“Certain Relationships and Related Transactions”.</w:t>
      </w:r>
    </w:p>
    <w:p>
      <w:pPr>
        <w:spacing w:after="0" w:line="32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12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576" w:right="2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6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(a)(1) </w:t>
      </w:r>
      <w:r>
        <w:rPr>
          <w:rFonts w:ascii="Times New Roman" w:cs="Times New Roman" w:eastAsia="Times New Roman" w:hAnsi="Times New Roman"/>
          <w:sz w:val="18"/>
          <w:szCs w:val="18"/>
          <w:b w:val="1"/>
          <w:bCs w:val="1"/>
          <w:i w:val="1"/>
          <w:iCs w:val="1"/>
          <w:color w:val="auto"/>
        </w:rPr>
        <w:t>Financial Statements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consolidated financial statements and supplementary data of Registrant and its subsidiaries required by Part II, Item 8, are included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IV of this report:</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180" w:type="dxa"/>
            <w:vAlign w:val="bottom"/>
            <w:gridSpan w:val="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Report of Independent Registered Public Accounting Firms</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60">
              <w:r>
                <w:rPr>
                  <w:rFonts w:ascii="Times New Roman" w:cs="Times New Roman" w:eastAsia="Times New Roman" w:hAnsi="Times New Roman"/>
                  <w:sz w:val="18"/>
                  <w:szCs w:val="18"/>
                  <w:color w:val="0000EE"/>
                  <w:w w:val="88"/>
                </w:rPr>
                <w:t>58</w:t>
              </w:r>
            </w:hyperlink>
          </w:p>
        </w:tc>
      </w:tr>
      <w:tr>
        <w:trPr>
          <w:trHeight w:val="20"/>
        </w:trPr>
        <w:tc>
          <w:tcPr>
            <w:tcW w:w="30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59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Consolidated statements of operations—Year ended May 31, 2017, 2016 and 2015</w:t>
              </w:r>
            </w:hyperlink>
          </w:p>
        </w:tc>
        <w:tc>
          <w:tcPr>
            <w:tcW w:w="524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2">
              <w:r>
                <w:rPr>
                  <w:rFonts w:ascii="Times New Roman" w:cs="Times New Roman" w:eastAsia="Times New Roman" w:hAnsi="Times New Roman"/>
                  <w:sz w:val="18"/>
                  <w:szCs w:val="18"/>
                  <w:color w:val="0000EE"/>
                  <w:w w:val="88"/>
                </w:rPr>
                <w:t>60</w:t>
              </w:r>
            </w:hyperlink>
          </w:p>
        </w:tc>
      </w:tr>
      <w:tr>
        <w:trPr>
          <w:trHeight w:val="250"/>
        </w:trPr>
        <w:tc>
          <w:tcPr>
            <w:tcW w:w="7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Consolidated statements of comprehensive income (loss) – Year ended May 31, 2017, 2016 and 2015</w:t>
              </w:r>
            </w:hyperlink>
          </w:p>
        </w:tc>
        <w:tc>
          <w:tcPr>
            <w:tcW w:w="38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3">
              <w:r>
                <w:rPr>
                  <w:rFonts w:ascii="Times New Roman" w:cs="Times New Roman" w:eastAsia="Times New Roman" w:hAnsi="Times New Roman"/>
                  <w:sz w:val="18"/>
                  <w:szCs w:val="18"/>
                  <w:color w:val="0000EE"/>
                  <w:w w:val="88"/>
                </w:rPr>
                <w:t>61</w:t>
              </w:r>
            </w:hyperlink>
          </w:p>
        </w:tc>
      </w:tr>
      <w:tr>
        <w:trPr>
          <w:trHeight w:val="250"/>
        </w:trPr>
        <w:tc>
          <w:tcPr>
            <w:tcW w:w="11180" w:type="dxa"/>
            <w:vAlign w:val="bottom"/>
            <w:gridSpan w:val="8"/>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Consolidated balance sheets—May 31, 2017 and May 31, 2016</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62</w:t>
              </w:r>
            </w:hyperlink>
          </w:p>
        </w:tc>
      </w:tr>
      <w:tr>
        <w:trPr>
          <w:trHeight w:val="20"/>
        </w:trPr>
        <w:tc>
          <w:tcPr>
            <w:tcW w:w="30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6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Consolidated statements of stockholders’ equity—Year ended May 31, 2017, 2016 and 2015</w:t>
              </w:r>
            </w:hyperlink>
          </w:p>
        </w:tc>
        <w:tc>
          <w:tcPr>
            <w:tcW w:w="452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5">
              <w:r>
                <w:rPr>
                  <w:rFonts w:ascii="Times New Roman" w:cs="Times New Roman" w:eastAsia="Times New Roman" w:hAnsi="Times New Roman"/>
                  <w:sz w:val="18"/>
                  <w:szCs w:val="18"/>
                  <w:color w:val="0000EE"/>
                  <w:w w:val="88"/>
                </w:rPr>
                <w:t>63</w:t>
              </w:r>
            </w:hyperlink>
          </w:p>
        </w:tc>
      </w:tr>
      <w:tr>
        <w:trPr>
          <w:trHeight w:val="250"/>
        </w:trPr>
        <w:tc>
          <w:tcPr>
            <w:tcW w:w="59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statements of cash flows—Year ended May 31, 2017, 2016 and 2015</w:t>
              </w:r>
            </w:hyperlink>
          </w:p>
        </w:tc>
        <w:tc>
          <w:tcPr>
            <w:tcW w:w="522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6">
              <w:r>
                <w:rPr>
                  <w:rFonts w:ascii="Times New Roman" w:cs="Times New Roman" w:eastAsia="Times New Roman" w:hAnsi="Times New Roman"/>
                  <w:sz w:val="18"/>
                  <w:szCs w:val="18"/>
                  <w:color w:val="0000EE"/>
                  <w:w w:val="88"/>
                </w:rPr>
                <w:t>64</w:t>
              </w:r>
            </w:hyperlink>
          </w:p>
        </w:tc>
      </w:tr>
      <w:tr>
        <w:trPr>
          <w:trHeight w:val="250"/>
        </w:trPr>
        <w:tc>
          <w:tcPr>
            <w:tcW w:w="304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Notes to consolidated financial statements</w:t>
              </w:r>
            </w:hyperlink>
          </w:p>
        </w:tc>
        <w:tc>
          <w:tcPr>
            <w:tcW w:w="8140" w:type="dxa"/>
            <w:vAlign w:val="bottom"/>
            <w:gridSpan w:val="7"/>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66</w:t>
              </w:r>
            </w:hyperlink>
          </w:p>
        </w:tc>
      </w:tr>
    </w:tbl>
    <w:p>
      <w:pPr>
        <w:spacing w:after="0" w:line="275"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is included in Part IV of this report:</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rFonts w:ascii="Times New Roman" w:cs="Times New Roman" w:eastAsia="Times New Roman" w:hAnsi="Times New Roman"/>
                <w:sz w:val="18"/>
                <w:szCs w:val="18"/>
                <w:color w:val="0000EE"/>
                <w:w w:val="98"/>
              </w:rPr>
            </w:pPr>
            <w:hyperlink w:anchor="page96">
              <w:r>
                <w:rPr>
                  <w:rFonts w:ascii="Times New Roman" w:cs="Times New Roman" w:eastAsia="Times New Roman" w:hAnsi="Times New Roman"/>
                  <w:sz w:val="18"/>
                  <w:szCs w:val="18"/>
                  <w:color w:val="0000EE"/>
                  <w:w w:val="98"/>
                </w:rPr>
                <w:t>Schedule II—Valuation and qualifying accounts</w:t>
              </w:r>
            </w:hyperlink>
          </w:p>
        </w:tc>
        <w:tc>
          <w:tcPr>
            <w:tcW w:w="7900" w:type="dxa"/>
            <w:vAlign w:val="bottom"/>
            <w:gridSpan w:val="2"/>
          </w:tcPr>
          <w:p>
            <w:pPr>
              <w:jc w:val="right"/>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93</w:t>
              </w:r>
            </w:hyperlink>
          </w:p>
        </w:tc>
      </w:tr>
      <w:tr>
        <w:trPr>
          <w:trHeight w:val="20"/>
        </w:trPr>
        <w:tc>
          <w:tcPr>
            <w:tcW w:w="3460" w:type="dxa"/>
            <w:vAlign w:val="bottom"/>
            <w:shd w:val="clear" w:color="auto" w:fill="0000EE"/>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198"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rFonts w:ascii="Times New Roman" w:cs="Times New Roman" w:eastAsia="Times New Roman" w:hAnsi="Times New Roman"/>
                <w:sz w:val="18"/>
                <w:szCs w:val="18"/>
                <w:b w:val="1"/>
                <w:bCs w:val="1"/>
                <w:i w:val="1"/>
                <w:iCs w:val="1"/>
                <w:color w:val="0000EE"/>
                <w:w w:val="98"/>
              </w:rPr>
            </w:pPr>
            <w:hyperlink w:anchor="page98">
              <w:r>
                <w:rPr>
                  <w:rFonts w:ascii="Times New Roman" w:cs="Times New Roman" w:eastAsia="Times New Roman" w:hAnsi="Times New Roman"/>
                  <w:sz w:val="18"/>
                  <w:szCs w:val="18"/>
                  <w:b w:val="1"/>
                  <w:bCs w:val="1"/>
                  <w:i w:val="1"/>
                  <w:iCs w:val="1"/>
                  <w:color w:val="0000EE"/>
                  <w:w w:val="98"/>
                </w:rPr>
                <w:t>(b) Exhibits</w:t>
              </w:r>
            </w:hyperlink>
          </w:p>
        </w:tc>
        <w:tc>
          <w:tcPr>
            <w:tcW w:w="10480" w:type="dxa"/>
            <w:vAlign w:val="bottom"/>
            <w:gridSpan w:val="2"/>
          </w:tcPr>
          <w:p>
            <w:pPr>
              <w:jc w:val="right"/>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95</w:t>
              </w:r>
            </w:hyperlink>
          </w:p>
        </w:tc>
      </w:tr>
      <w:tr>
        <w:trPr>
          <w:trHeight w:val="20"/>
        </w:trPr>
        <w:tc>
          <w:tcPr>
            <w:tcW w:w="880" w:type="dxa"/>
            <w:vAlign w:val="bottom"/>
            <w:shd w:val="clear" w:color="auto" w:fill="0000EE"/>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576" w:right="25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New York</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AngioDynamics, Inc. and subsidiaries (the "Company") as of May 31, 2017, and the related consolidated statement of operations, comprehensive income (loss), stockholders' equity, and cash flows for the year ended May 31, 2017. Our audit also included the financial statement schedule for the year ended May 31, 2017 listed in the Index at Item 15. These consolidated financial statements and financial statement schedule are the responsibility of the Company's management. Our responsibility is to express an opinion on these consolidated financial statements and financial statement schedule based on our audit.</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AngioDynamics, Inc. and subsidiaries as of May 31, 2017, and the results of their operations and their cash flows for the year ended May 31, 2017,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May 31, 2017,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August 4, 2017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2017</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576" w:right="27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AngioDynamics, Inc.</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our opinion, the consolidated balance sheet as of May 31, 2016 and the related consolidated statements of operations, of comprehensive income (loss), of stockholders’ equity, and of cash flows for each of the two years in the period ended May 31, 2016 present fairly, in all material respects, the financial position of AngioDynamics, Inc. and its subsidiaries (the Company) as of May 31, 2016 and the results of their operations and their cash flows for each of the two years in the period ended May 31, 2016, in conformity with accounting principles generally accepted in the United States of America. In addition, in our opinion, the financial statement schedule listed in the index appearing under Item 15(a)(2) for each of the two years in the period ended May 31, 2016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2016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1009" w:right="279" w:bottom="1440" w:gutter="0" w:footer="0" w:header="0"/>
        </w:sectPr>
      </w:pPr>
    </w:p>
    <w:bookmarkStart w:id="61" w:name="page62"/>
    <w:bookmarkEnd w:id="61"/>
    <w:p>
      <w:pPr>
        <w:ind w:left="426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May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356,534</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173,474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179,574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180,738</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176,169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174,316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175,796</w:t>
            </w:r>
          </w:p>
        </w:tc>
        <w:tc>
          <w:tcPr>
            <w:tcW w:w="0" w:type="dxa"/>
            <w:vAlign w:val="bottom"/>
          </w:tcPr>
          <w:p>
            <w:pPr>
              <w:spacing w:after="0"/>
              <w:rPr>
                <w:sz w:val="1"/>
                <w:szCs w:val="1"/>
                <w:color w:val="auto"/>
              </w:rPr>
            </w:pPr>
          </w:p>
        </w:tc>
      </w:tr>
      <w:tr>
        <w:trPr>
          <w:trHeight w:val="22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26,594</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83,743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82,351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30,031</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17,966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26,257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Medical device excise tax</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37"/>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163,202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173,298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179,245</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2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 (benefit)</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37"/>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35,683</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576" w:right="259" w:bottom="1440" w:gutter="0" w:footer="0" w:header="0"/>
        </w:sectPr>
      </w:pPr>
    </w:p>
    <w:bookmarkStart w:id="62" w:name="page63"/>
    <w:bookmarkEnd w:id="62"/>
    <w:p>
      <w:pPr>
        <w:ind w:left="426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9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May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5"/>
        </w:trPr>
        <w:tc>
          <w:tcPr>
            <w:tcW w:w="74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 gain (loss) on interest rate swap</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 (loss), net of tax</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576" w:right="2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240" w:type="dxa"/>
            <w:vAlign w:val="bottom"/>
          </w:tcPr>
          <w:p>
            <w:pPr>
              <w:spacing w:after="0"/>
              <w:rPr>
                <w:sz w:val="13"/>
                <w:szCs w:val="13"/>
                <w:color w:val="auto"/>
              </w:rPr>
            </w:pP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95"/>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32,333</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 at fair value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$2,945 and $4,372,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52,867</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55,370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788</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3,243</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146,254</w:t>
            </w: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48,284</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3,827</w:t>
            </w: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166,577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361,252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361,252</w:t>
            </w:r>
          </w:p>
        </w:tc>
      </w:tr>
      <w:tr>
        <w:trPr>
          <w:trHeight w:val="237"/>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707,961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726,194</w:t>
            </w:r>
          </w:p>
        </w:tc>
      </w:tr>
      <w:tr>
        <w:trPr>
          <w:trHeight w:val="67"/>
        </w:trPr>
        <w:tc>
          <w:tcPr>
            <w:tcW w:w="8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8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15,616</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21,942</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16,250</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12,919</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66,727</w:t>
            </w: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104,291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21,684</w:t>
            </w: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net of current portion</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25,356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w:t>
            </w:r>
          </w:p>
        </w:tc>
      </w:tr>
      <w:tr>
        <w:trPr>
          <w:trHeight w:val="237"/>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192,934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218,966</w:t>
            </w:r>
          </w:p>
        </w:tc>
      </w:tr>
      <w:tr>
        <w:trPr>
          <w:trHeight w:val="67"/>
        </w:trPr>
        <w:tc>
          <w:tcPr>
            <w:tcW w:w="8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8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15)</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par value $.01 per share, 5,000,000 shares authorized; no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par value $.01 per share, 75,000,000 shares authorized; 37,210,091 and 36,420,403 shares issued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36,840,091 and 36,278,098 shares outstanding at May 31, 2017 and 2016, respectively</w:t>
            </w:r>
          </w:p>
        </w:tc>
        <w:tc>
          <w:tcPr>
            <w:tcW w:w="2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532,705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525,775</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370,000 and 142,305 shares, at cost at May 31, 2017 and 2016,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43"/>
        </w:trPr>
        <w:tc>
          <w:tcPr>
            <w:tcW w:w="8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7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515,027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507,228</w:t>
            </w:r>
          </w:p>
        </w:tc>
      </w:tr>
      <w:tr>
        <w:trPr>
          <w:trHeight w:val="237"/>
        </w:trPr>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707,961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726,194</w:t>
            </w:r>
          </w:p>
        </w:tc>
      </w:tr>
      <w:tr>
        <w:trPr>
          <w:trHeight w:val="27"/>
        </w:trPr>
        <w:tc>
          <w:tcPr>
            <w:tcW w:w="8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60" w:top="576" w:right="25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40" w:firstLine="351"/>
        <w:spacing w:after="0" w:line="384" w:lineRule="auto"/>
        <w:rPr>
          <w:sz w:val="20"/>
          <w:szCs w:val="20"/>
          <w:color w:val="auto"/>
        </w:rPr>
      </w:pPr>
      <w:r>
        <w:rPr>
          <w:rFonts w:ascii="Times New Roman" w:cs="Times New Roman" w:eastAsia="Times New Roman" w:hAnsi="Times New Roman"/>
          <w:sz w:val="14"/>
          <w:szCs w:val="14"/>
          <w:b w:val="1"/>
          <w:bCs w:val="1"/>
          <w:color w:val="auto"/>
        </w:rPr>
        <w:t xml:space="preserve">Balance at May 31, 2014 </w:t>
      </w:r>
      <w:r>
        <w:rPr>
          <w:rFonts w:ascii="Times New Roman" w:cs="Times New Roman" w:eastAsia="Times New Roman" w:hAnsi="Times New Roman"/>
          <w:sz w:val="14"/>
          <w:szCs w:val="14"/>
          <w:color w:val="auto"/>
        </w:rPr>
        <w:t>Net loss</w:t>
      </w:r>
    </w:p>
    <w:p>
      <w:pPr>
        <w:spacing w:after="0"/>
        <w:rPr>
          <w:sz w:val="20"/>
          <w:szCs w:val="20"/>
          <w:color w:val="auto"/>
        </w:rPr>
      </w:pPr>
      <w:r>
        <w:rPr>
          <w:rFonts w:ascii="Times New Roman" w:cs="Times New Roman" w:eastAsia="Times New Roman" w:hAnsi="Times New Roman"/>
          <w:sz w:val="14"/>
          <w:szCs w:val="14"/>
          <w:color w:val="auto"/>
        </w:rPr>
        <w:t>Exercise of stock options</w:t>
      </w:r>
    </w:p>
    <w:p>
      <w:pPr>
        <w:spacing w:after="0" w:line="10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Issuance/cancellation of restricted stock units</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Purchase of common stock under Employee Stock Purchase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25" w:lineRule="exact"/>
        <w:rPr>
          <w:sz w:val="20"/>
          <w:szCs w:val="20"/>
          <w:color w:val="auto"/>
        </w:rPr>
      </w:pPr>
    </w:p>
    <w:p>
      <w:pPr>
        <w:ind w:right="240" w:firstLine="351"/>
        <w:spacing w:after="0" w:line="384" w:lineRule="auto"/>
        <w:rPr>
          <w:sz w:val="20"/>
          <w:szCs w:val="20"/>
          <w:color w:val="auto"/>
        </w:rPr>
      </w:pPr>
      <w:r>
        <w:rPr>
          <w:rFonts w:ascii="Times New Roman" w:cs="Times New Roman" w:eastAsia="Times New Roman" w:hAnsi="Times New Roman"/>
          <w:sz w:val="14"/>
          <w:szCs w:val="14"/>
          <w:b w:val="1"/>
          <w:bCs w:val="1"/>
          <w:color w:val="auto"/>
        </w:rPr>
        <w:t xml:space="preserve">Balance at May 31, 2015 </w:t>
      </w:r>
      <w:r>
        <w:rPr>
          <w:rFonts w:ascii="Times New Roman" w:cs="Times New Roman" w:eastAsia="Times New Roman" w:hAnsi="Times New Roman"/>
          <w:sz w:val="14"/>
          <w:szCs w:val="14"/>
          <w:color w:val="auto"/>
        </w:rPr>
        <w:t>Net loss</w:t>
      </w:r>
    </w:p>
    <w:p>
      <w:pPr>
        <w:spacing w:after="0"/>
        <w:rPr>
          <w:sz w:val="20"/>
          <w:szCs w:val="20"/>
          <w:color w:val="auto"/>
        </w:rPr>
      </w:pPr>
      <w:r>
        <w:rPr>
          <w:rFonts w:ascii="Times New Roman" w:cs="Times New Roman" w:eastAsia="Times New Roman" w:hAnsi="Times New Roman"/>
          <w:sz w:val="14"/>
          <w:szCs w:val="14"/>
          <w:color w:val="auto"/>
        </w:rPr>
        <w:t>Exercise of stock options</w:t>
      </w:r>
    </w:p>
    <w:p>
      <w:pPr>
        <w:spacing w:after="0" w:line="10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Issuance/cancellation of restricted stock units</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Purchase of common stock under Employee Stock Purchase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25" w:lineRule="exact"/>
        <w:rPr>
          <w:sz w:val="20"/>
          <w:szCs w:val="20"/>
          <w:color w:val="auto"/>
        </w:rPr>
      </w:pPr>
    </w:p>
    <w:p>
      <w:pPr>
        <w:ind w:right="240" w:firstLine="351"/>
        <w:spacing w:after="0" w:line="384" w:lineRule="auto"/>
        <w:rPr>
          <w:sz w:val="20"/>
          <w:szCs w:val="20"/>
          <w:color w:val="auto"/>
        </w:rPr>
      </w:pPr>
      <w:r>
        <w:rPr>
          <w:rFonts w:ascii="Times New Roman" w:cs="Times New Roman" w:eastAsia="Times New Roman" w:hAnsi="Times New Roman"/>
          <w:sz w:val="14"/>
          <w:szCs w:val="14"/>
          <w:b w:val="1"/>
          <w:bCs w:val="1"/>
          <w:color w:val="auto"/>
        </w:rPr>
        <w:t xml:space="preserve">Balance at May 31, 2016 </w:t>
      </w:r>
      <w:r>
        <w:rPr>
          <w:rFonts w:ascii="Times New Roman" w:cs="Times New Roman" w:eastAsia="Times New Roman" w:hAnsi="Times New Roman"/>
          <w:sz w:val="14"/>
          <w:szCs w:val="14"/>
          <w:color w:val="auto"/>
        </w:rPr>
        <w:t>Net income</w:t>
      </w:r>
    </w:p>
    <w:p>
      <w:pPr>
        <w:spacing w:after="0"/>
        <w:rPr>
          <w:sz w:val="20"/>
          <w:szCs w:val="20"/>
          <w:color w:val="auto"/>
        </w:rPr>
      </w:pPr>
      <w:r>
        <w:rPr>
          <w:rFonts w:ascii="Times New Roman" w:cs="Times New Roman" w:eastAsia="Times New Roman" w:hAnsi="Times New Roman"/>
          <w:sz w:val="14"/>
          <w:szCs w:val="14"/>
          <w:color w:val="auto"/>
        </w:rPr>
        <w:t>Exercise of stock options</w:t>
      </w:r>
    </w:p>
    <w:p>
      <w:pPr>
        <w:spacing w:after="0" w:line="10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Issuance/cancellation of restricted stock units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performance share units</w:t>
      </w:r>
    </w:p>
    <w:p>
      <w:pPr>
        <w:spacing w:after="0" w:line="1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Purchase of common stock under Employee Stock Purchase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Treasury stock retirement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repurchased</w:t>
      </w:r>
    </w:p>
    <w:p>
      <w:pPr>
        <w:spacing w:after="0" w:line="10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2017</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Year ended May 31, 2017, 2016 and 2015</w:t>
      </w:r>
    </w:p>
    <w:p>
      <w:pPr>
        <w:spacing w:after="0" w:line="9"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10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35,442,004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508,354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30,963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(142,305)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536,885</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341,446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141,274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119,001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5,998</w:t>
            </w:r>
          </w:p>
        </w:tc>
        <w:tc>
          <w:tcPr>
            <w:tcW w:w="0" w:type="dxa"/>
            <w:vAlign w:val="bottom"/>
          </w:tcPr>
          <w:p>
            <w:pPr>
              <w:spacing w:after="0"/>
              <w:rPr>
                <w:sz w:val="1"/>
                <w:szCs w:val="1"/>
                <w:color w:val="auto"/>
              </w:rPr>
            </w:pPr>
          </w:p>
        </w:tc>
      </w:tr>
      <w:tr>
        <w:trPr>
          <w:trHeight w:val="356"/>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18"/>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36,043,725</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520,101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545,099</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(43,590)</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101,040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1,297</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137,681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137,957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3,240</w:t>
            </w:r>
          </w:p>
        </w:tc>
        <w:tc>
          <w:tcPr>
            <w:tcW w:w="0" w:type="dxa"/>
            <w:vAlign w:val="bottom"/>
          </w:tcPr>
          <w:p>
            <w:pPr>
              <w:spacing w:after="0"/>
              <w:rPr>
                <w:sz w:val="1"/>
                <w:szCs w:val="1"/>
                <w:color w:val="auto"/>
              </w:rPr>
            </w:pPr>
          </w:p>
        </w:tc>
      </w:tr>
      <w:tr>
        <w:trPr>
          <w:trHeight w:val="356"/>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8"/>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36,420,403</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525,775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507,228</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5,008</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751,062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9,865</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158,341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129,185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6,183</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642,305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w:t>
            </w:r>
          </w:p>
        </w:tc>
        <w:tc>
          <w:tcPr>
            <w:tcW w:w="0" w:type="dxa"/>
            <w:vAlign w:val="bottom"/>
          </w:tcPr>
          <w:p>
            <w:pPr>
              <w:spacing w:after="0"/>
              <w:rPr>
                <w:sz w:val="1"/>
                <w:szCs w:val="1"/>
                <w:color w:val="auto"/>
              </w:rPr>
            </w:pPr>
          </w:p>
        </w:tc>
      </w:tr>
      <w:tr>
        <w:trPr>
          <w:trHeight w:val="356"/>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205"/>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37,210,091</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532,705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515,027</w:t>
            </w:r>
          </w:p>
        </w:tc>
        <w:tc>
          <w:tcPr>
            <w:tcW w:w="0" w:type="dxa"/>
            <w:vAlign w:val="bottom"/>
          </w:tcPr>
          <w:p>
            <w:pPr>
              <w:spacing w:after="0"/>
              <w:rPr>
                <w:sz w:val="1"/>
                <w:szCs w:val="1"/>
                <w:color w:val="auto"/>
              </w:rPr>
            </w:pPr>
          </w:p>
        </w:tc>
      </w:tr>
      <w:tr>
        <w:trPr>
          <w:trHeight w:val="37"/>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-4596130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-4253230</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-3806825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-3412490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-3069590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-2675255</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-2280285</wp:posOffset>
            </wp:positionV>
            <wp:extent cx="72466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-1885950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-1543050</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-1148715</wp:posOffset>
            </wp:positionV>
            <wp:extent cx="72466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-753745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-410845</wp:posOffset>
            </wp:positionV>
            <wp:extent cx="72466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180"/>
            <w:col w:w="9120"/>
          </w:cols>
          <w:pgMar w:left="28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80" w:top="576" w:right="239" w:bottom="1440" w:gutter="0" w:footer="0" w:header="0"/>
          <w:type w:val="continuous"/>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May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29,861</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43"/>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5,998</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accounts receivable allowances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1,448</w:t>
            </w:r>
          </w:p>
        </w:tc>
      </w:tr>
      <w:tr>
        <w:trPr>
          <w:trHeight w:val="243"/>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Write-off of other assets</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r>
      <w:tr>
        <w:trPr>
          <w:trHeight w:val="243"/>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impairment/disposal of long-term assets</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9,381</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impairment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6,400</w:t>
            </w:r>
          </w:p>
        </w:tc>
      </w:tr>
      <w:tr>
        <w:trPr>
          <w:trHeight w:val="243"/>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2,095</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w:t>
            </w:r>
          </w:p>
        </w:tc>
      </w:tr>
      <w:tr>
        <w:trPr>
          <w:trHeight w:val="243"/>
        </w:trPr>
        <w:tc>
          <w:tcPr>
            <w:tcW w:w="7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Accounts payable, accrued liabilities and 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r>
      <w:tr>
        <w:trPr>
          <w:trHeight w:val="237"/>
        </w:trPr>
        <w:tc>
          <w:tcPr>
            <w:tcW w:w="74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55,745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45,216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25,685</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warrants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or maturity of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4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and borrowings on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 and ESPP</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5,757</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acquisition related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4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7"/>
        </w:trPr>
        <w:tc>
          <w:tcPr>
            <w:tcW w:w="74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15,211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13,942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2,286</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16,105</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47,544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32,333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18,391</w:t>
            </w:r>
          </w:p>
        </w:tc>
      </w:tr>
      <w:tr>
        <w:trPr>
          <w:trHeight w:val="27"/>
        </w:trPr>
        <w:tc>
          <w:tcPr>
            <w:tcW w:w="7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576" w:right="259" w:bottom="1440" w:gutter="0" w:footer="0" w:header="0"/>
        </w:sectPr>
      </w:pPr>
    </w:p>
    <w:bookmarkStart w:id="66" w:name="page67"/>
    <w:bookmarkEnd w:id="66"/>
    <w:p>
      <w:pPr>
        <w:ind w:left="426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24765</wp:posOffset>
            </wp:positionV>
            <wp:extent cx="2529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Contractual obligations for purchase of fixed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Contractual obligations for tax basis adjustment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paid (received) during the year for: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3,151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699</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76" w:right="2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BUSINESS DESCRIPTION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Description of Business</w:t>
      </w:r>
    </w:p>
    <w:p>
      <w:pPr>
        <w:spacing w:after="0" w:line="2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AngioDynamics, Inc. and its wholly owned subsidiaries, (collectively, the “Company”). The Company designs, manufactures and sells a wide range of medical, surgical and diagnostic devices used by professional healthcare providers for vascular access, for the treatment of peripheral vascular disease and in oncology and surgical settings. The devices are generally used in minimally invasive, image-guided procedures. Most of the Company's products are intended to be used once and then discarded, or they may be temporarily implanted for short- or long-term use.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229"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conformity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AngioDynamics and it subsidiaries (all of which are wholly owned). All intercompany balances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right="220" w:firstLine="432"/>
        <w:spacing w:after="0" w:line="261" w:lineRule="auto"/>
        <w:rPr>
          <w:sz w:val="20"/>
          <w:szCs w:val="20"/>
          <w:color w:val="auto"/>
        </w:rPr>
      </w:pPr>
      <w:r>
        <w:rPr>
          <w:rFonts w:ascii="Times New Roman" w:cs="Times New Roman" w:eastAsia="Times New Roman" w:hAnsi="Times New Roman"/>
          <w:sz w:val="18"/>
          <w:szCs w:val="18"/>
          <w:color w:val="auto"/>
        </w:rPr>
        <w:t>Certain reclassifications have been made to conform the prior year consolidated financial statements and notes to the current year presentation. These include a reclassification of bad debt expense from Sales and Marketing to General and Administrative. The amount of the reclassification related to fiscal year 2016 is $1.0 million and fiscal year 2015 is $0.9 million. The adoption of ASC Update No. 2015-03 resulted in a reclassification of $0.9 million from other assets to long-term debt in the Company's consolidated balance sheet as of May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Marketable securities, which include auction rate investments, are classified as “available-for-sale securities” and are reported at fair value, with unrealized gains and losses excluded from operations and reported as a component of accumulated other comprehensive income (loss), net of the related tax effects, in stockholders’ equity. Cost is determined using the specific identification method. The Company holds investments in auction rate securities in order to generate higher than typical money market rate investment returns. Auction rate securities typically are high credit quality, generally achieved with municipal bond insurance. As of May 31, 2017 and 2016, the Company had $1.2 million and $1.7 million, respectively, in investments in two auction rate securities issued by New York state and local government authorities that failed auctions. The authorities are current in their interest payments on the securities.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76"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Instruments</w:t>
      </w:r>
    </w:p>
    <w:p>
      <w:pPr>
        <w:spacing w:after="0" w:line="229" w:lineRule="exact"/>
        <w:rPr>
          <w:sz w:val="20"/>
          <w:szCs w:val="20"/>
          <w:color w:val="auto"/>
        </w:rPr>
      </w:pPr>
    </w:p>
    <w:p>
      <w:pPr>
        <w:ind w:right="20" w:firstLine="405"/>
        <w:spacing w:after="0" w:line="281" w:lineRule="auto"/>
        <w:rPr>
          <w:sz w:val="20"/>
          <w:szCs w:val="20"/>
          <w:color w:val="auto"/>
        </w:rPr>
      </w:pPr>
      <w:r>
        <w:rPr>
          <w:rFonts w:ascii="Times New Roman" w:cs="Times New Roman" w:eastAsia="Times New Roman" w:hAnsi="Times New Roman"/>
          <w:sz w:val="17"/>
          <w:szCs w:val="17"/>
          <w:color w:val="auto"/>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The Company measures and records derivative financial instruments at fair value. See Note 3 for further discussion of financial instruments that are carried at fair value on a recurring and nonrecurring basis.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 and the provisions established, the Company cannot guarantee that the same credit loss rates will be experienced in the future. The Company writes off accounts receivable when they are determined to be uncollectible.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880" w:firstLine="432"/>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(using the first-in, first-out method) or market. Appropriate consideration is given to deterioration, obsolescence, expiring and other factors in evaluating net realizable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Refer below for useful lives by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7"/>
        </w:trPr>
        <w:tc>
          <w:tcPr>
            <w:tcW w:w="91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 years</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8 years</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r>
      <w:tr>
        <w:trPr>
          <w:trHeight w:val="27"/>
        </w:trPr>
        <w:tc>
          <w:tcPr>
            <w:tcW w:w="9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Intangible assets other than goodwill and acquired IP R&amp;D are amortized over their estimated useful lives, which range between two and eighteen years, on either a straight-line basis over the expected period of benefit or as revenues are earned from the sales of the related products. The Company periodically reviews the estimated useful lives of intangible assets and review such assets for impairment whenever events or changes in circumstances indicate that the carrying value of the asset or asset group is not recoverable. The Company determines the fair value of the reporting unit based on the market valuation approach or the income approach. If an intangible asset or asset group is considered to be impaired, the amount of the impairment will equal the excess of the carrying value over the fair value of the asset.</w:t>
      </w:r>
    </w:p>
    <w:p>
      <w:pPr>
        <w:spacing w:after="0" w:line="188"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Acquired IP R&amp;D has an indefinite life and is not amortized until completion of the development of the project, at which time the IP R&amp;D becomes an amortizable asset. If the related project is not completed in a timely manner or the project is terminated or abandoned, the Company may have an impairment related to the IP R&amp;D, calculated as the excess of the asset’s carrying value over its fair value.</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policy defines IP R&amp;D as the value assigned to those projects for which the related products have not received regulatory approval and have no alternative future use. Determining the portion of the purchase price allocated to IP R&amp;D requires us to make significant estimates. The amount of the purchase price allocated to IP R&amp;D is determined by estimating the future cash flows of each project or technology and discounting the net cash flows back to their present values.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76" w:right="239" w:bottom="1440" w:gutter="0" w:footer="0" w:header="0"/>
        </w:sectPr>
      </w:pPr>
    </w:p>
    <w:bookmarkStart w:id="69" w:name="page70"/>
    <w:bookmarkEnd w:id="69"/>
    <w:p>
      <w:pPr>
        <w:ind w:right="40"/>
        <w:spacing w:after="0" w:line="282" w:lineRule="auto"/>
        <w:rPr>
          <w:sz w:val="20"/>
          <w:szCs w:val="20"/>
          <w:color w:val="auto"/>
        </w:rPr>
      </w:pPr>
      <w:r>
        <w:rPr>
          <w:rFonts w:ascii="Times New Roman" w:cs="Times New Roman" w:eastAsia="Times New Roman" w:hAnsi="Times New Roman"/>
          <w:sz w:val="18"/>
          <w:szCs w:val="18"/>
          <w:color w:val="auto"/>
        </w:rPr>
        <w:t>The discount rate used is determined at the time of measurement in accordance with accepted valuation methods. These methodologies include consideration of the risk of the project not achieving commercial feasibility.</w:t>
      </w:r>
    </w:p>
    <w:p>
      <w:pPr>
        <w:spacing w:after="0" w:line="16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Goodwill is the amount by which the cost of acquired net assets in a business combination exceeded the fair value of net identifiable assets on the date of purchase. Goodwill and other intangible assets that have indefinite useful lives are not amortized, but rather, are tested for impairment annually or more frequently if impairment indicators arise.</w:t>
      </w:r>
    </w:p>
    <w:p>
      <w:pPr>
        <w:spacing w:after="0" w:line="17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For goodwill, the impairment test requires a comparison of the estimated fair value of the reporting unit to which the goodwill is assigned to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If carrying value of the reporting unit exceeds the fair value of the reporting unit, the carrying value of the reporting unit’s goodwill is reduced to its implied fair value through an adjustment to the goodwill balance, resulting in an impairment charge. The Company utilizes either discounted cash flow models or other valuation models, such as comparative transactions and market multiples, to determine the fair value of our reporting unit. The Company makes assumptions about future cash flows, future operating plans, discount rates, comparable companies, market multiples, purchase price premiums and other factors in those models. Different assumptions and judgment determinations could yield different conclusions that would result in an impairment charge to income in the period that such change or determination was made.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the following four criteria has been met: (i) persuasive evidence that an arrangement exists; (ii) the price is fixed or determinable; (iii) collectability is reasonably assured; and (iv) product delivery has occurred or services have been rendered. The Company recognizes revenue, net of sales taxes assessed by any governmental authority, as products are shipped, based on shipping terms, and when title and risk of loss passes to customers. The Company negotiates shipping and credit terms on a customer-by-customer basis and products are shipped at an agreed upon price. All product returns must be pre-approved by the Company and customers may be subject to a 20% restocking charge. To be accepted, a returned product must be unadulterated, undamaged and have at least twelve months remaining prior to its expiration date. Charges for discounts, returns, rebates and other allowances are recognized as a deduction from revenue on an accrual basis in the period in which the revenue is recorded. The accrual for product returns, discounts and other allowances is based on the Company’s history.</w:t>
      </w:r>
    </w:p>
    <w:p>
      <w:pPr>
        <w:spacing w:after="0" w:line="185"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60"/>
          </w:cols>
          <w:pgMar w:left="240" w:top="364"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80" w:firstLine="392"/>
        <w:spacing w:after="0" w:line="258" w:lineRule="auto"/>
        <w:rPr>
          <w:sz w:val="20"/>
          <w:szCs w:val="20"/>
          <w:color w:val="auto"/>
        </w:rPr>
      </w:pPr>
      <w:r>
        <w:rPr>
          <w:rFonts w:ascii="Times New Roman" w:cs="Times New Roman" w:eastAsia="Times New Roman" w:hAnsi="Times New Roman"/>
          <w:sz w:val="18"/>
          <w:szCs w:val="18"/>
          <w:color w:val="auto"/>
        </w:rPr>
        <w:t>The Company calculates income tax expense for each jurisdiction in which it operates. This involves estimating actual current taxes due plus assessing temporary differences arising from differing treatment for tax and accounting purposes that are 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 of operations.</w:t>
      </w:r>
    </w:p>
    <w:p>
      <w:pPr>
        <w:spacing w:after="0" w:line="184"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makes periodic provisions for expected warranty costs. Historically, warranty costs have been insignificant.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229"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Stock-based compensation expense reflects the fair value of stock-based awards measured at the grant date and recognized over the relevant service period. The Company estimates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restricted stock units, a risk-free interest rate and dividend yield. The 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functional currency of most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spacing w:after="0" w:line="180"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For foreign operations where the U.S. dollar is considered to be the functional currency, the Company remeasures monetary assets and liabilities into U.S. dollars at the exchange rate on the balance sheet date and non-monetary assets and liabilities are remeasured into U.S. dollars at historical exchange rates. The Company translates income and expense items at average rates of exchange prevailing during each period. The Company recognizes remeasurement adjustments as a component of other expense in the consolidated statements of operations.</w:t>
      </w:r>
    </w:p>
    <w:p>
      <w:pPr>
        <w:spacing w:after="0" w:line="180"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Transaction gains or losses that arise from exchange rate fluctuations on transactions denominated in a currency other than the functional currency are included in other expense in the statements of operations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The Company is exposed to market risks, including changes in foreign currency and interest rates. The Company periodically enters into certain derivative financial instruments to hedge the underlying economic exposure.</w:t>
      </w:r>
    </w:p>
    <w:p>
      <w:pPr>
        <w:spacing w:after="0" w:line="162"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Derivative instruments are presented in the consolidated financial statements at their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 hedged items that relate to the hedged risks. Changes in the fair value of derivatives accounted for as cash flow hedges, to the extent they are effective as hedges, are recorded in accumulated other comprehensive income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Adopted</w:t>
      </w:r>
    </w:p>
    <w:p>
      <w:pPr>
        <w:spacing w:after="0" w:line="227" w:lineRule="exact"/>
        <w:rPr>
          <w:sz w:val="20"/>
          <w:szCs w:val="20"/>
          <w:color w:val="auto"/>
        </w:rPr>
      </w:pPr>
    </w:p>
    <w:p>
      <w:pPr>
        <w:ind w:right="4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("FASB") issued ASC Update No. 2015-03, </w:t>
      </w:r>
      <w:r>
        <w:rPr>
          <w:rFonts w:ascii="Times New Roman" w:cs="Times New Roman" w:eastAsia="Times New Roman" w:hAnsi="Times New Roman"/>
          <w:sz w:val="18"/>
          <w:szCs w:val="18"/>
          <w:i w:val="1"/>
          <w:iCs w:val="1"/>
          <w:color w:val="auto"/>
        </w:rPr>
        <w:t>Interest-Imputation of Interest (Subtopic 835-30):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Update No. 2015-03 requires debt issuance costs related to a recognized debt liability to be presented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balance sheet as a direct deduction from the carrying amount of that debt liability, consistent with debt discounts. Update No. 2015-03 is effective for annual reporting periods beginning after December 15, 2015 and interim periods within those reporting periods. This was adopted in the first quarter of fiscal 2017 and the Company reclassified $0.9 million from other assets to long-term debt, net in the balance sheet as of May 31, 2016.</w:t>
      </w:r>
    </w:p>
    <w:p>
      <w:pPr>
        <w:sectPr>
          <w:pgSz w:w="11900" w:h="16838" w:orient="portrait"/>
          <w:cols w:equalWidth="0" w:num="1">
            <w:col w:w="11400"/>
          </w:cols>
          <w:pgMar w:left="240" w:top="819" w:right="259" w:bottom="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 Not Yet Applicable or Adopted</w:t>
      </w:r>
    </w:p>
    <w:p>
      <w:pPr>
        <w:sectPr>
          <w:pgSz w:w="11900" w:h="16838" w:orient="portrait"/>
          <w:cols w:equalWidth="0" w:num="1">
            <w:col w:w="11400"/>
          </w:cols>
          <w:pgMar w:left="240" w:top="819" w:right="259" w:bottom="0" w:gutter="0" w:footer="0" w:header="0"/>
          <w:type w:val="continuous"/>
        </w:sectPr>
      </w:pPr>
    </w:p>
    <w:bookmarkStart w:id="71" w:name="page72"/>
    <w:bookmarkEnd w:id="71"/>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(ASU 2014-09)</w:t>
      </w:r>
      <w:r>
        <w:rPr>
          <w:rFonts w:ascii="Times New Roman" w:cs="Times New Roman" w:eastAsia="Times New Roman" w:hAnsi="Times New Roman"/>
          <w:sz w:val="18"/>
          <w:szCs w:val="18"/>
          <w:color w:val="auto"/>
        </w:rPr>
        <w:t>. ASU 2014-09 provides a single, comprehensive accounting model for revenues arising from contracts with customers that supersedes most of the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2019, and may be applied retrospectively to all prior periods presented or through a cumulative adjustment to the opening retained earnings balance in the year of adoption. The Company is currently in the process of evaluating the impact of ASU 2014-09 on its consolidated financial statements.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July 2015, the FASB issued ASC Update No.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Update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Update No. 2015-11 is effective for annual reporting periods beginning after December 15, 2016 and interim periods within those fiscal years. Update No. 2015-11 should be applied prospectively with earlier application permitted as of the beginning of an interim or annual reporting period. The adoption of Update No. 2015-11 is not expected to have a material impact on the Company's financial position or results of operations.</w:t>
      </w:r>
    </w:p>
    <w:p>
      <w:pPr>
        <w:spacing w:after="0" w:line="18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ASU 2016-02 increases transparency and comparability among organizations by recognizing lease assets and liabilities on the balance sheet and disclosing key information about leasing arrangements. For leases with a term or twelve months or less, a lessee is permitted to make an accounting policy election by class of underlying asset not to recognize lease assets and liabilities. ASU 2016-02 is effective for fiscal years beginning after December 15, 2018 and early application is permitted. The Company is currently in the process of evaluating the impact of ASU 2016-02 on its consolidated financial statements.</w:t>
      </w:r>
    </w:p>
    <w:p>
      <w:pPr>
        <w:spacing w:after="0" w:line="18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Based Compensation (Topic 718: Improvements to 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ASU 2016-09 simplifies and improves various aspects of ASC 718 for share-based payments, including income tax items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these items on the statement of cash flows. ASU 2016-09 is effective for annual periods beginning after December 31, 2016 and early application is permitted. The Company is currently in the process of evaluating the impact of ASU 2016-09 on its consolidated financial statements.</w:t>
      </w:r>
    </w:p>
    <w:p>
      <w:pPr>
        <w:spacing w:after="0" w:line="18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(ASU 2016-15)</w:t>
      </w:r>
      <w:r>
        <w:rPr>
          <w:rFonts w:ascii="Times New Roman" w:cs="Times New Roman" w:eastAsia="Times New Roman" w:hAnsi="Times New Roman"/>
          <w:sz w:val="18"/>
          <w:szCs w:val="18"/>
          <w:color w:val="auto"/>
        </w:rPr>
        <w:t>. ASU 2016-15 identifies how certain cash receipts and cash payments are presented and classified in the Statement of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Topic 230. ASU 2016-15 is effective for the Company for fiscal years beginning after December 15, 2017, and interim periods within those fiscal years. ASU 2016-15 should be applied retrospectively and early adoption is permitted, including adoption in an interim period. The Company is currently in the process of evaluating the impact of ASU 2016-15 on its consolidated financial statements.</w:t>
      </w:r>
    </w:p>
    <w:p>
      <w:pPr>
        <w:spacing w:after="0" w:line="180"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w:t>
      </w:r>
      <w:r>
        <w:rPr>
          <w:rFonts w:ascii="Times New Roman" w:cs="Times New Roman" w:eastAsia="Times New Roman" w:hAnsi="Times New Roman"/>
          <w:sz w:val="18"/>
          <w:szCs w:val="18"/>
          <w:color w:val="auto"/>
        </w:rPr>
        <w:t>, which simplifies the subsequent measurement of goodwill by eliminating steps from the goodwill impairment test. ASU 2017-04 should be adopted for annual or interim goodwill impairment tests in fiscal years beginning after December 15, 2019. ASU 2017-04 should be applied prospectively and early adoptions is permitted, including adoption in an interim period. The Company is currently evaluating the impact of ASU 2017-04 on its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9"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2. OTHER ASSETS</w:t>
      </w:r>
    </w:p>
    <w:p>
      <w:pPr>
        <w:spacing w:after="0" w:line="229"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In 2015, the Company filed an 8-K stating that it executed a non-binding letter of intent to enter into a strategic relationship with privately-held EmboMedics Inc., which develops injectable and resorbable embolic microspheres.</w:t>
      </w:r>
    </w:p>
    <w:p>
      <w:pPr>
        <w:spacing w:after="0" w:line="16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 made an initial $2.0 million purchase of non-transferable warrants in a subsidiary of EmboMedics which become exercisable upon a change of control of EmboMedics. The Company did not have significant influence, or control of the subsidiary. This initial investment was recorded at cost and the Company reviewed for impairment at each balance sheet date.</w:t>
      </w:r>
    </w:p>
    <w:p>
      <w:pPr>
        <w:spacing w:after="0" w:line="176"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 2017, the Company decided to terminate its agreements with EmboMedics. The termination of these agreements resulted in a write-off of the initial $2.0 million investment in EmboMedics which is included in acquisition, restructuring and other items, net on the consolidated statements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9"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84"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7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marketable securities,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marketable securities, which are comprised of auction rate securities, and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360" w:right="239" w:bottom="1440" w:gutter="0" w:footer="0" w:header="0"/>
        </w:sectPr>
      </w:pPr>
    </w:p>
    <w:bookmarkStart w:id="73" w:name="page74"/>
    <w:bookmarkEnd w:id="73"/>
    <w:p>
      <w:pPr>
        <w:ind w:left="44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using inputs considered as: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May 31,</w:t>
            </w:r>
          </w:p>
        </w:tc>
        <w:tc>
          <w:tcPr>
            <w:tcW w:w="0" w:type="dxa"/>
            <w:vAlign w:val="bottom"/>
          </w:tcPr>
          <w:p>
            <w:pPr>
              <w:spacing w:after="0"/>
              <w:rPr>
                <w:sz w:val="1"/>
                <w:szCs w:val="1"/>
                <w:color w:val="auto"/>
              </w:rPr>
            </w:pPr>
          </w:p>
        </w:tc>
      </w:tr>
      <w:tr>
        <w:trPr>
          <w:trHeight w:val="195"/>
        </w:trPr>
        <w:tc>
          <w:tcPr>
            <w:tcW w:w="5160" w:type="dxa"/>
            <w:vAlign w:val="bottom"/>
            <w:gridSpan w:val="4"/>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0" w:type="dxa"/>
            <w:vAlign w:val="bottom"/>
          </w:tcPr>
          <w:p>
            <w:pPr>
              <w:spacing w:after="0"/>
              <w:rPr>
                <w:sz w:val="1"/>
                <w:szCs w:val="1"/>
                <w:color w:val="auto"/>
              </w:rPr>
            </w:pPr>
          </w:p>
        </w:tc>
      </w:tr>
      <w:tr>
        <w:trPr>
          <w:trHeight w:val="188"/>
        </w:trPr>
        <w:tc>
          <w:tcPr>
            <w:tcW w:w="5160" w:type="dxa"/>
            <w:vAlign w:val="bottom"/>
            <w:tcBorders>
              <w:top w:val="single" w:sz="8" w:color="CCEEFF"/>
            </w:tcBorders>
            <w:gridSpan w:val="4"/>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color w:val="auto"/>
              </w:rPr>
              <w:t>Financial Assets</w:t>
            </w:r>
          </w:p>
        </w:tc>
        <w:tc>
          <w:tcPr>
            <w:tcW w:w="10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4"/>
            <w:vMerge w:val="continue"/>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liability for acquisition earn outs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12,761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12,761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using inputs considered as: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May 31,</w:t>
            </w:r>
          </w:p>
        </w:tc>
        <w:tc>
          <w:tcPr>
            <w:tcW w:w="0" w:type="dxa"/>
            <w:vAlign w:val="bottom"/>
          </w:tcPr>
          <w:p>
            <w:pPr>
              <w:spacing w:after="0"/>
              <w:rPr>
                <w:sz w:val="1"/>
                <w:szCs w:val="1"/>
                <w:color w:val="auto"/>
              </w:rPr>
            </w:pPr>
          </w:p>
        </w:tc>
      </w:tr>
      <w:tr>
        <w:trPr>
          <w:trHeight w:val="195"/>
        </w:trPr>
        <w:tc>
          <w:tcPr>
            <w:tcW w:w="5160" w:type="dxa"/>
            <w:vAlign w:val="bottom"/>
            <w:gridSpan w:val="4"/>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188"/>
        </w:trPr>
        <w:tc>
          <w:tcPr>
            <w:tcW w:w="5160" w:type="dxa"/>
            <w:vAlign w:val="bottom"/>
            <w:tcBorders>
              <w:top w:val="single" w:sz="8" w:color="CCEEFF"/>
            </w:tcBorders>
            <w:gridSpan w:val="4"/>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color w:val="auto"/>
              </w:rPr>
              <w:t>Financial Assets</w:t>
            </w:r>
          </w:p>
        </w:tc>
        <w:tc>
          <w:tcPr>
            <w:tcW w:w="10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4"/>
            <w:vMerge w:val="continue"/>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liability for acquisition earn outs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38,275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38,275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38,275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38,275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There were no transfers in and out of Level 1, 2 and 3 measurements for the years ended </w:t>
      </w:r>
      <w:r>
        <w:rPr>
          <w:rFonts w:ascii="Times New Roman" w:cs="Times New Roman" w:eastAsia="Times New Roman" w:hAnsi="Times New Roman"/>
          <w:sz w:val="16"/>
          <w:szCs w:val="16"/>
          <w:color w:val="auto"/>
        </w:rPr>
        <w:t>May 31, 2017</w:t>
      </w:r>
      <w:r>
        <w:rPr>
          <w:rFonts w:ascii="Times New Roman" w:cs="Times New Roman" w:eastAsia="Times New Roman" w:hAnsi="Times New Roman"/>
          <w:sz w:val="18"/>
          <w:szCs w:val="18"/>
          <w:color w:val="auto"/>
        </w:rPr>
        <w:t xml:space="preserve"> and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changes in fair value components of Level 3 instruments in the year ended May 31, 2017 (in thousands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151"/>
        </w:trPr>
        <w:tc>
          <w:tcPr>
            <w:tcW w:w="6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color w:val="auto"/>
              </w:rPr>
              <w:t>Fair Value Measurements</w:t>
            </w:r>
          </w:p>
        </w:tc>
        <w:tc>
          <w:tcPr>
            <w:tcW w:w="160" w:type="dxa"/>
            <w:vAlign w:val="bottom"/>
          </w:tcPr>
          <w:p>
            <w:pPr>
              <w:spacing w:after="0"/>
              <w:rPr>
                <w:sz w:val="13"/>
                <w:szCs w:val="13"/>
                <w:color w:val="auto"/>
              </w:rPr>
            </w:pPr>
          </w:p>
        </w:tc>
        <w:tc>
          <w:tcPr>
            <w:tcW w:w="20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Using Significant</w:t>
            </w:r>
          </w:p>
        </w:tc>
        <w:tc>
          <w:tcPr>
            <w:tcW w:w="16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Unobservable Inputs</w:t>
            </w:r>
          </w:p>
        </w:tc>
        <w:tc>
          <w:tcPr>
            <w:tcW w:w="160" w:type="dxa"/>
            <w:vAlign w:val="bottom"/>
          </w:tcPr>
          <w:p>
            <w:pPr>
              <w:spacing w:after="0"/>
              <w:rPr>
                <w:sz w:val="12"/>
                <w:szCs w:val="12"/>
                <w:color w:val="auto"/>
              </w:rPr>
            </w:pPr>
          </w:p>
        </w:tc>
        <w:tc>
          <w:tcPr>
            <w:tcW w:w="2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93"/>
        </w:trPr>
        <w:tc>
          <w:tcPr>
            <w:tcW w:w="6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(Level 3)</w:t>
            </w:r>
          </w:p>
        </w:tc>
        <w:tc>
          <w:tcPr>
            <w:tcW w:w="160" w:type="dxa"/>
            <w:vAlign w:val="bottom"/>
          </w:tcPr>
          <w:p>
            <w:pPr>
              <w:spacing w:after="0"/>
              <w:rPr>
                <w:sz w:val="16"/>
                <w:szCs w:val="16"/>
                <w:color w:val="auto"/>
              </w:rPr>
            </w:pPr>
          </w:p>
        </w:tc>
        <w:tc>
          <w:tcPr>
            <w:tcW w:w="20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Unobservable Inputs (Level 3)</w:t>
            </w:r>
          </w:p>
        </w:tc>
        <w:tc>
          <w:tcPr>
            <w:tcW w:w="0" w:type="dxa"/>
            <w:vAlign w:val="bottom"/>
          </w:tcPr>
          <w:p>
            <w:pPr>
              <w:spacing w:after="0"/>
              <w:rPr>
                <w:sz w:val="1"/>
                <w:szCs w:val="1"/>
                <w:color w:val="auto"/>
              </w:rPr>
            </w:pPr>
          </w:p>
        </w:tc>
      </w:tr>
      <w:tr>
        <w:trPr>
          <w:trHeight w:val="24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31, 2016</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38,275</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contingent consideration, net (1)</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(gain) loss from remeasurement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market value adjustments</w:t>
            </w:r>
          </w:p>
        </w:tc>
        <w:tc>
          <w:tcPr>
            <w:tcW w:w="240" w:type="dxa"/>
            <w:vAlign w:val="bottom"/>
          </w:tcPr>
          <w:p>
            <w:pPr>
              <w:spacing w:after="0"/>
              <w:rPr>
                <w:sz w:val="21"/>
                <w:szCs w:val="21"/>
                <w:color w:val="auto"/>
              </w:rPr>
            </w:pPr>
          </w:p>
        </w:tc>
        <w:tc>
          <w:tcPr>
            <w:tcW w:w="1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 of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May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12,761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made the decision to discontinue its investment in the TiLo product that was acquired in August 2013 as part of the Clinical Devices acquisition. This decision resulted in the write-off of the acquired in-process research and development (IPR&amp;D) of $3.6 million along with a $3.1 million gain from the reduction in the fair value of contingent consideration liability associated with future milestones that will no longer be met. The write-off of the IPR&amp;D is included in acquisition, restructuring and other, net on the consolidated statement of operations.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revised the sales projections for the AngioVac product as a result of reviews performed by executive management across all products. The adjustments to the sales projections resulted in a $13.4 million gain from the reduction in the fair value of the contingent liability that is based on lower projected sales volume over the contractual earn out period.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80" w:right="239"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8"/>
          <w:szCs w:val="18"/>
          <w:color w:val="auto"/>
        </w:rPr>
        <w:t>The Company decided to terminate its agreement with EmboMedics which resulted in a $2.0 million write-off of our investment in EmboMedics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changes in fair value components of Level 3 instruments in the year ended May 31, 2016 (in thousands of dollars):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151"/>
        </w:trPr>
        <w:tc>
          <w:tcPr>
            <w:tcW w:w="6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color w:val="auto"/>
              </w:rPr>
              <w:t>Fair Value Measurements</w:t>
            </w:r>
          </w:p>
        </w:tc>
        <w:tc>
          <w:tcPr>
            <w:tcW w:w="180" w:type="dxa"/>
            <w:vAlign w:val="bottom"/>
          </w:tcPr>
          <w:p>
            <w:pPr>
              <w:spacing w:after="0"/>
              <w:rPr>
                <w:sz w:val="13"/>
                <w:szCs w:val="13"/>
                <w:color w:val="auto"/>
              </w:rPr>
            </w:pPr>
          </w:p>
        </w:tc>
        <w:tc>
          <w:tcPr>
            <w:tcW w:w="21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Using Significant</w:t>
            </w:r>
          </w:p>
        </w:tc>
        <w:tc>
          <w:tcPr>
            <w:tcW w:w="18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Unobservable Inputs</w:t>
            </w:r>
          </w:p>
        </w:tc>
        <w:tc>
          <w:tcPr>
            <w:tcW w:w="180" w:type="dxa"/>
            <w:vAlign w:val="bottom"/>
          </w:tcPr>
          <w:p>
            <w:pPr>
              <w:spacing w:after="0"/>
              <w:rPr>
                <w:sz w:val="12"/>
                <w:szCs w:val="12"/>
                <w:color w:val="auto"/>
              </w:rPr>
            </w:pPr>
          </w:p>
        </w:tc>
        <w:tc>
          <w:tcPr>
            <w:tcW w:w="21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93"/>
        </w:trPr>
        <w:tc>
          <w:tcPr>
            <w:tcW w:w="6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(Level 3)</w:t>
            </w:r>
          </w:p>
        </w:tc>
        <w:tc>
          <w:tcPr>
            <w:tcW w:w="180" w:type="dxa"/>
            <w:vAlign w:val="bottom"/>
          </w:tcPr>
          <w:p>
            <w:pPr>
              <w:spacing w:after="0"/>
              <w:rPr>
                <w:sz w:val="16"/>
                <w:szCs w:val="16"/>
                <w:color w:val="auto"/>
              </w:rPr>
            </w:pPr>
          </w:p>
        </w:tc>
        <w:tc>
          <w:tcPr>
            <w:tcW w:w="210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Unobservable Inputs (Level 3)</w:t>
            </w:r>
          </w:p>
        </w:tc>
        <w:tc>
          <w:tcPr>
            <w:tcW w:w="0" w:type="dxa"/>
            <w:vAlign w:val="bottom"/>
          </w:tcPr>
          <w:p>
            <w:pPr>
              <w:spacing w:after="0"/>
              <w:rPr>
                <w:sz w:val="1"/>
                <w:szCs w:val="1"/>
                <w:color w:val="auto"/>
              </w:rPr>
            </w:pPr>
          </w:p>
        </w:tc>
      </w:tr>
      <w:tr>
        <w:trPr>
          <w:trHeight w:val="249"/>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47,384</w:t>
            </w:r>
          </w:p>
        </w:tc>
        <w:tc>
          <w:tcPr>
            <w:tcW w:w="0" w:type="dxa"/>
            <w:vAlign w:val="bottom"/>
          </w:tcPr>
          <w:p>
            <w:pPr>
              <w:spacing w:after="0"/>
              <w:rPr>
                <w:sz w:val="1"/>
                <w:szCs w:val="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contingent consideration (1)</w:t>
            </w:r>
          </w:p>
        </w:tc>
        <w:tc>
          <w:tcPr>
            <w:tcW w:w="24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(gain) loss from remeasurement</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market value adjustments</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31, 2016</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38,275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620" w:firstLine="405"/>
        <w:spacing w:after="0" w:line="266" w:lineRule="auto"/>
        <w:rPr>
          <w:sz w:val="20"/>
          <w:szCs w:val="20"/>
          <w:color w:val="auto"/>
        </w:rPr>
      </w:pPr>
      <w:r>
        <w:rPr>
          <w:rFonts w:ascii="Times New Roman" w:cs="Times New Roman" w:eastAsia="Times New Roman" w:hAnsi="Times New Roman"/>
          <w:sz w:val="18"/>
          <w:szCs w:val="18"/>
          <w:color w:val="auto"/>
        </w:rPr>
        <w:t>Marketable securities consist solely of an auction rate security. Assumptions associated with the auction rate security include the interest rate benchmarks, the probability of full repayment of the principal considering the credit quality and guarantees in place, and the rate of return required by investors to own such securities given the current liquidity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Liability for Acquisition Earn Outs</w:t>
      </w:r>
    </w:p>
    <w:p>
      <w:pPr>
        <w:spacing w:after="0" w:line="22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Certain business combinations involve the potential for the payment of future contingent consideration upon the achievement of certain product development milestones and/or various other favorable operating conditions. Payment of the additional consideration is generally contingent on the acquired company reaching certain performance milestones, including attaining specified revenue levels or achieving product development targets. Contingent consideration is recorded at the estimated fair value of the contingent milestone payments on the acquisition date. The fair value of the contingent milestone consideration is remeasured at the estimated fair value at each reporting period with the change in fair value recognized as income or expense within change in fair value of contingent consideration in the consolidated statement of operations.</w:t>
      </w:r>
    </w:p>
    <w:p>
      <w:pPr>
        <w:spacing w:after="0" w:line="188"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Contingent consideration liabilities will be remeasured to fair value each reporting period using projected net sales, discount rates, probabilities of payment and projected payment dates. Projected contingent payment amounts are discounted back to the current period using a discounted cash flow model. Projected net sales are based on internal projections and extensive analysis of the target market and the sales potential. Increases in projected net sales and probabilities of payment may result in higher fair value measurements in the future. Increases in discount rates and the projected time to payment may result in lower fair value measurements in the future. Increases or decreases in any valuation inputs in isolation may result in a significantly lower or higher fair value measurement in the future.</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2017:</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3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7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00" w:type="dxa"/>
            <w:vAlign w:val="bottom"/>
            <w:tcBorders>
              <w:bottom w:val="single" w:sz="8" w:color="CCEEFF"/>
            </w:tcBorders>
          </w:tcPr>
          <w:p>
            <w:pPr>
              <w:spacing w:after="0"/>
              <w:rPr>
                <w:sz w:val="16"/>
                <w:szCs w:val="16"/>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based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12,761</w:t>
            </w: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3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Projected fiscal year of payment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2018 - 2022</w:t>
            </w:r>
          </w:p>
        </w:tc>
        <w:tc>
          <w:tcPr>
            <w:tcW w:w="0" w:type="dxa"/>
            <w:vAlign w:val="bottom"/>
          </w:tcPr>
          <w:p>
            <w:pPr>
              <w:spacing w:after="0"/>
              <w:rPr>
                <w:sz w:val="1"/>
                <w:szCs w:val="1"/>
                <w:color w:val="auto"/>
              </w:rPr>
            </w:pPr>
          </w:p>
        </w:tc>
      </w:tr>
      <w:tr>
        <w:trPr>
          <w:trHeight w:val="459"/>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5" w:name="page76"/>
    <w:bookmarkEnd w:id="75"/>
    <w:p>
      <w:pPr>
        <w:ind w:firstLine="432"/>
        <w:spacing w:after="0" w:line="282" w:lineRule="auto"/>
        <w:rPr>
          <w:sz w:val="20"/>
          <w:szCs w:val="20"/>
          <w:color w:val="auto"/>
        </w:rPr>
      </w:pPr>
      <w:r>
        <w:rPr>
          <w:rFonts w:ascii="Times New Roman" w:cs="Times New Roman" w:eastAsia="Times New Roman" w:hAnsi="Times New Roman"/>
          <w:sz w:val="18"/>
          <w:szCs w:val="18"/>
          <w:color w:val="auto"/>
        </w:rPr>
        <w:t>At May 31, 2017, the estimated potential amount of undiscounted future contingent consideration that the Company expects to pay as a result of all completed acquisitions is approximately $13.1 million, which represents the remaining contractual minimum payments.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60"/>
          </w:cols>
          <w:pgMar w:left="240" w:top="526" w:right="5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31, 2017, marketable securities consisted of the following: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11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9"/>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Available-for-sales securities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New York State government agency obligations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May 31, 2016, marketable securities consisted of the following:</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24"/>
                <w:szCs w:val="24"/>
                <w:color w:val="auto"/>
              </w:rPr>
            </w:pPr>
          </w:p>
        </w:tc>
        <w:tc>
          <w:tcPr>
            <w:tcW w:w="11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9"/>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Available-for-sales securities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New York State government agency obligations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marketable securities as of May 31, 2017, by contractual maturity, are shown below. Expected maturities may differ from contractual maturities because borrowers may have the right to call or prepay obligations with or without call or prepayment penalties.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7660" w:type="dxa"/>
            <w:vAlign w:val="bottom"/>
          </w:tcPr>
          <w:p>
            <w:pPr>
              <w:spacing w:after="0"/>
              <w:rPr>
                <w:sz w:val="16"/>
                <w:szCs w:val="16"/>
                <w:color w:val="auto"/>
              </w:rPr>
            </w:pPr>
          </w:p>
        </w:tc>
        <w:tc>
          <w:tcPr>
            <w:tcW w:w="1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6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May 31, 2017:</w:t>
            </w:r>
          </w:p>
        </w:tc>
        <w:tc>
          <w:tcPr>
            <w:tcW w:w="1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8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Due after five through twenty years </w:t>
            </w:r>
            <w:r>
              <w:rPr>
                <w:rFonts w:ascii="Times New Roman" w:cs="Times New Roman" w:eastAsia="Times New Roman" w:hAnsi="Times New Roman"/>
                <w:sz w:val="14"/>
                <w:szCs w:val="14"/>
                <w:color w:val="auto"/>
              </w:rPr>
              <w:t>(1)</w:t>
            </w: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1,215</w:t>
            </w: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1,215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jc w:val="center"/>
        <w:ind w:left="5620" w:right="780" w:hanging="5612"/>
        <w:spacing w:after="0" w:line="542"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auction rate security represents investments available for current operations and are classified as current in the consolidated balance sheets. 74</w:t>
      </w:r>
    </w:p>
    <w:p>
      <w:pPr>
        <w:sectPr>
          <w:pgSz w:w="11900" w:h="16838" w:orient="portrait"/>
          <w:cols w:equalWidth="0" w:num="1">
            <w:col w:w="11420"/>
          </w:cols>
          <w:pgMar w:left="240" w:top="360"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31, 2017 and 2016, inventories consisted of the following:</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May 31, 2016</w:t>
            </w:r>
          </w:p>
        </w:tc>
      </w:tr>
      <w:tr>
        <w:trPr>
          <w:trHeight w:val="26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21,669</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10,700</w:t>
            </w:r>
          </w:p>
        </w:tc>
      </w:tr>
      <w:tr>
        <w:trPr>
          <w:trHeight w:val="27"/>
        </w:trPr>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23,001</w:t>
            </w:r>
          </w:p>
        </w:tc>
      </w:tr>
      <w:tr>
        <w:trPr>
          <w:trHeight w:val="237"/>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54,506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55,370</w:t>
            </w:r>
          </w:p>
        </w:tc>
      </w:tr>
      <w:tr>
        <w:trPr>
          <w:trHeight w:val="27"/>
        </w:trPr>
        <w:tc>
          <w:tcPr>
            <w:tcW w:w="7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2017 and 2016 was $7.3 million and $12.6 million, respectively. Of the $7.3 million, $2.4 million relates to the inventory reserve for Acculis inventory as a result of the recall (Note 10). Of the $12.6 million in the prior year, $5.8 million relates to the reserve of Celerity inventory on-hand at May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31, 2017 and 2016, prepaid expenses and other consisted of the following:</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0" w:type="dxa"/>
            <w:vAlign w:val="bottom"/>
          </w:tcPr>
          <w:p>
            <w:pPr>
              <w:spacing w:after="0"/>
              <w:rPr>
                <w:sz w:val="1"/>
                <w:szCs w:val="1"/>
                <w:color w:val="auto"/>
              </w:rPr>
            </w:pPr>
          </w:p>
        </w:tc>
      </w:tr>
      <w:tr>
        <w:trPr>
          <w:trHeight w:val="265"/>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 licenses</w:t>
            </w:r>
          </w:p>
        </w:tc>
        <w:tc>
          <w:tcPr>
            <w:tcW w:w="3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 fees</w:t>
            </w:r>
          </w:p>
        </w:tc>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shows</w:t>
            </w:r>
          </w:p>
        </w:tc>
        <w:tc>
          <w:tcPr>
            <w:tcW w:w="3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w:t>
            </w:r>
          </w:p>
        </w:tc>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prepaid taxes</w:t>
            </w:r>
          </w:p>
        </w:tc>
        <w:tc>
          <w:tcPr>
            <w:tcW w:w="3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Medical device excise tax receivable</w:t>
            </w:r>
          </w:p>
        </w:tc>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5,790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500" w:type="dxa"/>
            <w:vAlign w:val="bottom"/>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31, 2017 and 2016, property, plant and equipment are summarized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May 31, 2016</w:t>
            </w:r>
          </w:p>
        </w:tc>
      </w:tr>
      <w:tr>
        <w:trPr>
          <w:trHeight w:val="265"/>
        </w:trPr>
        <w:tc>
          <w:tcPr>
            <w:tcW w:w="7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39,585</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24,078</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24,691</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1,743</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90,097</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(43,536)</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46,561</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1,723</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45,234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48,284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expense for fiscal 2017, 2016 and 2015 was $6.0 million, $8.2 million and $9.8 million, respectively.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603"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intangible assets and review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84"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6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Company's annual testing for impairment of goodwill was completed as of December 31, 2016.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207" w:lineRule="exact"/>
        <w:rPr>
          <w:sz w:val="20"/>
          <w:szCs w:val="20"/>
          <w:color w:val="auto"/>
        </w:rPr>
      </w:pPr>
    </w:p>
    <w:p>
      <w:pPr>
        <w:ind w:right="20" w:firstLine="432"/>
        <w:spacing w:after="0" w:line="309" w:lineRule="auto"/>
        <w:rPr>
          <w:sz w:val="20"/>
          <w:szCs w:val="20"/>
          <w:color w:val="auto"/>
        </w:rPr>
      </w:pPr>
      <w:r>
        <w:rPr>
          <w:rFonts w:ascii="Times New Roman" w:cs="Times New Roman" w:eastAsia="Times New Roman" w:hAnsi="Times New Roman"/>
          <w:sz w:val="18"/>
          <w:szCs w:val="18"/>
          <w:color w:val="auto"/>
        </w:rPr>
        <w:t>Even though the Company determined that there was no goodwill impairment as of December 31, 2016,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2017. The Company continued to assess for potential impairment through May 31, 2017 and noted no events that would be considered a triggering event. There were no adjustments to goodwill for the years ended May 31, 2017 and 2016.</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31, 2017 and 2016, intangible assets consisted of the following:</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2"/>
                <w:szCs w:val="12"/>
                <w:color w:val="auto"/>
              </w:rPr>
            </w:pPr>
          </w:p>
        </w:tc>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34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65"/>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technologies</w:t>
            </w:r>
          </w:p>
        </w:tc>
        <w:tc>
          <w:tcPr>
            <w:tcW w:w="2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147,172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87,476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37,181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19,331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237,684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145,675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3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2016</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2"/>
                <w:szCs w:val="12"/>
                <w:color w:val="auto"/>
              </w:rPr>
            </w:pPr>
          </w:p>
        </w:tc>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34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65"/>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technologies</w:t>
            </w:r>
          </w:p>
        </w:tc>
        <w:tc>
          <w:tcPr>
            <w:tcW w:w="2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148,387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97,074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88,389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41,256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22,228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process R&amp;D</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278,927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166,577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t>Amortization expense was $17.3 million, $18.0 million and $18.0 million for fiscal years 2017, 2016 and 2015, respectively.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Annual amortization of these intangible assets is expected to approximate the following amounts for each of the next five fiscal years: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5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 and thereafter</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145,675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8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components of income (loss) before income tax expense (benefit) for the years ended May 31 are as follows:</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3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tax expense:</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Non-US</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8"/>
                <w:szCs w:val="18"/>
                <w:color w:val="auto"/>
              </w:rPr>
              <w:t>Income tax expense (benefit) is comprised of the following:</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53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 and local</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 U.S.</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39,983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40,337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fiscal years 2017 and 2016 income tax expense, the Company recorded tax expense of $4.8 million and $40.3 million, respectively, primarily driven by the impact of recording a deferred tax liability related to the amortization of intangibles, for tax purposes, that have an indefinite reversal period and cannot be used to support the deferred tax assets in fiscal 2017 and recording a valuation allowance of $40.4 million on the U.S. deferred tax assets in fiscal 2016.</w:t>
      </w:r>
    </w:p>
    <w:p>
      <w:pPr>
        <w:spacing w:after="0" w:line="180"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In the fiscal year 2015 income tax benefit, the Company recorded a tax benefit of $4.7 million, primarily driven by a benefit of the $9.2 million nontaxable adjustment to the contingent liabilities related to Vortex Medical and Clinical Devices, and a seven month benefit from the R&amp;D tax credit that expired on December 31, 2014, offset by non-deductible interest expense related to contingent payments, true-ups of our fiscal year 2014 US income tax returns and the impact of the elimination of the ASC 718 APIC pool.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526" w:right="23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t>Temporary differences that give rise to deferred tax assets and liabilities are summarized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May 31, 2017</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May 31, 2016</w:t>
            </w:r>
          </w:p>
        </w:tc>
      </w:tr>
      <w:tr>
        <w:trPr>
          <w:trHeight w:val="269"/>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55,975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52,593</w:t>
            </w: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4,135</w:t>
            </w: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 and state R&amp;D tax credit carryforward</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2,145</w:t>
            </w: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4,535</w:t>
            </w: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 incurred not currently deductible</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3,018</w:t>
            </w: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r>
      <w:tr>
        <w:trPr>
          <w:trHeight w:val="27"/>
        </w:trPr>
        <w:tc>
          <w:tcPr>
            <w:tcW w:w="6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deferred tax asset</w:t>
            </w:r>
          </w:p>
        </w:tc>
        <w:tc>
          <w:tcPr>
            <w:tcW w:w="4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66,765</w:t>
            </w:r>
          </w:p>
        </w:tc>
      </w:tr>
      <w:tr>
        <w:trPr>
          <w:trHeight w:val="22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r>
      <w:tr>
        <w:trPr>
          <w:trHeight w:val="41"/>
        </w:trPr>
        <w:tc>
          <w:tcPr>
            <w:tcW w:w="6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over book 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49,158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46,240</w:t>
            </w:r>
          </w:p>
        </w:tc>
      </w:tr>
      <w:tr>
        <w:trPr>
          <w:trHeight w:val="237"/>
        </w:trPr>
        <w:tc>
          <w:tcPr>
            <w:tcW w:w="69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49,158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46,240</w:t>
            </w: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(42,209)</w:t>
            </w:r>
          </w:p>
        </w:tc>
      </w:tr>
      <w:tr>
        <w:trPr>
          <w:trHeight w:val="237"/>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(21,684)</w:t>
            </w:r>
          </w:p>
        </w:tc>
      </w:tr>
      <w:tr>
        <w:trPr>
          <w:trHeight w:val="27"/>
        </w:trPr>
        <w:tc>
          <w:tcPr>
            <w:tcW w:w="6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Company's Federal net operating loss carryforwards as of May 31, 2017 after considering IRC Section 382 limitations are $161.6 million. The expiration of the Federal net operating loss carryforwards are as follows: $29.8 million between 2017 and 2023 and $131.8 million between 2027 and 2037.</w:t>
      </w:r>
    </w:p>
    <w:p>
      <w:pPr>
        <w:spacing w:after="0" w:line="162"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The Company's state net operating loss carryforwards as of May 31, 2017 after considering remaining IRC Section 382 limitations are $32.7 million which expire in various years from 2017 to 2037.</w:t>
      </w:r>
    </w:p>
    <w:p>
      <w:pPr>
        <w:spacing w:after="0" w:line="16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As a result of certain realization requirements of ASC 718, the table of deferred tax assets and liabilities shown above does not include certain deferred tax assets as of May 31, 2017 and 2016 that arose directly from tax deductions related to equity compensation greater than compensation recognized for financial reporting. Equity will be increased by $0.6 million if and when such excess tax benefits are ultimately realized.</w:t>
      </w:r>
    </w:p>
    <w:p>
      <w:pPr>
        <w:spacing w:after="0" w:line="176"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if based upon the weight of available evidence, it is more likely than not that some or all of the deferred tax assets will not be realized. After careful consideration and weighing of all the available positive and negative evidence, the weight given to the three</w:t>
      </w:r>
    </w:p>
    <w:p>
      <w:pPr>
        <w:ind w:right="60"/>
        <w:spacing w:after="0" w:line="252" w:lineRule="auto"/>
        <w:rPr>
          <w:sz w:val="20"/>
          <w:szCs w:val="20"/>
          <w:color w:val="auto"/>
        </w:rPr>
      </w:pPr>
      <w:r>
        <w:rPr>
          <w:rFonts w:ascii="Times New Roman" w:cs="Times New Roman" w:eastAsia="Times New Roman" w:hAnsi="Times New Roman"/>
          <w:sz w:val="18"/>
          <w:szCs w:val="18"/>
          <w:color w:val="auto"/>
        </w:rPr>
        <w:t>year cumulative loss and lack of a recent history of core earnings was difficult to overcome and a full valuation allowance related to the U.S. deferred tax assets was established in the period ending May 31, 2016. Management considered all available positive and negative evidence at May 31, 2017, and considering the cumulative loss in the U.S. over the three year period, determined that the valuation allowance is still required. Management will continue to reevaluate the positive and negative evidence at each reporting period and if future results as projected in the U.S. and the Company's tax planning strategies are favorable, the valuation allowance may be removed, which could have a favorable material impact on the Company's results of operations in the period in which it is recorded.</w:t>
      </w:r>
    </w:p>
    <w:p>
      <w:pPr>
        <w:spacing w:after="0" w:line="190"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net deferred tax liability as of May 31, 2017 and 2016 relates to tax amortization of intangibles that have an indefinite reversal period for book purposes and cannot be used to support the deferred tax asset.</w:t>
      </w:r>
    </w:p>
    <w:p>
      <w:pPr>
        <w:spacing w:after="0" w:line="16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Company's consolidated income tax expense has differed from the amount that would be provided by applying the U.S. Federal statutory income tax rate to the Company's income before income taxes for the following reasons: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580" w:right="239" w:bottom="1440" w:gutter="0" w:footer="0" w:header="0"/>
        </w:sectPr>
      </w:pPr>
    </w:p>
    <w:bookmarkStart w:id="82" w:name="page83"/>
    <w:bookmarkEnd w:id="82"/>
    <w:p>
      <w:pPr>
        <w:ind w:left="7580"/>
        <w:spacing w:after="0"/>
        <w:rPr>
          <w:sz w:val="20"/>
          <w:szCs w:val="20"/>
          <w:color w:val="auto"/>
        </w:rPr>
      </w:pPr>
      <w:r>
        <w:rPr>
          <w:rFonts w:ascii="Times New Roman" w:cs="Times New Roman" w:eastAsia="Times New Roman" w:hAnsi="Times New Roman"/>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20" w:type="dxa"/>
            <w:vAlign w:val="bottom"/>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5"/>
        </w:trPr>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5"/>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 at statutory tax rate of 35%</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graduated tax rates</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Impact of Non-US operations</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Meals and entertainment</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Non-deductible interest on contingent payments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Non-taxable gain on revaluation of contingent consideration liability</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law changes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40,685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elimination of stock compensation APIC pool</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1,253</w:t>
            </w: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IPR&amp;D intangible write-off</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 (under) accrual of prior year Federal and State taxes</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6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40,337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7"/>
        </w:trPr>
        <w:tc>
          <w:tcPr>
            <w:tcW w:w="57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amount of unrecognized tax benefits:</w:t>
      </w:r>
    </w:p>
    <w:p>
      <w:pPr>
        <w:spacing w:after="0" w:line="34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1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balance at June 1</w:t>
            </w:r>
          </w:p>
        </w:tc>
        <w:tc>
          <w:tcPr>
            <w:tcW w:w="1340" w:type="dxa"/>
            <w:vAlign w:val="bottom"/>
            <w:tcBorders>
              <w:bottom w:val="single" w:sz="8" w:color="CCEEFF"/>
            </w:tcBorders>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gross amounts of tax positions related to prior years</w:t>
            </w:r>
          </w:p>
        </w:tc>
        <w:tc>
          <w:tcPr>
            <w:tcW w:w="13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balance at May 31</w:t>
            </w:r>
          </w:p>
        </w:tc>
        <w:tc>
          <w:tcPr>
            <w:tcW w:w="134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table above includes unrecognized tax benefits associated with the calculation of limitations placed on the utilization of tax attributes related to an acquired company. If recognized, $0.1 million of the balance of unrecognized tax benefits as of May 31, 2017 would affect the effective tax rate and the balance of $0.8 million would result in adjustments to other tax accounts.</w:t>
      </w:r>
    </w:p>
    <w:p>
      <w:pPr>
        <w:spacing w:after="0" w:line="136"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income tax expense. There are no accrued interest and penalties recognized in the consolidated balance sheet as of May 31, 2017 and May 31, 2016.</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foreign jurisdictions. In the normal course of business the Company is subject to examination by taxing authorities throughout the world. Fiscal years 2014 through 2017 remain open to examination by the various tax authorities.</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does not anticipate that the amount of unrecognized tax benefits will significantly change in the next twelve months.</w:t>
      </w:r>
    </w:p>
    <w:p>
      <w:pPr>
        <w:spacing w:after="0" w:line="185" w:lineRule="exact"/>
        <w:rPr>
          <w:sz w:val="20"/>
          <w:szCs w:val="20"/>
          <w:color w:val="auto"/>
        </w:rPr>
      </w:pPr>
    </w:p>
    <w:p>
      <w:pPr>
        <w:ind w:right="160" w:firstLine="392"/>
        <w:spacing w:after="0" w:line="282" w:lineRule="auto"/>
        <w:rPr>
          <w:sz w:val="20"/>
          <w:szCs w:val="20"/>
          <w:color w:val="auto"/>
        </w:rPr>
      </w:pPr>
      <w:r>
        <w:rPr>
          <w:rFonts w:ascii="Times New Roman" w:cs="Times New Roman" w:eastAsia="Times New Roman" w:hAnsi="Times New Roman"/>
          <w:sz w:val="18"/>
          <w:szCs w:val="18"/>
          <w:color w:val="auto"/>
        </w:rPr>
        <w:t>The accumulated undistributed earnings of the Company’s foreign operations were approximately $5.3 million, and are intended to remain indefinitely invested in foreign operations. Accordingly, no taxes have been provided on these earnings as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526" w:right="239" w:bottom="1440" w:gutter="0" w:footer="0" w:header="0"/>
        </w:sectPr>
      </w:pPr>
    </w:p>
    <w:bookmarkStart w:id="83" w:name="page84"/>
    <w:bookmarkEnd w:id="83"/>
    <w:p>
      <w:pPr>
        <w:ind w:right="340"/>
        <w:spacing w:after="0" w:line="282" w:lineRule="auto"/>
        <w:rPr>
          <w:sz w:val="20"/>
          <w:szCs w:val="20"/>
          <w:color w:val="auto"/>
        </w:rPr>
      </w:pPr>
      <w:r>
        <w:rPr>
          <w:rFonts w:ascii="Times New Roman" w:cs="Times New Roman" w:eastAsia="Times New Roman" w:hAnsi="Times New Roman"/>
          <w:sz w:val="18"/>
          <w:szCs w:val="18"/>
          <w:color w:val="auto"/>
        </w:rPr>
        <w:t>May 31, 2017. If these earnings were distributed, the Company would be subject to both foreign withholding taxes and U.S. income taxes that may not be fully offset by foreign tax credits. A reasonable estimate of the deferred tax liability on these earnings is not practicable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LIABILITIES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31, 2017 and 2016, accrued liabilities consist of the following: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May 31,</w:t>
            </w:r>
          </w:p>
        </w:tc>
      </w:tr>
      <w:tr>
        <w:trPr>
          <w:trHeight w:val="194"/>
        </w:trPr>
        <w:tc>
          <w:tcPr>
            <w:tcW w:w="7440" w:type="dxa"/>
            <w:vAlign w:val="bottom"/>
          </w:tcPr>
          <w:p>
            <w:pPr>
              <w:spacing w:after="0"/>
              <w:rPr>
                <w:sz w:val="16"/>
                <w:szCs w:val="16"/>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9,414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Royalties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2,489</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severance</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565</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Outside services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2,063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 matters (Note 15)</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Acculis recall liability</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5,887</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21,942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the fourth quarter of fiscal year 2017, the Company issued a voluntary recall of its Acculis probes that were sold over the past two years. As a result of this voluntary recall, the Company decided to also do a voluntary market withdrawal of its Acculis capital systems and discontinue selling the product. The voluntary recall resulted in a deferral of revenue of $2.6 million and an increase of $2.6 million in inventory and hardware asset reserves. The total impact to income before taxes of the recall was $4.5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7, 2016, the Company entered into a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76"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$100.0 million senior secured term loan facility and a $150.0 million senior secured revolving credit facility, which includes up to a $20.0 million sublimit for letters of credit and a $5.0 million sublimit for swingline loans.</w:t>
      </w:r>
    </w:p>
    <w:p>
      <w:pPr>
        <w:spacing w:after="0" w:line="162"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On November 7, 2016, the Company borrowed $100.0 million under the Term Loan and approximately $16.5 million under the Revolving Facility to repay the balance of $116.5 million under the former credit agreement. In February 2017 the revolver was paid off in full. As of May 31, 2017 and 2016 the carrying value of long-term debt approximates its fair market value.</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proceeds of the Revolving Facility may be used for general corporate purposes of the Company and its subsidiaries. The Facilities have a five year maturity. Interest on both the Term Loan and Revolving Facility are based on a base rate or Eurodollar rate plus an applicable margin which increases as total leverage ratio increases, with the base rate and Eurodollar rate having ranges of 0.50% to 1.25% and 1.50% to 2.25% respectively. In case of default, the interest rate may be increased by 2.0%. The Revolving Facility carries a commitment fee of 0.20% to 0.35% per annum on the unused portion. The interest rate on the Term Loan at May 31, 2017 was 2.55%.</w:t>
      </w:r>
    </w:p>
    <w:p>
      <w:pPr>
        <w:spacing w:after="0" w:line="18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Facilities are unconditionally guaranteed, jointly and severally, by the Company's material direct and indirect domestic subsidiaries (the “Guarantors”). All obligations of the Company and the Guarantors under the Facilities are secured by first priority security interests in substantially all of the assets of the Company and the Guarantors.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364" w:right="239" w:bottom="1440" w:gutter="0" w:footer="0" w:header="0"/>
        </w:sectPr>
      </w:pPr>
    </w:p>
    <w:bookmarkStart w:id="84" w:name="page85"/>
    <w:bookmarkEnd w:id="84"/>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89" w:lineRule="exact"/>
        <w:rPr>
          <w:sz w:val="20"/>
          <w:szCs w:val="20"/>
          <w:color w:val="auto"/>
        </w:rPr>
      </w:pPr>
    </w:p>
    <w:p>
      <w:pPr>
        <w:ind w:left="660" w:right="380" w:firstLine="428"/>
        <w:spacing w:after="0" w:line="329" w:lineRule="auto"/>
        <w:tabs>
          <w:tab w:leader="none" w:pos="13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leverage ratio of consolidated total indebtedness* to consolidated EBITDA* of not greater than 3.50 to 1.00 (during certain periods following material acquisitions shall be increased to 3.75 to 1.00).</w:t>
      </w:r>
    </w:p>
    <w:p>
      <w:pPr>
        <w:spacing w:after="0" w:line="161" w:lineRule="exact"/>
        <w:rPr>
          <w:rFonts w:ascii="Times New Roman" w:cs="Times New Roman" w:eastAsia="Times New Roman" w:hAnsi="Times New Roman"/>
          <w:sz w:val="18"/>
          <w:szCs w:val="18"/>
          <w:color w:val="auto"/>
        </w:rPr>
      </w:pPr>
    </w:p>
    <w:p>
      <w:pPr>
        <w:ind w:left="660" w:right="360" w:firstLine="428"/>
        <w:spacing w:after="0" w:line="329" w:lineRule="auto"/>
        <w:tabs>
          <w:tab w:leader="none" w:pos="141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definitions of consolidated total indebtedness and consolidated EBITDA are maintained in the credit agreement included as an exhibit to Form 8-k filed on November 10, 2016.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both covenants as of May 31,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maturities of principal obligations under the credit agreement are as follows, as of May 31, 2017:</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10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5"/>
        </w:trPr>
        <w:tc>
          <w:tcPr>
            <w:tcW w:w="10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10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r>
      <w:tr>
        <w:trPr>
          <w:trHeight w:val="243"/>
        </w:trPr>
        <w:tc>
          <w:tcPr>
            <w:tcW w:w="10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11,250</w:t>
            </w:r>
          </w:p>
        </w:tc>
      </w:tr>
      <w:tr>
        <w:trPr>
          <w:trHeight w:val="27"/>
        </w:trPr>
        <w:tc>
          <w:tcPr>
            <w:tcW w:w="10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68,750</w:t>
            </w:r>
          </w:p>
        </w:tc>
      </w:tr>
      <w:tr>
        <w:trPr>
          <w:trHeight w:val="237"/>
        </w:trPr>
        <w:tc>
          <w:tcPr>
            <w:tcW w:w="10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term loan</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97,500</w:t>
            </w:r>
          </w:p>
        </w:tc>
      </w:tr>
      <w:tr>
        <w:trPr>
          <w:trHeight w:val="27"/>
        </w:trPr>
        <w:tc>
          <w:tcPr>
            <w:tcW w:w="10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97,500</w:t>
            </w:r>
          </w:p>
        </w:tc>
      </w:tr>
      <w:tr>
        <w:trPr>
          <w:trHeight w:val="27"/>
        </w:trPr>
        <w:tc>
          <w:tcPr>
            <w:tcW w:w="10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37"/>
        </w:trPr>
        <w:tc>
          <w:tcPr>
            <w:tcW w:w="10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96,320</w:t>
            </w:r>
          </w:p>
        </w:tc>
      </w:tr>
      <w:tr>
        <w:trPr>
          <w:trHeight w:val="27"/>
        </w:trPr>
        <w:tc>
          <w:tcPr>
            <w:tcW w:w="10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7"/>
        </w:trPr>
        <w:tc>
          <w:tcPr>
            <w:tcW w:w="10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91,320</w:t>
            </w:r>
          </w:p>
        </w:tc>
      </w:tr>
      <w:tr>
        <w:trPr>
          <w:trHeight w:val="27"/>
        </w:trPr>
        <w:tc>
          <w:tcPr>
            <w:tcW w:w="10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PLANS</w:t>
      </w:r>
    </w:p>
    <w:p>
      <w:pPr>
        <w:spacing w:after="0" w:line="229"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Company has a 401(k) plan under which eligible employees can defer a portion of their compensation, part of which is matched by the Company. Matching contributions were $4.2 million, $3.7 million and $3.7 million in 2017, 2016 and 2015, respectively. There are also various immaterial foreign retirement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364" w:right="259" w:bottom="1440" w:gutter="0" w:footer="0" w:header="0"/>
        </w:sectPr>
      </w:pPr>
    </w:p>
    <w:bookmarkStart w:id="85" w:name="page86"/>
    <w:bookmarkEnd w:id="85"/>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62"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2004 Stock and Incentive Award Plan</w:t>
      </w:r>
    </w:p>
    <w:p>
      <w:pPr>
        <w:spacing w:after="0" w:line="229"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2004 Stock and Incentive Award Plan (the “2004 Plan”) provides for the grant of incentive options to employees and for the grant of non-statutory stock options, restricted stock, stock appreciation rights, performance units, performance shares and other incentive awards to employees, directors and other service providers. A total of 7,000,000 shares of common stock have been reserved for issuance under the 2004 Plan, of which up to 800,000 shares may be issued upon the exercise of incentive stock options. The compensation committee of the Board of Directors administers the 2004 Plan. The committee determines vesting terms and the exercise price of options granted under the 2004 Plan, but for all incentive stock options the exercise price must at least be equal to the fair market value of common stock on the date of grant. The term of an incentive stock option may not exceed ten years.</w:t>
      </w:r>
    </w:p>
    <w:p>
      <w:pPr>
        <w:spacing w:after="0" w:line="188"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On October 25, 2016, the Company amended the 2004 Stock and Incentive Award Plan to increased the shares of common stock reserved for issuance by 250,000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31, 2017, there remained approximately 2.4 million shares available for granting under the 2004 Plan.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activity for the fiscal year ended May 31, 2017.</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83"/>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9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95"/>
        </w:trPr>
        <w:tc>
          <w:tcPr>
            <w:tcW w:w="65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2,281,618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667,691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(826,286)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(342,924)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1,667,443</w:t>
            </w:r>
          </w:p>
        </w:tc>
        <w:tc>
          <w:tcPr>
            <w:tcW w:w="3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0" w:type="dxa"/>
            <w:vAlign w:val="bottom"/>
            <w:tcBorders>
              <w:bottom w:val="single" w:sz="8" w:color="CCEEFF"/>
            </w:tcBorders>
            <w:gridSpan w:val="2"/>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Options exercisable at year-end</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659,463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Options expected to vest in future periods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vMerge w:val="continue"/>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884,906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Stock options are granted at exercise prices equal to the quoted market price of common stock at the date of the grant. Options vest 25% per year over four years for employees and 100% after one year for consultants. Grants to directors vest 33.33% per year over three years. Stock options granted prior to May 1, 2007 expire on the tenth anniversary of the grant date. Stock options granted on or after May 1, 2007, expire on the seventh anniversary of the grant date.</w:t>
      </w:r>
    </w:p>
    <w:p>
      <w:pPr>
        <w:spacing w:after="0" w:line="18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each stock option grant at the date of grant using a Black-Scholes option pricing model. The weighted average grant-date fair value of options granted during the years ended May 31, 2017, 2016 and 2015 was $4.70, $4.16, and $4.74, respectively. The following assumptions were used in arriving at the fair value of options granted during 2017, 2016 and 2015, respectively: risk-free interest rates of 1.30%, 1.48% and 1.54%; expected volatility of 31%, 31%, and 31%; and expected lives of 4.80 years, 4.81 years, and 4.76 years. The Company does not declare dividends therefore a dividend yield of zero was used for the years ended May 31, 2017, 2016 and 2015. Risk-free interest rates reflect the yield 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364" w:right="239" w:bottom="1440" w:gutter="0" w:footer="0" w:header="0"/>
        </w:sectPr>
      </w:pPr>
    </w:p>
    <w:bookmarkStart w:id="86" w:name="page87"/>
    <w:bookmarkEnd w:id="86"/>
    <w:p>
      <w:pPr>
        <w:ind w:right="160"/>
        <w:spacing w:after="0" w:line="282" w:lineRule="auto"/>
        <w:rPr>
          <w:sz w:val="20"/>
          <w:szCs w:val="20"/>
          <w:color w:val="auto"/>
        </w:rPr>
      </w:pPr>
      <w:r>
        <w:rPr>
          <w:rFonts w:ascii="Times New Roman" w:cs="Times New Roman" w:eastAsia="Times New Roman" w:hAnsi="Times New Roman"/>
          <w:sz w:val="18"/>
          <w:szCs w:val="18"/>
          <w:color w:val="auto"/>
        </w:rPr>
        <w:t>zero-coupon U.S. Treasury bonds whose maturity period equals the expected term of the option. Expected volatilities are based on the historical volatility of the Company's stock. The expected option lives are based on historical experience of employee exercise behavior.</w:t>
      </w:r>
    </w:p>
    <w:p>
      <w:pPr>
        <w:spacing w:after="0" w:line="162"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May 31, 2017, 2016 and 2015 was $2.8 million, $0.1 million, and $1.6 million, respectively. As of May 31, 2017, there was $3.7 million of total unrecognized compensation cost related to non-vested options, which is expected to be recognized over a weighted average period of 3 years.</w:t>
      </w:r>
    </w:p>
    <w:p>
      <w:pPr>
        <w:spacing w:after="0" w:line="17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during 2017, 2016 and 2015 was $9.9 million, $1.3 million and $4.3 million, respectively. The tax benefit realized from stock options exercised during the years ended May 31, 2016 and 2015 were $0.1 million and $0.5 million, respectively. Due to the valuation allowance there was no tax benefit realized from stock option exercises during the year ended May 31,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and Restricted Stock Unit Awards</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grants restricted stock units to certain employees under the 2004 Plan which give the recipients the right to receive shares of Company stock upon vesting. The restricted stock unit awards vest in equal annual installments over the term of the grants. Unvested restricted stock unit awards will be forfeited if the recipient ceases to be employed by the Company.</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unit activity for the year ended May 31,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69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beginning of year</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549,777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14.62</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255,032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16.54</w:t>
            </w: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(182,320)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16.10</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15.95</w:t>
            </w:r>
          </w:p>
        </w:tc>
      </w:tr>
      <w:tr>
        <w:trPr>
          <w:trHeight w:val="27"/>
        </w:trPr>
        <w:tc>
          <w:tcPr>
            <w:tcW w:w="69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end of year</w:t>
            </w: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439,297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15.55</w:t>
            </w:r>
          </w:p>
        </w:tc>
      </w:tr>
      <w:tr>
        <w:trPr>
          <w:trHeight w:val="20"/>
        </w:trPr>
        <w:tc>
          <w:tcPr>
            <w:tcW w:w="6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fair value of each restricted stock unit is the market price of Company stock on the date of grant. The weighted average grant date fair value of restricted stock units granted during the years ended May 31, 2017, 2016 and 2015 was $16.54, $15.21 and $14.75, respectively. The total intrinsic value of restricted stock units (meaning the fair value of the units on the date of vest) vesting during the years ended May 31, 2017, 2016 and 2015 was $2.9 million, $2.5 million, and $2.4 million, respectively. As of May 31, 2017, there was $4.9 million of total unrecognized compensation cost related to non-vested restricted stock awards, which is expected to be recognized over a weighted average period of 3 years.</w:t>
      </w:r>
    </w:p>
    <w:p>
      <w:pPr>
        <w:spacing w:after="0" w:line="18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Company grants performance share awards to certain employees under the 2004 Plan which gives the recipients the right to receive shares of Company stock if certain criteria is met. The performance criteria is established by the compensation committee for vesting of the performance share awards and may include factors such as the achievement of relative total shareholder return ("TSR"), certain sales, operating income and earnings per share (“EPS”) goals. Performance share awards are subject to additional conditions, including the recipient’s continued employment with the Company.</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unit award activity for the year ended May 31, 2017.</w:t>
      </w:r>
    </w:p>
    <w:p>
      <w:pPr>
        <w:spacing w:after="0" w:line="36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1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Performance Unit Awards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year</w:t>
            </w:r>
          </w:p>
        </w:tc>
        <w:tc>
          <w:tcPr>
            <w:tcW w:w="47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435,892</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7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93,400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(130,944)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end of year</w:t>
            </w:r>
          </w:p>
        </w:tc>
        <w:tc>
          <w:tcPr>
            <w:tcW w:w="47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361,164</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84</w:t>
            </w: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87" w:name="page88"/>
    <w:bookmarkEnd w:id="87"/>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During fiscal years 2017, 2016 and 2015, we granted performance unit awards that include a three-year market condition. Vesting of the performance unit awards is based on the Company's level of attainment of specified total shareholder return ("TSR") targets relative to the percentage appreciation of a specified index of companies for the respective three-year periods. It is also subject to the continued employment of the grantees. In order to estimate the fair value of such awards, we used a Monte Carlo Simulation valuation model on the date of the grant. For the years ended May 31, 2017, 2016 and 2015, the weighted average grant date fair market value for new grants was $22.61, $18.07 and $19.83, respectively. Compensation cost is recognized over the performance period which is typically three years. As of May 31, 2017, 0.4 million performance share units with a weighted average remaining contractual term of 3 years and $4.2 million of unrecognized compensation cost were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represents the break out of share-based compensation included in the Company's consolidated statement of operations.</w:t>
      </w:r>
    </w:p>
    <w:p>
      <w:pPr>
        <w:spacing w:after="0" w:line="17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34290</wp:posOffset>
            </wp:positionV>
            <wp:extent cx="2813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1,685</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3,941</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6,183</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5,998</w:t>
            </w:r>
          </w:p>
        </w:tc>
      </w:tr>
      <w:tr>
        <w:trPr>
          <w:trHeight w:val="27"/>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income tax benefit on the compensation expense recognized for all share-based compensation arrangements was $2.2 million, $1.0 million and $2.0 million for the years ended May 31, 2017, 2016 and 2015, respectively. The income tax benefit for 2017 and 2016 are negated by the full valuation allowance established as of May 31,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Employee Stock Purchase Plan (the “Stock Purchase Plan”) provides a means by which employees (the “participants”) are given an opportunity to purchase the Company's common stock through payroll deductions. A total of 2,500,000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 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During the year ended May 31, 2015, an additional 800,000 shares of the Company's common stock have been reserved for issuance under the Stock Purchase Plan. During the year ended May 31, 2017, an additional 500,000 shares of the Company's common stock have been reserved for issuance under the Stock Purchase Plan.</w:t>
      </w:r>
    </w:p>
    <w:p>
      <w:pPr>
        <w:spacing w:after="0" w:line="13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calculate the purchase date fair value of the shares issued under the Stock Purchase Plan and recognize expense related to shares purchased ratably over the offering period. During the years ended May 31, 2017, 2016 and 2015, 129,185, 137,957 and 119,001 shares, respectively, were issued at an average price of $11.00, $10.67 and $11.89, respectively, under the Stock Purchase Plan. As of May 31, 2017, 1.3 million shares remained available for future purchases under the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364"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On November 6, 2016, the Board of Directors approved the Repurchase Program under which they authorized the Company the option to repurchase up to $25.0 million of its outstanding common stock during the twenty-four month period ending November 6, 2018. During the second quarter of fiscal year 2017, the Company repurchased 500,000 shares of common stock in the open market at an aggregate cost of $7.8 million under the Repurchase Program. During the fourth quarter of fiscal year 2017, the Company repurchased 370,000 shares of common stock in the open market at an aggregate cost of $5.7 million under the Repurchase Program. As of May 31, 2017, $11.4 million remained available for repurchase under the Repurchase Program.</w:t>
      </w:r>
    </w:p>
    <w:p>
      <w:pPr>
        <w:spacing w:after="0" w:line="184"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In February 2017, the Company retired 642,305 shares of treasury stock. These retired shares are now included in the Company’s pool of authorized but unissued shares. The retired stock had a carrying value of approximately $9.9 million and $0.01 was the par value that was deducted from common stock and the remaining $9.9 million was deducted from additional paid-in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56" w:lineRule="exact"/>
        <w:rPr>
          <w:sz w:val="20"/>
          <w:szCs w:val="20"/>
          <w:color w:val="auto"/>
        </w:rPr>
      </w:pPr>
    </w:p>
    <w:p>
      <w:pPr>
        <w:ind w:right="160" w:firstLine="243"/>
        <w:spacing w:after="0" w:line="261" w:lineRule="auto"/>
        <w:rPr>
          <w:sz w:val="20"/>
          <w:szCs w:val="20"/>
          <w:color w:val="auto"/>
        </w:rPr>
      </w:pPr>
      <w:r>
        <w:rPr>
          <w:rFonts w:ascii="Times New Roman" w:cs="Times New Roman" w:eastAsia="Times New Roman" w:hAnsi="Times New Roman"/>
          <w:sz w:val="18"/>
          <w:szCs w:val="18"/>
          <w:color w:val="auto"/>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 average shares outstanding for the years ended May 31, 2017, 2016 and 2015:</w:t>
      </w:r>
    </w:p>
    <w:p>
      <w:pPr>
        <w:spacing w:after="0" w:line="200" w:lineRule="exact"/>
        <w:rPr>
          <w:sz w:val="20"/>
          <w:szCs w:val="20"/>
          <w:color w:val="auto"/>
        </w:rPr>
      </w:pPr>
    </w:p>
    <w:p>
      <w:pPr>
        <w:spacing w:after="0" w:line="214"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39789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36,616,859</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36,161,383</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35,683,139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342,391</w:t>
            </w:r>
          </w:p>
        </w:tc>
        <w:tc>
          <w:tcPr>
            <w:tcW w:w="220" w:type="dxa"/>
            <w:vAlign w:val="bottom"/>
          </w:tcPr>
          <w:p>
            <w:pPr>
              <w:spacing w:after="0"/>
              <w:rPr>
                <w:sz w:val="21"/>
                <w:szCs w:val="21"/>
                <w:color w:val="auto"/>
              </w:rPr>
            </w:pPr>
          </w:p>
        </w:tc>
        <w:tc>
          <w:tcPr>
            <w:tcW w:w="2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36,959,250</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36,161,383</w:t>
            </w:r>
          </w:p>
        </w:tc>
        <w:tc>
          <w:tcPr>
            <w:tcW w:w="2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35,683,139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1,058,790</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3,277,037</w:t>
            </w:r>
          </w:p>
        </w:tc>
        <w:tc>
          <w:tcPr>
            <w:tcW w:w="2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2,862,414</w:t>
            </w:r>
          </w:p>
        </w:tc>
      </w:tr>
      <w:tr>
        <w:trPr>
          <w:trHeight w:val="20"/>
        </w:trPr>
        <w:tc>
          <w:tcPr>
            <w:tcW w:w="5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The Company is committed under non-cancelable operating leases for facilities and equipment. During fiscal 2017, 2016 and 2015, aggregate rental costs under all operating leases were approximately $2.5 million, $2.5 million and $3.4 million, respectively. Future annual payments under non-cancelable operating leases in the aggregate, of which one includes an escalation clause, with initial remaining terms of more than one year at May 31, 2017, are summarized as follows (in thousands):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576"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8"/>
        </w:trPr>
        <w:tc>
          <w:tcPr>
            <w:tcW w:w="9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78"/>
        </w:trPr>
        <w:tc>
          <w:tcPr>
            <w:tcW w:w="9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2,214</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2,066</w:t>
            </w:r>
          </w:p>
        </w:tc>
      </w:tr>
      <w:tr>
        <w:trPr>
          <w:trHeight w:val="27"/>
        </w:trPr>
        <w:tc>
          <w:tcPr>
            <w:tcW w:w="9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1,860</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r>
      <w:tr>
        <w:trPr>
          <w:trHeight w:val="27"/>
        </w:trPr>
        <w:tc>
          <w:tcPr>
            <w:tcW w:w="9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 and thereafter</w:t>
            </w: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2,552</w:t>
            </w:r>
          </w:p>
        </w:tc>
      </w:tr>
      <w:tr>
        <w:trPr>
          <w:trHeight w:val="237"/>
        </w:trPr>
        <w:tc>
          <w:tcPr>
            <w:tcW w:w="9240" w:type="dxa"/>
            <w:vAlign w:val="bottom"/>
          </w:tcPr>
          <w:p>
            <w:pPr>
              <w:spacing w:after="0"/>
              <w:rPr>
                <w:sz w:val="20"/>
                <w:szCs w:val="20"/>
                <w:color w:val="auto"/>
              </w:rPr>
            </w:pPr>
          </w:p>
        </w:tc>
        <w:tc>
          <w:tcPr>
            <w:tcW w:w="8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9,717</w:t>
            </w:r>
          </w:p>
        </w:tc>
      </w:tr>
      <w:tr>
        <w:trPr>
          <w:trHeight w:val="27"/>
        </w:trPr>
        <w:tc>
          <w:tcPr>
            <w:tcW w:w="9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other future commitments and contingencies as of May 31,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 and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 (1)</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14,722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31,500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94,596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11,110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11,893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46,388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17145</wp:posOffset>
            </wp:positionV>
            <wp:extent cx="42710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9" w:lineRule="exact"/>
        <w:rPr>
          <w:sz w:val="20"/>
          <w:szCs w:val="20"/>
          <w:color w:val="auto"/>
        </w:rPr>
      </w:pPr>
    </w:p>
    <w:p>
      <w:pPr>
        <w:ind w:left="500" w:right="6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non-cancelable inventory purchase obligations are not reflected on our consolidated balance sheets under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-305435</wp:posOffset>
            </wp:positionV>
            <wp:extent cx="42710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 Bard, Inc. v. AngioDynamics, Inc.</w:t>
      </w:r>
    </w:p>
    <w:p>
      <w:pPr>
        <w:spacing w:after="0" w:line="256" w:lineRule="exact"/>
        <w:rPr>
          <w:sz w:val="20"/>
          <w:szCs w:val="20"/>
          <w:color w:val="auto"/>
        </w:rPr>
      </w:pPr>
    </w:p>
    <w:p>
      <w:pPr>
        <w:ind w:right="40" w:firstLine="405"/>
        <w:spacing w:after="0" w:line="300"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has since filed Requests for Rehearing in all three reexamination appeals and the Company filed Requests for Rehearing in two of the reexamination appeals (the ‘302 and ‘615 patent reexaminations). Each party has filed comments in Opposition to the other party’s Rehearing Requests,. The PTO has since issued decisions denying all Rehearing Requests - - on February 1, 2017 for the ‘302; on February 17, 2017 for the ‘022; and on February 21, 2017 for the ‘615. In the ‘302 and ‘022, the PTO modified its characterization of one prior art reference. Bard has since filed a Notice of Appeal to the Federal Circuit Court of Appeals in all three reexams and we filed Cross-Appeals in the ‘302 and the ‘615 reexams. The parties are in the process of preparing and filing the various appellate briefs, starting with Bard’s Opening Brief which is currently due on July 31, 2017 and ending with our Reply Brief which is currently due on November 6, 2017. The Utah Action has been stayed pending final resolution of the PTO process. We believe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522" w:right="239" w:bottom="1440" w:gutter="0" w:footer="0" w:header="0"/>
        </w:sectPr>
      </w:pPr>
    </w:p>
    <w:bookmarkStart w:id="90" w:name="page91"/>
    <w:bookmarkEnd w:id="90"/>
    <w:p>
      <w:pPr>
        <w:ind w:right="240"/>
        <w:spacing w:after="0" w:line="282" w:lineRule="auto"/>
        <w:rPr>
          <w:sz w:val="20"/>
          <w:szCs w:val="20"/>
          <w:color w:val="auto"/>
        </w:rPr>
      </w:pPr>
      <w:r>
        <w:rPr>
          <w:rFonts w:ascii="Times New Roman" w:cs="Times New Roman" w:eastAsia="Times New Roman" w:hAnsi="Times New Roman"/>
          <w:sz w:val="18"/>
          <w:szCs w:val="18"/>
          <w:color w:val="auto"/>
        </w:rPr>
        <w:t>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62"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served various discovery requests on each other, and have been producing documents to each other; on May 27, 2016 Bard served its Infringement Contentions which identified all the port products accused of infringement; and, on June 24, 2016, we served Invalidity Contentions which detail various grounds for invalidating the three asserted patents. The parties completed briefing on the claim construction issues and the Markman hearing was held on March 10, 2017 and the Court issued its Claim Construction Order on May 19, 2017. The Court has since amended the Scheduling Order to provide for the completion of Expert Discovery on October 30, 2017; briefing on Case-Dispositive Motions between November 17, 2017 and January 24, 2018 with oral argument set for February 22, 2018 and trial to commence May 29, 2018.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AngioDynamics, Inc. v. C.R. Bard, Inc.</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The Court has set an initial case management conference for August 29,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Investigations</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w:t>
      </w:r>
    </w:p>
    <w:p>
      <w:pPr>
        <w:spacing w:after="0" w:line="180" w:lineRule="exact"/>
        <w:rPr>
          <w:sz w:val="20"/>
          <w:szCs w:val="20"/>
          <w:color w:val="auto"/>
        </w:rPr>
      </w:pPr>
    </w:p>
    <w:p>
      <w:pPr>
        <w:jc w:val="both"/>
        <w:ind w:right="580" w:firstLine="405"/>
        <w:spacing w:after="0" w:line="266" w:lineRule="auto"/>
        <w:rPr>
          <w:sz w:val="20"/>
          <w:szCs w:val="20"/>
          <w:color w:val="auto"/>
        </w:rPr>
      </w:pPr>
      <w:r>
        <w:rPr>
          <w:rFonts w:ascii="Times New Roman" w:cs="Times New Roman" w:eastAsia="Times New Roman" w:hAnsi="Times New Roman"/>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7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May 31, 2017 the Company accrued $12.5 million for these matters and in August 2017, the Company agreed in principle with the government to resolve these matters for approximately $12.5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SEGMENTS AND GEOGRAPHIC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Company considers its business to be a single segment entity related to the development, manufacture and sale on a global basis of medical devices for vascular access, surgery, peripheral vascular disease and oncology. The Company's chief operating decision maker (CEO) evaluates the various global product portfolios on a net sales basis. Executives reporting in to the CEO include those responsible for operations and supply chain management, research and development, sales, franchise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364" w:right="239" w:bottom="1440" w:gutter="0" w:footer="0" w:header="0"/>
        </w:sectPr>
      </w:pPr>
    </w:p>
    <w:bookmarkStart w:id="91" w:name="page92"/>
    <w:bookmarkEnd w:id="91"/>
    <w:p>
      <w:pPr>
        <w:ind w:right="500"/>
        <w:spacing w:after="0" w:line="282" w:lineRule="auto"/>
        <w:rPr>
          <w:sz w:val="20"/>
          <w:szCs w:val="20"/>
          <w:color w:val="auto"/>
        </w:rPr>
      </w:pPr>
      <w:r>
        <w:rPr>
          <w:rFonts w:ascii="Times New Roman" w:cs="Times New Roman" w:eastAsia="Times New Roman" w:hAnsi="Times New Roman"/>
          <w:sz w:val="18"/>
          <w:szCs w:val="18"/>
          <w:color w:val="auto"/>
        </w:rPr>
        <w:t>marketing and certain corporate functions. The CEO evaluates profitability, investment and cash flow metrics on a consolidated worldwide basis due to shared infrastructure and resources.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sales by product category are summarized below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For the year ended May 31,</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by Product Category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Peripheral Vascular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208,602</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205,620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196,890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Vascular Access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96,481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99,375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107,754</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Oncology/Surgery</w:t>
            </w:r>
          </w:p>
        </w:tc>
        <w:tc>
          <w:tcPr>
            <w:tcW w:w="4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44,560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48,895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jc w:val="center"/>
              <w:ind w:right="3833"/>
              <w:spacing w:after="0"/>
              <w:rPr>
                <w:sz w:val="20"/>
                <w:szCs w:val="20"/>
                <w:color w:val="auto"/>
              </w:rPr>
            </w:pPr>
            <w:r>
              <w:rPr>
                <w:rFonts w:ascii="Times New Roman" w:cs="Times New Roman" w:eastAsia="Times New Roman" w:hAnsi="Times New Roman"/>
                <w:sz w:val="18"/>
                <w:szCs w:val="18"/>
                <w:color w:val="auto"/>
                <w:w w:val="94"/>
              </w:rPr>
              <w:t>Total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349,643</w:t>
            </w:r>
          </w:p>
        </w:tc>
        <w:tc>
          <w:tcPr>
            <w:tcW w:w="5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353,890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356,534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jc w:val="center"/>
              <w:ind w:right="3813"/>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sales for geographic areas are summarized below (in thousands):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For the year ended May 31,</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 by Geography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282,168</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285,824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284,122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67,475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68,066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72,412</w:t>
            </w:r>
          </w:p>
        </w:tc>
        <w:tc>
          <w:tcPr>
            <w:tcW w:w="0" w:type="dxa"/>
            <w:vAlign w:val="bottom"/>
          </w:tcPr>
          <w:p>
            <w:pPr>
              <w:spacing w:after="0"/>
              <w:rPr>
                <w:sz w:val="1"/>
                <w:szCs w:val="1"/>
                <w:color w:val="auto"/>
              </w:rPr>
            </w:pPr>
          </w:p>
        </w:tc>
      </w:tr>
      <w:tr>
        <w:trPr>
          <w:trHeight w:val="237"/>
        </w:trPr>
        <w:tc>
          <w:tcPr>
            <w:tcW w:w="5720" w:type="dxa"/>
            <w:vAlign w:val="bottom"/>
          </w:tcPr>
          <w:p>
            <w:pPr>
              <w:jc w:val="center"/>
              <w:ind w:right="3833"/>
              <w:spacing w:after="0"/>
              <w:rPr>
                <w:sz w:val="20"/>
                <w:szCs w:val="20"/>
                <w:color w:val="auto"/>
              </w:rPr>
            </w:pPr>
            <w:r>
              <w:rPr>
                <w:rFonts w:ascii="Times New Roman" w:cs="Times New Roman" w:eastAsia="Times New Roman" w:hAnsi="Times New Roman"/>
                <w:sz w:val="18"/>
                <w:szCs w:val="18"/>
                <w:color w:val="auto"/>
                <w:w w:val="94"/>
              </w:rPr>
              <w:t>Total</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349,643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353,890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356,534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60" w:firstLine="432"/>
        <w:spacing w:after="0" w:line="266" w:lineRule="auto"/>
        <w:rPr>
          <w:sz w:val="20"/>
          <w:szCs w:val="20"/>
          <w:color w:val="auto"/>
        </w:rPr>
      </w:pPr>
      <w:r>
        <w:rPr>
          <w:rFonts w:ascii="Times New Roman" w:cs="Times New Roman" w:eastAsia="Times New Roman" w:hAnsi="Times New Roman"/>
          <w:sz w:val="18"/>
          <w:szCs w:val="18"/>
          <w:color w:val="auto"/>
        </w:rPr>
        <w:t>For fiscal years 2017, 2016 and 2015, International sales as a percentage of total net sales were 19%, 19% and 20%, respectively. Sales to any one country outside the U.S., as determined by shipment destination, did not comprise a material portion of net sales in any of the last three fiscal years. In addition, no one customer represents more than 10% of consolidated net sales. 99% of long-lived assets are located within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ACQUISITION, RESTRUCTURING AND OTHER ITEMS,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years ended May 31, 2017, 2016 and 2015 acquisition, restructuring and other items, net consisted of:</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For the year ended May 31,</w:t>
            </w: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19,480</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4,959</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and other asset impairment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15,504</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1,997</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3,797</w:t>
            </w:r>
          </w:p>
        </w:tc>
      </w:tr>
      <w:tr>
        <w:trPr>
          <w:trHeight w:val="237"/>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27,510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12,591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26,257</w:t>
            </w:r>
          </w:p>
        </w:tc>
      </w:tr>
      <w:tr>
        <w:trPr>
          <w:trHeight w:val="27"/>
        </w:trPr>
        <w:tc>
          <w:tcPr>
            <w:tcW w:w="5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Of the $19.5 million in legal for fiscal year 2017, $12.5 million relates to a reserve for DOJ litigation settlement (see Note 15) and the remaining legal expenses relates to DOJ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364" w:right="239" w:bottom="1440" w:gutter="0" w:footer="0" w:header="0"/>
        </w:sectPr>
      </w:pPr>
    </w:p>
    <w:bookmarkStart w:id="92" w:name="page93"/>
    <w:bookmarkEnd w:id="92"/>
    <w:p>
      <w:pPr>
        <w:ind w:left="420"/>
        <w:spacing w:after="0"/>
        <w:rPr>
          <w:sz w:val="20"/>
          <w:szCs w:val="20"/>
          <w:color w:val="auto"/>
        </w:rPr>
      </w:pPr>
      <w:r>
        <w:rPr>
          <w:rFonts w:ascii="Times New Roman" w:cs="Times New Roman" w:eastAsia="Times New Roman" w:hAnsi="Times New Roman"/>
          <w:sz w:val="18"/>
          <w:szCs w:val="18"/>
          <w:i w:val="1"/>
          <w:iCs w:val="1"/>
          <w:color w:val="auto"/>
        </w:rPr>
        <w:t>Operational Consolidation</w:t>
      </w:r>
    </w:p>
    <w:p>
      <w:pPr>
        <w:spacing w:after="0" w:line="227"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On February 1, 2017, the Company announced to employees an operational consolidation plan (the “plan”) to consolidate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are expected to be completed in the third quarter of fiscal year 2018.</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 summary of estimated costs associated with the plan: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estimated amount expected to be incurred (in millions)</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Termination benefits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$1.75 to $2.25</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Plant consolidation </w:t>
            </w:r>
            <w:r>
              <w:rPr>
                <w:rFonts w:ascii="Times New Roman" w:cs="Times New Roman" w:eastAsia="Times New Roman" w:hAnsi="Times New Roman"/>
                <w:sz w:val="14"/>
                <w:szCs w:val="14"/>
                <w:color w:val="auto"/>
              </w:rPr>
              <w:t>(1)</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 to $2.50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Regulatory filings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$0.75 to $1.00</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cancellations</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$0.75 to $1.00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$0.75 to $1.00</w:t>
            </w:r>
          </w:p>
        </w:tc>
      </w:tr>
      <w:tr>
        <w:trPr>
          <w:trHeight w:val="256"/>
        </w:trPr>
        <w:tc>
          <w:tcPr>
            <w:tcW w:w="6280" w:type="dxa"/>
            <w:vAlign w:val="bottom"/>
          </w:tcPr>
          <w:p>
            <w:pPr>
              <w:spacing w:after="0"/>
              <w:rPr>
                <w:sz w:val="22"/>
                <w:szCs w:val="22"/>
                <w:color w:val="auto"/>
              </w:rPr>
            </w:pPr>
          </w:p>
        </w:tc>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$6.25 to $7.75</w:t>
            </w:r>
          </w:p>
        </w:tc>
      </w:tr>
      <w:tr>
        <w:trPr>
          <w:trHeight w:val="21"/>
        </w:trPr>
        <w:tc>
          <w:tcPr>
            <w:tcW w:w="62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Equipment transfer, validation and other start-up costs to prepare the facilities for the new product lines.</w:t>
      </w:r>
    </w:p>
    <w:p>
      <w:pPr>
        <w:spacing w:after="0" w:line="225"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restructuring charges related to the plan during the year ended May 31, 2017 of $1.3 million. There were no costs associated with this plan in the prior year. Termination benefits are only earned if an employee stays until their termination date; therefore, the expenses related to termination benefits are being recorded ratably over the service period.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rollforward of the restructuring reserve for the year ended May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Plant</w:t>
            </w:r>
          </w:p>
        </w:tc>
        <w:tc>
          <w:tcPr>
            <w:tcW w:w="160" w:type="dxa"/>
            <w:vAlign w:val="bottom"/>
          </w:tcPr>
          <w:p>
            <w:pPr>
              <w:spacing w:after="0"/>
              <w:rPr>
                <w:sz w:val="23"/>
                <w:szCs w:val="2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8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Cancellation</w:t>
            </w:r>
          </w:p>
        </w:tc>
        <w:tc>
          <w:tcPr>
            <w:tcW w:w="24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Consolidation</w:t>
            </w:r>
          </w:p>
        </w:tc>
        <w:tc>
          <w:tcPr>
            <w:tcW w:w="160" w:type="dxa"/>
            <w:vAlign w:val="bottom"/>
          </w:tcPr>
          <w:p>
            <w:pPr>
              <w:spacing w:after="0"/>
              <w:rPr>
                <w:sz w:val="23"/>
                <w:szCs w:val="23"/>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Filings</w:t>
            </w:r>
          </w:p>
        </w:tc>
        <w:tc>
          <w:tcPr>
            <w:tcW w:w="180" w:type="dxa"/>
            <w:vAlign w:val="bottom"/>
          </w:tcPr>
          <w:p>
            <w:pPr>
              <w:spacing w:after="0"/>
              <w:rPr>
                <w:sz w:val="23"/>
                <w:szCs w:val="2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40" w:type="dxa"/>
            <w:vAlign w:val="bottom"/>
          </w:tcPr>
          <w:p>
            <w:pPr>
              <w:spacing w:after="0"/>
              <w:rPr>
                <w:sz w:val="23"/>
                <w:szCs w:val="2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24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May 31, 2016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5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May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Company’s restructuring liability of $1.0 million is mainly comprised of accruals for termination benefits which are expected to be paid in the next twelve months and are included in accrued expenses on the consolidated balance sheet.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362"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18. ACCUMULATED OTHER COMPREHESIVE INCOME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(loss), net of tax, are as follows for fiscal 2017 and 2016:</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Unrealized gain</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(loss) on</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gain (loss) 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translation gain</w:t>
            </w: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interest rate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22"/>
                <w:szCs w:val="2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8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0" w:type="dxa"/>
            <w:vAlign w:val="bottom"/>
          </w:tcPr>
          <w:p>
            <w:pPr>
              <w:spacing w:after="0"/>
              <w:rPr>
                <w:sz w:val="22"/>
                <w:szCs w:val="22"/>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swap</w:t>
            </w:r>
          </w:p>
        </w:tc>
        <w:tc>
          <w:tcPr>
            <w:tcW w:w="240" w:type="dxa"/>
            <w:vAlign w:val="bottom"/>
          </w:tcPr>
          <w:p>
            <w:pPr>
              <w:spacing w:after="0"/>
              <w:rPr>
                <w:sz w:val="22"/>
                <w:szCs w:val="22"/>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9"/>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2015</w:t>
            </w: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 of tax</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2016</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 of tax</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2017</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QUARTERLY INFORMATION (unaudited)</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Quarterly results of operations during the fiscal years ended May 31, 2017 and 2016 are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49"/>
        </w:trPr>
        <w:tc>
          <w:tcPr>
            <w:tcW w:w="4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jc w:val="right"/>
              <w:ind w:right="575"/>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440" w:type="dxa"/>
            <w:vAlign w:val="bottom"/>
          </w:tcPr>
          <w:p>
            <w:pPr>
              <w:spacing w:after="0"/>
              <w:rPr>
                <w:sz w:val="12"/>
                <w:szCs w:val="12"/>
                <w:color w:val="auto"/>
              </w:rPr>
            </w:pPr>
          </w:p>
        </w:tc>
        <w:tc>
          <w:tcPr>
            <w:tcW w:w="1160" w:type="dxa"/>
            <w:vAlign w:val="bottom"/>
          </w:tcPr>
          <w:p>
            <w:pPr>
              <w:jc w:val="right"/>
              <w:ind w:right="395"/>
              <w:spacing w:after="0" w:line="149" w:lineRule="exact"/>
              <w:rPr>
                <w:sz w:val="20"/>
                <w:szCs w:val="20"/>
                <w:color w:val="auto"/>
              </w:rPr>
            </w:pPr>
            <w:r>
              <w:rPr>
                <w:rFonts w:ascii="Times New Roman" w:cs="Times New Roman" w:eastAsia="Times New Roman" w:hAnsi="Times New Roman"/>
                <w:sz w:val="14"/>
                <w:szCs w:val="14"/>
                <w:b w:val="1"/>
                <w:bCs w:val="1"/>
                <w:color w:val="auto"/>
              </w:rPr>
              <w:t>Second</w:t>
            </w:r>
          </w:p>
        </w:tc>
        <w:tc>
          <w:tcPr>
            <w:tcW w:w="540" w:type="dxa"/>
            <w:vAlign w:val="bottom"/>
          </w:tcPr>
          <w:p>
            <w:pPr>
              <w:spacing w:after="0"/>
              <w:rPr>
                <w:sz w:val="12"/>
                <w:szCs w:val="12"/>
                <w:color w:val="auto"/>
              </w:rPr>
            </w:pPr>
          </w:p>
        </w:tc>
        <w:tc>
          <w:tcPr>
            <w:tcW w:w="1280" w:type="dxa"/>
            <w:vAlign w:val="bottom"/>
          </w:tcPr>
          <w:p>
            <w:pPr>
              <w:jc w:val="right"/>
              <w:ind w:right="555"/>
              <w:spacing w:after="0" w:line="149" w:lineRule="exact"/>
              <w:rPr>
                <w:sz w:val="20"/>
                <w:szCs w:val="20"/>
                <w:color w:val="auto"/>
              </w:rPr>
            </w:pPr>
            <w:r>
              <w:rPr>
                <w:rFonts w:ascii="Times New Roman" w:cs="Times New Roman" w:eastAsia="Times New Roman" w:hAnsi="Times New Roman"/>
                <w:sz w:val="14"/>
                <w:szCs w:val="14"/>
                <w:b w:val="1"/>
                <w:bCs w:val="1"/>
                <w:color w:val="auto"/>
              </w:rPr>
              <w:t>Third</w:t>
            </w:r>
          </w:p>
        </w:tc>
        <w:tc>
          <w:tcPr>
            <w:tcW w:w="420" w:type="dxa"/>
            <w:vAlign w:val="bottom"/>
          </w:tcPr>
          <w:p>
            <w:pPr>
              <w:spacing w:after="0"/>
              <w:rPr>
                <w:sz w:val="12"/>
                <w:szCs w:val="12"/>
                <w:color w:val="auto"/>
              </w:rPr>
            </w:pPr>
          </w:p>
        </w:tc>
        <w:tc>
          <w:tcPr>
            <w:tcW w:w="1260" w:type="dxa"/>
            <w:vAlign w:val="bottom"/>
          </w:tcPr>
          <w:p>
            <w:pPr>
              <w:jc w:val="right"/>
              <w:ind w:right="495"/>
              <w:spacing w:after="0" w:line="149" w:lineRule="exact"/>
              <w:rPr>
                <w:sz w:val="20"/>
                <w:szCs w:val="20"/>
                <w:color w:val="auto"/>
              </w:rPr>
            </w:pPr>
            <w:r>
              <w:rPr>
                <w:rFonts w:ascii="Times New Roman" w:cs="Times New Roman" w:eastAsia="Times New Roman" w:hAnsi="Times New Roman"/>
                <w:sz w:val="14"/>
                <w:szCs w:val="14"/>
                <w:b w:val="1"/>
                <w:bCs w:val="1"/>
                <w:color w:val="auto"/>
              </w:rPr>
              <w:t>Fourth</w:t>
            </w:r>
          </w:p>
        </w:tc>
      </w:tr>
      <w:tr>
        <w:trPr>
          <w:trHeight w:val="194"/>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88,098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89,029</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85,602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86,914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45,032</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45,010</w:t>
            </w:r>
          </w:p>
        </w:tc>
        <w:tc>
          <w:tcPr>
            <w:tcW w:w="5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43,792</w:t>
            </w:r>
          </w:p>
        </w:tc>
        <w:tc>
          <w:tcPr>
            <w:tcW w:w="4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42,335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14"/>
                <w:szCs w:val="14"/>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1,300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2,887</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5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bl>
    <w:p>
      <w:pPr>
        <w:spacing w:after="0" w:line="225" w:lineRule="exact"/>
        <w:rPr>
          <w:sz w:val="20"/>
          <w:szCs w:val="20"/>
          <w:color w:val="auto"/>
        </w:rPr>
      </w:pPr>
    </w:p>
    <w:p>
      <w:pPr>
        <w:ind w:right="460" w:firstLine="413"/>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net income (loss) during the fourth quarter of fiscal 2017 is the $12.5 million charge for a litigation reserve (Note 15) and $4.5 million impact relating to the Acculis recall (Note 10).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49"/>
        </w:trPr>
        <w:tc>
          <w:tcPr>
            <w:tcW w:w="4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614"/>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400" w:type="dxa"/>
            <w:vAlign w:val="bottom"/>
          </w:tcPr>
          <w:p>
            <w:pPr>
              <w:spacing w:after="0"/>
              <w:rPr>
                <w:sz w:val="12"/>
                <w:szCs w:val="12"/>
                <w:color w:val="auto"/>
              </w:rPr>
            </w:pPr>
          </w:p>
        </w:tc>
        <w:tc>
          <w:tcPr>
            <w:tcW w:w="1300" w:type="dxa"/>
            <w:vAlign w:val="bottom"/>
          </w:tcPr>
          <w:p>
            <w:pPr>
              <w:jc w:val="right"/>
              <w:ind w:right="537"/>
              <w:spacing w:after="0" w:line="149" w:lineRule="exact"/>
              <w:rPr>
                <w:sz w:val="20"/>
                <w:szCs w:val="20"/>
                <w:color w:val="auto"/>
              </w:rPr>
            </w:pPr>
            <w:r>
              <w:rPr>
                <w:rFonts w:ascii="Times New Roman" w:cs="Times New Roman" w:eastAsia="Times New Roman" w:hAnsi="Times New Roman"/>
                <w:sz w:val="14"/>
                <w:szCs w:val="14"/>
                <w:b w:val="1"/>
                <w:bCs w:val="1"/>
                <w:color w:val="auto"/>
              </w:rPr>
              <w:t>Second</w:t>
            </w:r>
          </w:p>
        </w:tc>
        <w:tc>
          <w:tcPr>
            <w:tcW w:w="400" w:type="dxa"/>
            <w:vAlign w:val="bottom"/>
          </w:tcPr>
          <w:p>
            <w:pPr>
              <w:spacing w:after="0"/>
              <w:rPr>
                <w:sz w:val="12"/>
                <w:szCs w:val="12"/>
                <w:color w:val="auto"/>
              </w:rPr>
            </w:pPr>
          </w:p>
        </w:tc>
        <w:tc>
          <w:tcPr>
            <w:tcW w:w="1280" w:type="dxa"/>
            <w:vAlign w:val="bottom"/>
          </w:tcPr>
          <w:p>
            <w:pPr>
              <w:jc w:val="right"/>
              <w:ind w:right="555"/>
              <w:spacing w:after="0" w:line="149" w:lineRule="exact"/>
              <w:rPr>
                <w:sz w:val="20"/>
                <w:szCs w:val="20"/>
                <w:color w:val="auto"/>
              </w:rPr>
            </w:pPr>
            <w:r>
              <w:rPr>
                <w:rFonts w:ascii="Times New Roman" w:cs="Times New Roman" w:eastAsia="Times New Roman" w:hAnsi="Times New Roman"/>
                <w:sz w:val="14"/>
                <w:szCs w:val="14"/>
                <w:b w:val="1"/>
                <w:bCs w:val="1"/>
                <w:color w:val="auto"/>
              </w:rPr>
              <w:t>Third</w:t>
            </w:r>
          </w:p>
        </w:tc>
        <w:tc>
          <w:tcPr>
            <w:tcW w:w="420" w:type="dxa"/>
            <w:vAlign w:val="bottom"/>
          </w:tcPr>
          <w:p>
            <w:pPr>
              <w:spacing w:after="0"/>
              <w:rPr>
                <w:sz w:val="12"/>
                <w:szCs w:val="12"/>
                <w:color w:val="auto"/>
              </w:rPr>
            </w:pPr>
          </w:p>
        </w:tc>
        <w:tc>
          <w:tcPr>
            <w:tcW w:w="1260" w:type="dxa"/>
            <w:vAlign w:val="bottom"/>
          </w:tcPr>
          <w:p>
            <w:pPr>
              <w:jc w:val="right"/>
              <w:ind w:right="495"/>
              <w:spacing w:after="0" w:line="149" w:lineRule="exact"/>
              <w:rPr>
                <w:sz w:val="20"/>
                <w:szCs w:val="20"/>
                <w:color w:val="auto"/>
              </w:rPr>
            </w:pPr>
            <w:r>
              <w:rPr>
                <w:rFonts w:ascii="Times New Roman" w:cs="Times New Roman" w:eastAsia="Times New Roman" w:hAnsi="Times New Roman"/>
                <w:sz w:val="14"/>
                <w:szCs w:val="14"/>
                <w:b w:val="1"/>
                <w:bCs w:val="1"/>
                <w:color w:val="auto"/>
              </w:rPr>
              <w:t>Fourth</w:t>
            </w:r>
          </w:p>
        </w:tc>
      </w:tr>
      <w:tr>
        <w:trPr>
          <w:trHeight w:val="194"/>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83,753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89,284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87,434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93,419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43,371</w:t>
            </w:r>
          </w:p>
        </w:tc>
        <w:tc>
          <w:tcPr>
            <w:tcW w:w="400" w:type="dxa"/>
            <w:vAlign w:val="bottom"/>
          </w:tcPr>
          <w:p>
            <w:pPr>
              <w:spacing w:after="0"/>
              <w:rPr>
                <w:sz w:val="21"/>
                <w:szCs w:val="21"/>
                <w:color w:val="auto"/>
              </w:rPr>
            </w:pP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45,884</w:t>
            </w:r>
          </w:p>
        </w:tc>
        <w:tc>
          <w:tcPr>
            <w:tcW w:w="4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43,534</w:t>
            </w:r>
          </w:p>
        </w:tc>
        <w:tc>
          <w:tcPr>
            <w:tcW w:w="4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41,527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14"/>
                <w:szCs w:val="14"/>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(775)</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(334)</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594</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(43,075)</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486"/>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94" w:name="page95"/>
    <w:bookmarkEnd w:id="94"/>
    <w:p>
      <w:pPr>
        <w:ind w:left="420"/>
        <w:spacing w:after="0"/>
        <w:rPr>
          <w:sz w:val="20"/>
          <w:szCs w:val="20"/>
          <w:color w:val="auto"/>
        </w:rPr>
      </w:pPr>
      <w:r>
        <w:rPr>
          <w:rFonts w:ascii="Times New Roman" w:cs="Times New Roman" w:eastAsia="Times New Roman" w:hAnsi="Times New Roman"/>
          <w:sz w:val="17"/>
          <w:szCs w:val="17"/>
          <w:color w:val="auto"/>
        </w:rPr>
        <w:t>(1) Included within net income (loss) during the fourth quarter of fiscal year 2016 is the $40.4 million valuation allowance that was recorded (Note 9).</w:t>
      </w:r>
    </w:p>
    <w:p>
      <w:pPr>
        <w:spacing w:after="0" w:line="183"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data in the schedules above has been intentionally rounded to the nearest thousand and therefore the quarterly amounts may not sum to the full year amounts.</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240" w:top="580" w:right="4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gridSpan w:val="10"/>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SCHEDULE II -VALUATION AND QUALIFYING ACCOUNTS</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Additions -</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5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20"/>
                <w:szCs w:val="20"/>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31"/>
        </w:trPr>
        <w:tc>
          <w:tcPr>
            <w:tcW w:w="526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Year Ended May 31, 2015</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May 31, 2016</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40,685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42,209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May 31, 2017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42,209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48,348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4,372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900"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ANGIODYNAMICS, INC.</w:t>
      </w:r>
    </w:p>
    <w:p>
      <w:pPr>
        <w:spacing w:after="0" w:line="67" w:lineRule="exact"/>
        <w:rPr>
          <w:sz w:val="20"/>
          <w:szCs w:val="20"/>
          <w:color w:val="auto"/>
        </w:rPr>
      </w:pPr>
    </w:p>
    <w:p>
      <w:pPr>
        <w:ind w:left="40"/>
        <w:spacing w:after="0"/>
        <w:tabs>
          <w:tab w:leader="none" w:pos="720" w:val="left"/>
          <w:tab w:leader="none" w:pos="5740" w:val="left"/>
          <w:tab w:leader="none" w:pos="7720" w:val="left"/>
          <w:tab w:leader="none" w:pos="8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4,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7"/>
          <w:szCs w:val="17"/>
          <w:color w:val="auto"/>
        </w:rPr>
        <w:t xml:space="preserve"> W. D</w:t>
      </w:r>
      <w:r>
        <w:rPr>
          <w:rFonts w:ascii="Times New Roman" w:cs="Times New Roman" w:eastAsia="Times New Roman" w:hAnsi="Times New Roman"/>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0"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Howard W. Donnelly,</w:t>
      </w:r>
    </w:p>
    <w:p>
      <w:pPr>
        <w:spacing w:after="0" w:line="6"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Chairman of the Board, Director</w:t>
      </w:r>
    </w:p>
    <w:p>
      <w:pPr>
        <w:spacing w:after="0" w:line="138"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840" w:type="dxa"/>
            <w:vAlign w:val="bottom"/>
            <w:gridSpan w:val="3"/>
          </w:tcPr>
          <w:p>
            <w:pPr>
              <w:jc w:val="center"/>
              <w:ind w:right="1665"/>
              <w:spacing w:after="0"/>
              <w:rPr>
                <w:sz w:val="20"/>
                <w:szCs w:val="20"/>
                <w:color w:val="auto"/>
              </w:rPr>
            </w:pPr>
            <w:r>
              <w:rPr>
                <w:rFonts w:ascii="Times New Roman" w:cs="Times New Roman" w:eastAsia="Times New Roman" w:hAnsi="Times New Roman"/>
                <w:sz w:val="18"/>
                <w:szCs w:val="18"/>
                <w:color w:val="auto"/>
                <w:w w:val="99"/>
              </w:rPr>
              <w:t>H</w:t>
            </w:r>
            <w:r>
              <w:rPr>
                <w:rFonts w:ascii="Times New Roman" w:cs="Times New Roman" w:eastAsia="Times New Roman" w:hAnsi="Times New Roman"/>
                <w:sz w:val="14"/>
                <w:szCs w:val="14"/>
                <w:color w:val="auto"/>
                <w:w w:val="99"/>
              </w:rPr>
              <w:t>OWARD</w:t>
            </w:r>
            <w:r>
              <w:rPr>
                <w:rFonts w:ascii="Times New Roman" w:cs="Times New Roman" w:eastAsia="Times New Roman" w:hAnsi="Times New Roman"/>
                <w:sz w:val="18"/>
                <w:szCs w:val="18"/>
                <w:color w:val="auto"/>
                <w:w w:val="99"/>
              </w:rPr>
              <w:t xml:space="preserve"> W. D</w:t>
            </w:r>
            <w:r>
              <w:rPr>
                <w:rFonts w:ascii="Times New Roman" w:cs="Times New Roman" w:eastAsia="Times New Roman" w:hAnsi="Times New Roman"/>
                <w:sz w:val="14"/>
                <w:szCs w:val="14"/>
                <w:color w:val="auto"/>
                <w:w w:val="99"/>
              </w:rPr>
              <w:t>ONNELLY</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Howard W. Donnelly,</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Chairman of the Board, Director</w:t>
            </w:r>
          </w:p>
        </w:tc>
      </w:tr>
      <w:tr>
        <w:trPr>
          <w:trHeight w:val="37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4"/>
                <w:szCs w:val="24"/>
                <w:color w:val="auto"/>
              </w:rPr>
            </w:pPr>
          </w:p>
        </w:tc>
        <w:tc>
          <w:tcPr>
            <w:tcW w:w="5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JAMES C. CLEMMER</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James C. Clemmer,</w:t>
            </w:r>
          </w:p>
        </w:tc>
      </w:tr>
      <w:tr>
        <w:trPr>
          <w:trHeight w:val="161"/>
        </w:trPr>
        <w:tc>
          <w:tcPr>
            <w:tcW w:w="5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Chief Executive Officer</w:t>
            </w:r>
          </w:p>
        </w:tc>
      </w:tr>
      <w:tr>
        <w:trPr>
          <w:trHeight w:val="190"/>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840" w:type="dxa"/>
            <w:vAlign w:val="bottom"/>
            <w:gridSpan w:val="3"/>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37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4"/>
                <w:szCs w:val="24"/>
                <w:color w:val="auto"/>
              </w:rPr>
            </w:pPr>
          </w:p>
        </w:tc>
        <w:tc>
          <w:tcPr>
            <w:tcW w:w="21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665"/>
              <w:spacing w:after="0"/>
              <w:rPr>
                <w:sz w:val="20"/>
                <w:szCs w:val="20"/>
                <w:color w:val="auto"/>
              </w:rPr>
            </w:pPr>
            <w:r>
              <w:rPr>
                <w:rFonts w:ascii="Times New Roman" w:cs="Times New Roman" w:eastAsia="Times New Roman" w:hAnsi="Times New Roman"/>
                <w:sz w:val="18"/>
                <w:szCs w:val="18"/>
                <w:color w:val="auto"/>
              </w:rPr>
              <w:t>MICHAEL C. GREINER</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Michael C. Greiner</w:t>
            </w:r>
          </w:p>
        </w:tc>
      </w:tr>
      <w:tr>
        <w:trPr>
          <w:trHeight w:val="161"/>
        </w:trPr>
        <w:tc>
          <w:tcPr>
            <w:tcW w:w="5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(Principal Financial and Principal</w:t>
            </w:r>
          </w:p>
        </w:tc>
      </w:tr>
      <w:tr>
        <w:trPr>
          <w:trHeight w:val="190"/>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Accounting Officer)</w:t>
            </w:r>
          </w:p>
        </w:tc>
      </w:tr>
      <w:tr>
        <w:trPr>
          <w:trHeight w:val="37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4"/>
                <w:szCs w:val="24"/>
                <w:color w:val="auto"/>
              </w:rPr>
            </w:pPr>
          </w:p>
        </w:tc>
        <w:tc>
          <w:tcPr>
            <w:tcW w:w="1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840" w:type="dxa"/>
            <w:vAlign w:val="bottom"/>
            <w:gridSpan w:val="3"/>
          </w:tcPr>
          <w:p>
            <w:pPr>
              <w:jc w:val="center"/>
              <w:ind w:right="1785"/>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ESLEY</w:t>
            </w:r>
            <w:r>
              <w:rPr>
                <w:rFonts w:ascii="Times New Roman" w:cs="Times New Roman" w:eastAsia="Times New Roman" w:hAnsi="Times New Roman"/>
                <w:sz w:val="18"/>
                <w:szCs w:val="18"/>
                <w:color w:val="auto"/>
              </w:rPr>
              <w:t xml:space="preserve"> E. J</w:t>
            </w:r>
            <w:r>
              <w:rPr>
                <w:rFonts w:ascii="Times New Roman" w:cs="Times New Roman" w:eastAsia="Times New Roman" w:hAnsi="Times New Roman"/>
                <w:sz w:val="14"/>
                <w:szCs w:val="14"/>
                <w:color w:val="auto"/>
              </w:rPr>
              <w:t>OHNSON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Wesley E. Johnson, Jr.,</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7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945"/>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EFFREY</w:t>
            </w:r>
            <w:r>
              <w:rPr>
                <w:rFonts w:ascii="Times New Roman" w:cs="Times New Roman" w:eastAsia="Times New Roman" w:hAnsi="Times New Roman"/>
                <w:sz w:val="18"/>
                <w:szCs w:val="18"/>
                <w:color w:val="auto"/>
              </w:rPr>
              <w:t xml:space="preserve"> G. G</w:t>
            </w:r>
            <w:r>
              <w:rPr>
                <w:rFonts w:ascii="Times New Roman" w:cs="Times New Roman" w:eastAsia="Times New Roman" w:hAnsi="Times New Roman"/>
                <w:sz w:val="14"/>
                <w:szCs w:val="14"/>
                <w:color w:val="auto"/>
              </w:rPr>
              <w:t>OLD</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Jeffrey G. Gold,</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7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4"/>
                <w:szCs w:val="24"/>
                <w:color w:val="auto"/>
              </w:rPr>
            </w:pPr>
          </w:p>
        </w:tc>
        <w:tc>
          <w:tcPr>
            <w:tcW w:w="21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945"/>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ENNIS</w:t>
            </w:r>
            <w:r>
              <w:rPr>
                <w:rFonts w:ascii="Times New Roman" w:cs="Times New Roman" w:eastAsia="Times New Roman" w:hAnsi="Times New Roman"/>
                <w:sz w:val="18"/>
                <w:szCs w:val="18"/>
                <w:color w:val="auto"/>
              </w:rPr>
              <w:t xml:space="preserve"> S. M</w:t>
            </w:r>
            <w:r>
              <w:rPr>
                <w:rFonts w:ascii="Times New Roman" w:cs="Times New Roman" w:eastAsia="Times New Roman" w:hAnsi="Times New Roman"/>
                <w:sz w:val="14"/>
                <w:szCs w:val="14"/>
                <w:color w:val="auto"/>
              </w:rPr>
              <w:t>ETENY</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Dennis S. Meteny,</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7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4"/>
                <w:szCs w:val="24"/>
                <w:color w:val="auto"/>
              </w:rPr>
            </w:pPr>
          </w:p>
        </w:tc>
        <w:tc>
          <w:tcPr>
            <w:tcW w:w="21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945"/>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TEVEN 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ORTE</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05"/>
              <w:spacing w:after="0"/>
              <w:rPr>
                <w:sz w:val="20"/>
                <w:szCs w:val="20"/>
                <w:color w:val="auto"/>
              </w:rPr>
            </w:pPr>
            <w:r>
              <w:rPr>
                <w:rFonts w:ascii="Times New Roman" w:cs="Times New Roman" w:eastAsia="Times New Roman" w:hAnsi="Times New Roman"/>
                <w:sz w:val="14"/>
                <w:szCs w:val="14"/>
                <w:b w:val="1"/>
                <w:bCs w:val="1"/>
                <w:color w:val="auto"/>
              </w:rPr>
              <w:t>Steven R. LaPorte,</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7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600" w:type="dxa"/>
            <w:vAlign w:val="bottom"/>
            <w:gridSpan w:val="2"/>
          </w:tcPr>
          <w:p>
            <w:pPr>
              <w:jc w:val="center"/>
              <w:ind w:right="1945"/>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EVIN</w:t>
            </w:r>
            <w:r>
              <w:rPr>
                <w:rFonts w:ascii="Times New Roman" w:cs="Times New Roman" w:eastAsia="Times New Roman" w:hAnsi="Times New Roman"/>
                <w:sz w:val="18"/>
                <w:szCs w:val="18"/>
                <w:color w:val="auto"/>
              </w:rPr>
              <w:t xml:space="preserve"> J. G</w:t>
            </w:r>
            <w:r>
              <w:rPr>
                <w:rFonts w:ascii="Times New Roman" w:cs="Times New Roman" w:eastAsia="Times New Roman" w:hAnsi="Times New Roman"/>
                <w:sz w:val="14"/>
                <w:szCs w:val="14"/>
                <w:color w:val="auto"/>
              </w:rPr>
              <w:t>OULD</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Kevin J. Gould,</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7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260" w:type="dxa"/>
            <w:vAlign w:val="bottom"/>
          </w:tcPr>
          <w:p>
            <w:pPr>
              <w:jc w:val="center"/>
              <w:ind w:right="2005"/>
              <w:spacing w:after="0"/>
              <w:rPr>
                <w:sz w:val="20"/>
                <w:szCs w:val="20"/>
                <w:color w:val="auto"/>
              </w:rPr>
            </w:pPr>
            <w:r>
              <w:rPr>
                <w:rFonts w:ascii="Times New Roman" w:cs="Times New Roman" w:eastAsia="Times New Roman" w:hAnsi="Times New Roman"/>
                <w:sz w:val="18"/>
                <w:szCs w:val="18"/>
                <w:color w:val="auto"/>
              </w:rPr>
              <w:t>JAN REED</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tcPr>
          <w:p>
            <w:pPr>
              <w:jc w:val="center"/>
              <w:ind w:right="2365"/>
              <w:spacing w:after="0"/>
              <w:rPr>
                <w:sz w:val="20"/>
                <w:szCs w:val="20"/>
                <w:color w:val="auto"/>
              </w:rPr>
            </w:pPr>
            <w:r>
              <w:rPr>
                <w:rFonts w:ascii="Times New Roman" w:cs="Times New Roman" w:eastAsia="Times New Roman" w:hAnsi="Times New Roman"/>
                <w:sz w:val="14"/>
                <w:szCs w:val="14"/>
                <w:b w:val="1"/>
                <w:bCs w:val="1"/>
                <w:color w:val="auto"/>
              </w:rPr>
              <w:t>Jan Reed,</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7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4, 2017</w:t>
            </w: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260" w:type="dxa"/>
            <w:vAlign w:val="bottom"/>
          </w:tcPr>
          <w:p>
            <w:pPr>
              <w:jc w:val="center"/>
              <w:ind w:right="2005"/>
              <w:spacing w:after="0"/>
              <w:rPr>
                <w:sz w:val="20"/>
                <w:szCs w:val="20"/>
                <w:color w:val="auto"/>
              </w:rPr>
            </w:pPr>
            <w:r>
              <w:rPr>
                <w:rFonts w:ascii="Times New Roman" w:cs="Times New Roman" w:eastAsia="Times New Roman" w:hAnsi="Times New Roman"/>
                <w:sz w:val="18"/>
                <w:szCs w:val="18"/>
                <w:color w:val="auto"/>
              </w:rPr>
              <w:t>EILEEN AUEN</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tcPr>
          <w:p>
            <w:pPr>
              <w:jc w:val="center"/>
              <w:ind w:right="2365"/>
              <w:spacing w:after="0"/>
              <w:rPr>
                <w:sz w:val="20"/>
                <w:szCs w:val="20"/>
                <w:color w:val="auto"/>
              </w:rPr>
            </w:pPr>
            <w:r>
              <w:rPr>
                <w:rFonts w:ascii="Times New Roman" w:cs="Times New Roman" w:eastAsia="Times New Roman" w:hAnsi="Times New Roman"/>
                <w:sz w:val="14"/>
                <w:szCs w:val="14"/>
                <w:b w:val="1"/>
                <w:bCs w:val="1"/>
                <w:color w:val="auto"/>
              </w:rPr>
              <w:t>Eileen Auen,</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739"/>
        </w:trPr>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40" w:type="dxa"/>
            <w:vAlign w:val="bottom"/>
            <w:gridSpan w:val="2"/>
          </w:tcPr>
          <w:p>
            <w:pPr>
              <w:jc w:val="right"/>
              <w:ind w:right="1696"/>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EXHIBITS</w:t>
            </w:r>
          </w:p>
        </w:tc>
      </w:tr>
      <w:tr>
        <w:trPr>
          <w:trHeight w:val="527"/>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0"/>
              </w:rPr>
              <w:t>(b)</w:t>
            </w:r>
          </w:p>
        </w:tc>
        <w:tc>
          <w:tcPr>
            <w:tcW w:w="162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Exhibits</w:t>
            </w:r>
          </w:p>
        </w:tc>
        <w:tc>
          <w:tcPr>
            <w:tcW w:w="8860" w:type="dxa"/>
            <w:vAlign w:val="bottom"/>
          </w:tcPr>
          <w:p>
            <w:pPr>
              <w:spacing w:after="0"/>
              <w:rPr>
                <w:sz w:val="24"/>
                <w:szCs w:val="24"/>
                <w:color w:val="auto"/>
              </w:rPr>
            </w:pPr>
          </w:p>
        </w:tc>
      </w:tr>
      <w:tr>
        <w:trPr>
          <w:trHeight w:val="27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Agreement, dated as of May 22, 2012, among AngioDynamics, Inc. and the stockholders set forth on the signature</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pages thereto (incorporated by reference to Exhibit 2.2 of the Company’s current report on Form 8-K filed with the Commission on</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25, 2012).</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Purchase Agreement, dated as of October 8, 2012, by and among AngioDynamics, Inc., Vortex Medical, Inc. (“Vortex”), the</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of Vortex set forth on the signature pages thereto, the option holders of Vortex set forth on the signature pages thereto</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and CHTP Management Services, Inc., as sellers’ representative (incorporated by reference to Exhibit 2.1 of the Company’s current</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on Form 8-K, filed with the Commission on October 12, 2012).</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to Exhibit 3.1 of the Company’s quarterly report on</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 filed with the Commission on October 7, 2005).</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to the Amended and Restated Certificate of Incorporation of AngioDynamics, Inc. (incorporated by</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3.1.2 of the Company's Annual Report on Form 10-K, filed with the Commission on August 10, 2015).</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By-Laws, effective October 16, 2015 (incorporated by reference to Exhibit 10.1 of the Company’s</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filed with the Commission on October 21, 2015).</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dated as of November 7, 2016, by and among AngioDynamics, Inc., the lenders party thereto, JPMorgan Chase</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N.A., as administrative agent, Bank of America, N.A. and Keybank National Association as co-syndication agents, and</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 Merrill Lynch, Pierce, Fenner &amp; Smith Incorporated and Keybank National Association as joint</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bookrunners and joint lead arrangers (incorporated by reference to Exhibit 10.1 to the Company’s current report on Form 8-K, filed</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the Commission on November 10, 2016).</w:t>
            </w:r>
          </w:p>
        </w:tc>
      </w:tr>
      <w:tr>
        <w:trPr>
          <w:trHeight w:val="468"/>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AngioDynamics, Inc. 1997 Stock Option Plan, as amended by the Board and Shareholders on February 27, 2004 (incorporated by</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10.2 of the Company’s registration statement on Form S-1, filed on March 5, 2004).</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AngioDynamics, Inc. 2004 Stock and Incentive Award Plan (as amended) (incorporated by reference to the Company’s Definitive</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 on Schedule 14A filed with the Commission on September 15, 2016).</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AngioDynamics 2013 Total Shareholder Return Performance Unit Agreement Program (incorporated by reference to Exhibit 10.2</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Company's current report on Form 8-K filed with the Commission on November 5, 2013).</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AngioDynamics 2014 Total Shareholder Return Performance Unit Agreement Program (incorporated by reference to Exhibit 10.1.4</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Company's Annual Report on Form 10-K filed with the Commission on January 12, 2015).</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AngioDynamics 2015 Total Shareholder Return Performance Unit Agreement Program (incorporated by reference to Exhibit 10.1.5</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Company’s Annual Report on Form 10-K filed with the Commission on August 10, 2015).</w:t>
            </w:r>
          </w:p>
        </w:tc>
      </w:tr>
      <w:tr>
        <w:trPr>
          <w:trHeight w:val="468"/>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AngioDynamics 2016 Total Shareholder Return Performance Unit Agreement Program (incorporated by reference to Exhibit 10.1.6</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Company’s Annual Report on Form 10-K filed with the Commission on August 1, 2016).</w:t>
            </w:r>
          </w:p>
        </w:tc>
      </w:tr>
      <w:tr>
        <w:trPr>
          <w:trHeight w:val="468"/>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AngioDynamics, Inc. Employee Stock Purchase Plan (as amended) (incorporated by reference to the Company’s Definitive Proxy</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on Schedule 14A filed with the Commission on September 15, 2016).</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Non-Statutory Stock Option Agreement pursuant to the AngioDynamics, Inc. Stock and Incentive Award Plan</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(incorporated by reference to Exhibit 10.1 of the Company’s quarterly report on Form 10-Q, filed with the Commission on October</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2004).</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2013 Performance Share Award Agreement pursuant to the AngioDynamics, Inc. 2004 Stock and Incentive Award Plan</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by reference to Exhibit 10.2 of the Company’s current report on Form 8-K, filed with the Commission on May 12,</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8860" w:type="dxa"/>
            <w:vAlign w:val="bottom"/>
          </w:tcPr>
          <w:p>
            <w:pPr>
              <w:spacing w:after="0"/>
              <w:rPr>
                <w:sz w:val="20"/>
                <w:szCs w:val="20"/>
                <w:color w:val="auto"/>
              </w:rPr>
            </w:pP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10.4.2</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2014 Performance Share Award Agreement pursuant to the AngioDynamics, Inc. 2004 Stock and Incentive Award Plan</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by reference to Exhibit 10.4.2 of the Company's Annual Report on Form 10-K filed with the Commission on January</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2015).</w:t>
            </w:r>
          </w:p>
        </w:tc>
      </w:tr>
      <w:tr>
        <w:trPr>
          <w:trHeight w:val="25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10.4.3</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2015 Performance Share Award Agreement pursuant to the AngioDyanmics, Inc. 2004 Stock and Incentive Award Plan</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by reference to Exhibit 10.4.3 of the Company’s Annual Report on Form 10-K filed with the Commission on August</w:t>
            </w:r>
          </w:p>
        </w:tc>
      </w:tr>
      <w:tr>
        <w:trPr>
          <w:trHeight w:val="234"/>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2015).</w:t>
            </w:r>
          </w:p>
        </w:tc>
      </w:tr>
      <w:tr>
        <w:trPr>
          <w:trHeight w:val="486"/>
        </w:trPr>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8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95</w:t>
            </w:r>
          </w:p>
        </w:tc>
      </w:tr>
    </w:tbl>
    <w:p>
      <w:pPr>
        <w:sectPr>
          <w:pgSz w:w="11900" w:h="16838" w:orient="portrait"/>
          <w:cols w:equalWidth="0" w:num="1">
            <w:col w:w="11320"/>
          </w:cols>
          <w:pgMar w:left="280" w:top="580" w:right="2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2016 Performance Share Award Agreement pursuant to the AngioDyanmics, Inc. 2004 Stock and Incentive Award Plan</w:t>
            </w:r>
          </w:p>
        </w:tc>
      </w:tr>
      <w:tr>
        <w:trPr>
          <w:trHeight w:val="216"/>
        </w:trPr>
        <w:tc>
          <w:tcPr>
            <w:tcW w:w="1180" w:type="dxa"/>
            <w:vAlign w:val="bottom"/>
          </w:tcPr>
          <w:p>
            <w:pPr>
              <w:spacing w:after="0"/>
              <w:rPr>
                <w:sz w:val="18"/>
                <w:szCs w:val="18"/>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(incorporated by reference to Exhibit 10.4.3 of the Company’s Annual Report on Form 10-K filed with the Commission on August</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 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Restricted Stock Award Agreement pursuant to the AngioDynamics, Inc. 2004 Stock and Incentive Award Plan</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(incorporated by reference to the Company’s current report on Form 8-K, filed with the Commission on May 12, 2005).</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Rita Medical Systems, Inc. 1994 Incentive Stock Plan (incorporated by reference to Exhibit 10.2 of Rita Medical Systems</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registration statement on Form S-1, filed with the Commission on May 3, 2000)</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Horizon Medical Products, Inc. 1998 Stock Incentive Plan (incorporated by reference to Exhibit 10.11 of Horizon Medical</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Products’ registration statement on Form S-1, filed with the Commission on February 13, 1998.</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Rita Medical Systems, Inc. 2000 Stock Plan (incorporated by reference to Exhibit 10.3 of Rita Medical Systems registration</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statement on Form S-1/A, filed with the Commission on June 14, 2000).</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Rita Medical Systems, Inc. 2000 Directors’ Stock Plan, as amended on June 8, 2005 (incorporated by reference to Exhibit 99.2 of</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Rita Medical System’s registration statement on Form S-8, filed with the Commission on July 8, 2005).</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Rita Medical Systems, Inc. 2005 Stock and Incentive Plan (incorporated by reference to Exhibit 99.1 of Rita Medical System’s</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registration statement on Form S-8, filed with the Commission on July 8, 2005).</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Indemnification Agreement of AngioDynamics, Inc. (incorporated by reference to Exhibit 10.1 of the Company’s current</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report on Form 8-K, filed with the Commission on May 12, 2006).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10.11.1</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Employment Agreement, dated April 1, 2016, between AngioDynamics, Inc. and James C. Clemmer (incorporated by reference to</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10.1 of the Company’s current report on Form 8-K, filed with the Commission on April 6, 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10.11.2</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Employment Agreement, dated August 18, 2016, between AngioDynamics, Inc. and Michael C. Greiner (incorporated by reference</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 Exhibit 10.1 of the Company’s current report on Form 8-K, filed with the Commission on July 25, 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Control Agreement, dated April 1, 2016, between AngioDynamics, Inc. and James C. Clemmer (incorporated by</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reference to Exhibit 10.2 of the Company’s current report on Form 8-K, filed with the Commission on April 6, 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Severance Agreement of AngioDynamics, Inc. (incorporated by reference to Exhibit 10.1 of the Company’s current report</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on form 8-K, filed with the Commission on October 31, 2007).</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Form of Change in Control Agreement (incorporated by reference to Exhibit 10.13 of the Company's Annual Report on Form 10-K</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filed with the Commission on January 12, 2015).</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10.13.1</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Control Agreement, dated August 18, 2016, between AngioDynamics, Inc. and Michael C. Greiner (incorporated by</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reference to Exhibit 10.3 of the Company’s quarterly report on Form 10-Q, filed with the Commission on October 5, 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Performance Share Award Agreement, with a grant date of April 4, 2016, between AngioDynamics, Inc. and James C. Clemmer</w:t>
            </w:r>
          </w:p>
        </w:tc>
      </w:tr>
      <w:tr>
        <w:trPr>
          <w:trHeight w:val="216"/>
        </w:trPr>
        <w:tc>
          <w:tcPr>
            <w:tcW w:w="1180" w:type="dxa"/>
            <w:vAlign w:val="bottom"/>
          </w:tcPr>
          <w:p>
            <w:pPr>
              <w:spacing w:after="0"/>
              <w:rPr>
                <w:sz w:val="18"/>
                <w:szCs w:val="18"/>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(incorporated by reference to Exhibit 10.3 of the Company’s current report on Form 8-K, filed with the Commission on April 6,</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AngioDynamics, Inc. Total Shareholder Return Performance Share Award Program - Performance Period Ending July 2019</w:t>
            </w:r>
          </w:p>
        </w:tc>
      </w:tr>
      <w:tr>
        <w:trPr>
          <w:trHeight w:val="216"/>
        </w:trPr>
        <w:tc>
          <w:tcPr>
            <w:tcW w:w="1180" w:type="dxa"/>
            <w:vAlign w:val="bottom"/>
          </w:tcPr>
          <w:p>
            <w:pPr>
              <w:spacing w:after="0"/>
              <w:rPr>
                <w:sz w:val="18"/>
                <w:szCs w:val="18"/>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(incorporated by reference to Exhibit 10.4 of the Company’s current report on Form 8-K, filed with the Commission on April 6,</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Option Award Agreement, with a grant date of April 4, 2016, between AngioDynamics, Inc. and James C. Clemmer</w:t>
            </w:r>
          </w:p>
        </w:tc>
      </w:tr>
      <w:tr>
        <w:trPr>
          <w:trHeight w:val="216"/>
        </w:trPr>
        <w:tc>
          <w:tcPr>
            <w:tcW w:w="1180" w:type="dxa"/>
            <w:vAlign w:val="bottom"/>
          </w:tcPr>
          <w:p>
            <w:pPr>
              <w:spacing w:after="0"/>
              <w:rPr>
                <w:sz w:val="18"/>
                <w:szCs w:val="18"/>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(incorporated by reference to Exhibit 10.5 of the Company’s current report on Form 8-K, filed with the Commission on April 6,</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Restricted Stock Unit Award Agreement, with a grant date of April 4, 2016, between AngioDynamics, Inc. and James C. Clemmer</w:t>
            </w:r>
          </w:p>
        </w:tc>
      </w:tr>
      <w:tr>
        <w:trPr>
          <w:trHeight w:val="216"/>
        </w:trPr>
        <w:tc>
          <w:tcPr>
            <w:tcW w:w="1180" w:type="dxa"/>
            <w:vAlign w:val="bottom"/>
          </w:tcPr>
          <w:p>
            <w:pPr>
              <w:spacing w:after="0"/>
              <w:rPr>
                <w:sz w:val="18"/>
                <w:szCs w:val="18"/>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(incorporated by reference to Exhibit 10.6 of the Company’s current report on Form 8-K, filed with the Commission on April 6,</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Separation Agreement and General Release, dated April 22, 2016, between AngioDynamics, Inc. and Joseph M. DeVivo</w:t>
            </w:r>
          </w:p>
        </w:tc>
      </w:tr>
      <w:tr>
        <w:trPr>
          <w:trHeight w:val="216"/>
        </w:trPr>
        <w:tc>
          <w:tcPr>
            <w:tcW w:w="1180" w:type="dxa"/>
            <w:vAlign w:val="bottom"/>
          </w:tcPr>
          <w:p>
            <w:pPr>
              <w:spacing w:after="0"/>
              <w:rPr>
                <w:sz w:val="18"/>
                <w:szCs w:val="18"/>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(incorporated by reference to Exhibit 10.1 of the Company’s current report on Form 8-K, filed with the Commission on April 27,</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2016).</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AngioDynamics, Inc. Fiscal Year 2012 Senior Executive Equity Incentive Program (incorporated by reference to Exhibit 10.30 of</w:t>
            </w:r>
          </w:p>
        </w:tc>
      </w:tr>
      <w:tr>
        <w:trPr>
          <w:trHeight w:val="234"/>
        </w:trPr>
        <w:tc>
          <w:tcPr>
            <w:tcW w:w="1180" w:type="dxa"/>
            <w:vAlign w:val="bottom"/>
          </w:tcPr>
          <w:p>
            <w:pPr>
              <w:spacing w:after="0"/>
              <w:rPr>
                <w:sz w:val="20"/>
                <w:szCs w:val="20"/>
                <w:color w:val="auto"/>
              </w:rPr>
            </w:pPr>
          </w:p>
        </w:tc>
        <w:tc>
          <w:tcPr>
            <w:tcW w:w="10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Annual Report on Form 10-K, filed with the commission on August 12, 2011).</w:t>
            </w:r>
          </w:p>
        </w:tc>
      </w:tr>
      <w:tr>
        <w:trPr>
          <w:trHeight w:val="486"/>
        </w:trPr>
        <w:tc>
          <w:tcPr>
            <w:tcW w:w="1180" w:type="dxa"/>
            <w:vAlign w:val="bottom"/>
          </w:tcPr>
          <w:p>
            <w:pPr>
              <w:spacing w:after="0"/>
              <w:rPr>
                <w:sz w:val="24"/>
                <w:szCs w:val="24"/>
                <w:color w:val="auto"/>
              </w:rPr>
            </w:pPr>
          </w:p>
        </w:tc>
        <w:tc>
          <w:tcPr>
            <w:tcW w:w="1012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96</w:t>
            </w:r>
          </w:p>
        </w:tc>
      </w:tr>
    </w:tbl>
    <w:p>
      <w:pPr>
        <w:sectPr>
          <w:pgSz w:w="11900" w:h="16838" w:orient="portrait"/>
          <w:cols w:equalWidth="0" w:num="1">
            <w:col w:w="11300"/>
          </w:cols>
          <w:pgMar w:left="280" w:top="742" w:right="31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Code of Ethics (incorporated by reference to Exhibit 14 of the Company’s current report on Form 8-K, filed with the Commission</w:t>
            </w:r>
          </w:p>
        </w:tc>
      </w:tr>
      <w:tr>
        <w:trPr>
          <w:trHeight w:val="234"/>
        </w:trPr>
        <w:tc>
          <w:tcPr>
            <w:tcW w:w="1260" w:type="dxa"/>
            <w:vAlign w:val="bottom"/>
          </w:tcPr>
          <w:p>
            <w:pPr>
              <w:spacing w:after="0"/>
              <w:rPr>
                <w:sz w:val="20"/>
                <w:szCs w:val="20"/>
                <w:color w:val="auto"/>
              </w:rPr>
            </w:pP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on May 12, 2006).</w:t>
            </w:r>
          </w:p>
        </w:tc>
      </w:tr>
      <w:tr>
        <w:trPr>
          <w:trHeight w:val="405"/>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Consent of Deloitte &amp; Touche LLP, an independent registered public accounting firm.</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Consent of PricewaterhouseCoopers LLP, an independent registered public accounting firm.</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Certification by the Chief Executive Officer Pursuant to Section 302 of the Sarbanes-Oxley Act of 2002.</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Certification by the Chief Financial Officer Pursuant to Section 302 of the Sarbanes-Oxley Act of 2002.</w:t>
            </w: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Certification by the Chief Executive Officer Pursuant to 18 U.S.C. Section 1350, as Adopted Pursuant to Section 906 of the</w:t>
            </w:r>
          </w:p>
        </w:tc>
      </w:tr>
      <w:tr>
        <w:trPr>
          <w:trHeight w:val="234"/>
        </w:trPr>
        <w:tc>
          <w:tcPr>
            <w:tcW w:w="1260" w:type="dxa"/>
            <w:vAlign w:val="bottom"/>
          </w:tcPr>
          <w:p>
            <w:pPr>
              <w:spacing w:after="0"/>
              <w:rPr>
                <w:sz w:val="20"/>
                <w:szCs w:val="20"/>
                <w:color w:val="auto"/>
              </w:rPr>
            </w:pP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Certification by the Chief Financial Officer Pursuant to 18 U.S.C. Section 1350, as Adopted Pursuant to Section 906 of the</w:t>
            </w:r>
          </w:p>
        </w:tc>
      </w:tr>
      <w:tr>
        <w:trPr>
          <w:trHeight w:val="234"/>
        </w:trPr>
        <w:tc>
          <w:tcPr>
            <w:tcW w:w="1260" w:type="dxa"/>
            <w:vAlign w:val="bottom"/>
          </w:tcPr>
          <w:p>
            <w:pPr>
              <w:spacing w:after="0"/>
              <w:rPr>
                <w:sz w:val="20"/>
                <w:szCs w:val="20"/>
                <w:color w:val="auto"/>
              </w:rPr>
            </w:pP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Calculation Linkbase Documents</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Labels Linkbase Documents</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XBRL Presentation Linkbase Documents</w:t>
            </w:r>
          </w:p>
        </w:tc>
      </w:tr>
      <w:tr>
        <w:trPr>
          <w:trHeight w:val="702"/>
        </w:trPr>
        <w:tc>
          <w:tcPr>
            <w:tcW w:w="1260" w:type="dxa"/>
            <w:vAlign w:val="bottom"/>
          </w:tcPr>
          <w:p>
            <w:pPr>
              <w:spacing w:after="0"/>
              <w:rPr>
                <w:sz w:val="24"/>
                <w:szCs w:val="24"/>
                <w:color w:val="auto"/>
              </w:rPr>
            </w:pPr>
          </w:p>
        </w:tc>
        <w:tc>
          <w:tcPr>
            <w:tcW w:w="992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97</w:t>
            </w:r>
          </w:p>
        </w:tc>
      </w:tr>
    </w:tbl>
    <w:p>
      <w:pPr>
        <w:sectPr>
          <w:pgSz w:w="11900" w:h="16838" w:orient="portrait"/>
          <w:cols w:equalWidth="0" w:num="1">
            <w:col w:w="11180"/>
          </w:cols>
          <w:pgMar w:left="280" w:top="742" w:right="4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Subsidiaries of AngioDynamics, Inc.</w:t>
      </w:r>
    </w:p>
    <w:p>
      <w:pPr>
        <w:sectPr>
          <w:pgSz w:w="11900" w:h="16838" w:orient="portrait"/>
          <w:cols w:equalWidth="0" w:num="1">
            <w:col w:w="11380"/>
          </w:cols>
          <w:pgMar w:left="280" w:top="2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105410</wp:posOffset>
            </wp:positionV>
            <wp:extent cx="36963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Vortex Medical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Holding Company,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Navilyst Medical Holdings,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Navilyst Medical,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UK Limited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Netherlands B. 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RITA Medical Systems,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RITA Medical Systems, France, SARL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Devices, B. 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Canada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2"/>
          <w:szCs w:val="12"/>
          <w:b w:val="1"/>
          <w:bCs w:val="1"/>
          <w:color w:val="auto"/>
        </w:rPr>
        <w:t>State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3404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ectPr>
          <w:pgSz w:w="11900" w:h="16838" w:orient="portrait"/>
          <w:cols w:equalWidth="0" w:num="2">
            <w:col w:w="5320" w:space="720"/>
            <w:col w:w="5340"/>
          </w:cols>
          <w:pgMar w:left="280" w:top="279" w:right="239"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333-120057, 333-138456, 333-140627, 333-161355, 333-162844, 333-170619, 333-190640 and 333-203441 on Form S-8 and No. 333-190642 on Form S-3 of our reports dated August 4, 2017 relating to the financial statements and financial statement schedule of AngioDynamics, Inc., and the effectiveness of AngioDynamics Inc.'s internal control over financial reporting, appearing in this Annual Report on Form 10-K of AngioDynamics, Inc. for the year ended May 31, 2017.</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2017</w:t>
      </w:r>
    </w:p>
    <w:p>
      <w:pPr>
        <w:sectPr>
          <w:pgSz w:w="11900" w:h="16838" w:orient="portrait"/>
          <w:cols w:equalWidth="0" w:num="1">
            <w:col w:w="11420"/>
          </w:cols>
          <w:pgMar w:left="240" w:top="279"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50"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(No. 333-190642) of AngioDynamics, Inc. of our report dated August 1, 2016 relating to the consolidated financial statements and financial statement schedule,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2017</w:t>
      </w:r>
    </w:p>
    <w:p>
      <w:pPr>
        <w:sectPr>
          <w:pgSz w:w="11900" w:h="16838" w:orient="portrait"/>
          <w:cols w:equalWidth="0" w:num="1">
            <w:col w:w="11420"/>
          </w:cols>
          <w:pgMar w:left="240" w:top="954"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360" w:lineRule="exact"/>
        <w:rPr>
          <w:sz w:val="20"/>
          <w:szCs w:val="20"/>
          <w:color w:val="auto"/>
        </w:rPr>
      </w:pPr>
    </w:p>
    <w:p>
      <w:pPr>
        <w:ind w:left="720" w:hanging="577"/>
        <w:spacing w:after="0"/>
        <w:tabs>
          <w:tab w:leader="none" w:pos="7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AngioDynamics, Inc.;</w:t>
      </w:r>
    </w:p>
    <w:p>
      <w:pPr>
        <w:spacing w:after="0" w:line="373" w:lineRule="exact"/>
        <w:rPr>
          <w:rFonts w:ascii="Times New Roman" w:cs="Times New Roman" w:eastAsia="Times New Roman" w:hAnsi="Times New Roman"/>
          <w:sz w:val="18"/>
          <w:szCs w:val="18"/>
          <w:color w:val="auto"/>
        </w:rPr>
      </w:pPr>
    </w:p>
    <w:p>
      <w:pPr>
        <w:jc w:val="both"/>
        <w:ind w:left="720" w:right="240" w:hanging="577"/>
        <w:spacing w:after="0" w:line="266" w:lineRule="auto"/>
        <w:tabs>
          <w:tab w:leader="none" w:pos="7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4" w:lineRule="exact"/>
        <w:rPr>
          <w:rFonts w:ascii="Times New Roman" w:cs="Times New Roman" w:eastAsia="Times New Roman" w:hAnsi="Times New Roman"/>
          <w:sz w:val="18"/>
          <w:szCs w:val="18"/>
          <w:color w:val="auto"/>
        </w:rPr>
      </w:pPr>
    </w:p>
    <w:p>
      <w:pPr>
        <w:ind w:left="720" w:right="200" w:hanging="577"/>
        <w:spacing w:after="0" w:line="282" w:lineRule="auto"/>
        <w:tabs>
          <w:tab w:leader="none" w:pos="7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0" w:lineRule="exact"/>
        <w:rPr>
          <w:rFonts w:ascii="Times New Roman" w:cs="Times New Roman" w:eastAsia="Times New Roman" w:hAnsi="Times New Roman"/>
          <w:sz w:val="18"/>
          <w:szCs w:val="18"/>
          <w:color w:val="auto"/>
        </w:rPr>
      </w:pPr>
    </w:p>
    <w:p>
      <w:pPr>
        <w:ind w:left="720" w:right="240" w:hanging="577"/>
        <w:spacing w:after="0" w:line="266" w:lineRule="auto"/>
        <w:tabs>
          <w:tab w:leader="none" w:pos="7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820" w:right="380" w:hanging="812"/>
        <w:spacing w:after="0" w:line="297"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820" w:right="80" w:hanging="812"/>
        <w:spacing w:after="0" w:line="297"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820" w:right="880" w:hanging="812"/>
        <w:spacing w:after="0" w:line="315" w:lineRule="auto"/>
        <w:tabs>
          <w:tab w:leader="none" w:pos="8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100" w:hanging="812"/>
        <w:spacing w:after="0" w:line="313"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0" w:lineRule="exact"/>
        <w:rPr>
          <w:rFonts w:ascii="Times New Roman" w:cs="Times New Roman" w:eastAsia="Times New Roman" w:hAnsi="Times New Roman"/>
          <w:sz w:val="18"/>
          <w:szCs w:val="18"/>
          <w:color w:val="auto"/>
        </w:rPr>
      </w:pPr>
    </w:p>
    <w:p>
      <w:pPr>
        <w:ind w:left="720" w:right="120" w:hanging="577"/>
        <w:spacing w:after="0" w:line="281" w:lineRule="auto"/>
        <w:tabs>
          <w:tab w:leader="none" w:pos="7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ind w:left="820" w:right="300" w:hanging="812"/>
        <w:spacing w:after="0" w:line="297" w:lineRule="auto"/>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240" w:hanging="812"/>
        <w:spacing w:after="0" w:line="329" w:lineRule="auto"/>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2017</w:t>
      </w:r>
    </w:p>
    <w:p>
      <w:pPr>
        <w:spacing w:after="0" w:line="200" w:lineRule="exact"/>
        <w:rPr>
          <w:sz w:val="20"/>
          <w:szCs w:val="20"/>
          <w:color w:val="auto"/>
        </w:rPr>
      </w:pPr>
    </w:p>
    <w:p>
      <w:pPr>
        <w:spacing w:after="0" w:line="309" w:lineRule="exact"/>
        <w:rPr>
          <w:sz w:val="20"/>
          <w:szCs w:val="20"/>
          <w:color w:val="auto"/>
        </w:rPr>
      </w:pPr>
    </w:p>
    <w:p>
      <w:pPr>
        <w:ind w:left="240" w:hanging="97"/>
        <w:spacing w:after="0"/>
        <w:tabs>
          <w:tab w:leader="none" w:pos="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 JAMES C. CLEMMER</w:t>
      </w:r>
    </w:p>
    <w:p>
      <w:pPr>
        <w:spacing w:after="0" w:line="90" w:lineRule="exact"/>
        <w:rPr>
          <w:rFonts w:ascii="Times New Roman" w:cs="Times New Roman" w:eastAsia="Times New Roman" w:hAnsi="Times New Roman"/>
          <w:sz w:val="18"/>
          <w:szCs w:val="18"/>
          <w:color w:val="auto"/>
        </w:rPr>
      </w:pPr>
    </w:p>
    <w:p>
      <w:pPr>
        <w:ind w:left="140" w:right="9120"/>
        <w:spacing w:after="0" w:line="3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James C. Clemmer, 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-405765</wp:posOffset>
            </wp:positionV>
            <wp:extent cx="7212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Greiner, certify that:</w:t>
      </w:r>
    </w:p>
    <w:p>
      <w:pPr>
        <w:spacing w:after="0" w:line="360" w:lineRule="exact"/>
        <w:rPr>
          <w:sz w:val="20"/>
          <w:szCs w:val="20"/>
          <w:color w:val="auto"/>
        </w:rPr>
      </w:pPr>
    </w:p>
    <w:p>
      <w:pPr>
        <w:ind w:left="720" w:hanging="577"/>
        <w:spacing w:after="0"/>
        <w:tabs>
          <w:tab w:leader="none" w:pos="7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AngioDynamics, Inc.;</w:t>
      </w:r>
    </w:p>
    <w:p>
      <w:pPr>
        <w:spacing w:after="0" w:line="373" w:lineRule="exact"/>
        <w:rPr>
          <w:rFonts w:ascii="Times New Roman" w:cs="Times New Roman" w:eastAsia="Times New Roman" w:hAnsi="Times New Roman"/>
          <w:sz w:val="18"/>
          <w:szCs w:val="18"/>
          <w:color w:val="auto"/>
        </w:rPr>
      </w:pPr>
    </w:p>
    <w:p>
      <w:pPr>
        <w:jc w:val="both"/>
        <w:ind w:left="720" w:right="240" w:hanging="577"/>
        <w:spacing w:after="0" w:line="266" w:lineRule="auto"/>
        <w:tabs>
          <w:tab w:leader="none" w:pos="7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4" w:lineRule="exact"/>
        <w:rPr>
          <w:rFonts w:ascii="Times New Roman" w:cs="Times New Roman" w:eastAsia="Times New Roman" w:hAnsi="Times New Roman"/>
          <w:sz w:val="18"/>
          <w:szCs w:val="18"/>
          <w:color w:val="auto"/>
        </w:rPr>
      </w:pPr>
    </w:p>
    <w:p>
      <w:pPr>
        <w:ind w:left="720" w:right="200" w:hanging="577"/>
        <w:spacing w:after="0" w:line="282" w:lineRule="auto"/>
        <w:tabs>
          <w:tab w:leader="none" w:pos="7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0" w:lineRule="exact"/>
        <w:rPr>
          <w:rFonts w:ascii="Times New Roman" w:cs="Times New Roman" w:eastAsia="Times New Roman" w:hAnsi="Times New Roman"/>
          <w:sz w:val="18"/>
          <w:szCs w:val="18"/>
          <w:color w:val="auto"/>
        </w:rPr>
      </w:pPr>
    </w:p>
    <w:p>
      <w:pPr>
        <w:ind w:left="720" w:right="240" w:hanging="577"/>
        <w:spacing w:after="0" w:line="266" w:lineRule="auto"/>
        <w:tabs>
          <w:tab w:leader="none" w:pos="7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820" w:right="380" w:hanging="812"/>
        <w:spacing w:after="0" w:line="297" w:lineRule="auto"/>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820" w:right="80" w:hanging="812"/>
        <w:spacing w:after="0" w:line="297" w:lineRule="auto"/>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820" w:right="880" w:hanging="812"/>
        <w:spacing w:after="0" w:line="315" w:lineRule="auto"/>
        <w:tabs>
          <w:tab w:leader="none" w:pos="8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100" w:hanging="812"/>
        <w:spacing w:after="0" w:line="313" w:lineRule="auto"/>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0" w:lineRule="exact"/>
        <w:rPr>
          <w:rFonts w:ascii="Times New Roman" w:cs="Times New Roman" w:eastAsia="Times New Roman" w:hAnsi="Times New Roman"/>
          <w:sz w:val="18"/>
          <w:szCs w:val="18"/>
          <w:color w:val="auto"/>
        </w:rPr>
      </w:pPr>
    </w:p>
    <w:p>
      <w:pPr>
        <w:ind w:left="720" w:right="120" w:hanging="577"/>
        <w:spacing w:after="0" w:line="281" w:lineRule="auto"/>
        <w:tabs>
          <w:tab w:leader="none" w:pos="7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ind w:left="820" w:right="300" w:hanging="812"/>
        <w:spacing w:after="0" w:line="297" w:lineRule="auto"/>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240" w:hanging="812"/>
        <w:spacing w:after="0" w:line="329" w:lineRule="auto"/>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right="9080" w:firstLine="3"/>
        <w:spacing w:after="0" w:line="321" w:lineRule="auto"/>
        <w:tabs>
          <w:tab w:leader="none" w:pos="2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 MICHAEL C. GREINER Michael C. Greiner,</w:t>
      </w: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-316230</wp:posOffset>
            </wp:positionV>
            <wp:extent cx="7169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spacing w:after="0" w:line="313"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the best of my knowledge:</w:t>
      </w:r>
    </w:p>
    <w:p>
      <w:pPr>
        <w:spacing w:after="0" w:line="360" w:lineRule="exact"/>
        <w:rPr>
          <w:sz w:val="20"/>
          <w:szCs w:val="20"/>
          <w:color w:val="auto"/>
        </w:rPr>
      </w:pPr>
    </w:p>
    <w:p>
      <w:pPr>
        <w:ind w:left="720" w:right="400" w:hanging="577"/>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May 31, 2017 (the “Report”) fully complies with the requirements of Section 13(a) or 15(d) of the Securities Exchange Act of 1934 (15 U.S.C. 78m or 78o(d)); and</w:t>
      </w:r>
    </w:p>
    <w:p>
      <w:pPr>
        <w:spacing w:after="0" w:line="310" w:lineRule="exact"/>
        <w:rPr>
          <w:rFonts w:ascii="Times New Roman" w:cs="Times New Roman" w:eastAsia="Times New Roman" w:hAnsi="Times New Roman"/>
          <w:sz w:val="18"/>
          <w:szCs w:val="18"/>
          <w:color w:val="auto"/>
        </w:rPr>
      </w:pPr>
    </w:p>
    <w:p>
      <w:pPr>
        <w:ind w:right="320" w:firstLine="143"/>
        <w:spacing w:after="0" w:line="532" w:lineRule="auto"/>
        <w:tabs>
          <w:tab w:leader="none" w:pos="70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4, 2017</w:t>
      </w:r>
    </w:p>
    <w:p>
      <w:pPr>
        <w:spacing w:after="0" w:line="3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34290</wp:posOffset>
            </wp:positionV>
            <wp:extent cx="7212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James C. Clemmer, President,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jc w:val="center"/>
        <w:spacing w:after="0" w:line="313"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122" w:lineRule="exact"/>
        <w:rPr>
          <w:sz w:val="20"/>
          <w:szCs w:val="20"/>
          <w:color w:val="auto"/>
        </w:rPr>
      </w:pPr>
    </w:p>
    <w:p>
      <w:pPr>
        <w:ind w:right="180"/>
        <w:spacing w:after="0" w:line="329" w:lineRule="auto"/>
        <w:rPr>
          <w:sz w:val="20"/>
          <w:szCs w:val="20"/>
          <w:color w:val="auto"/>
        </w:rPr>
      </w:pPr>
      <w:r>
        <w:rPr>
          <w:rFonts w:ascii="Times New Roman" w:cs="Times New Roman" w:eastAsia="Times New Roman" w:hAnsi="Times New Roman"/>
          <w:sz w:val="18"/>
          <w:szCs w:val="18"/>
          <w:color w:val="auto"/>
        </w:rPr>
        <w:t>I, Michael C. Greiner, Chief Financial Officer of ANGIODYNAMICS, Inc. (the “Company”), certify, pursuant to Section 906 of the Sarbanes-Oxley Act of 2002, 18 U.S.C. Section 1350, that, to the best of my knowledge:</w:t>
      </w:r>
    </w:p>
    <w:p>
      <w:pPr>
        <w:spacing w:after="0" w:line="256" w:lineRule="exact"/>
        <w:rPr>
          <w:sz w:val="20"/>
          <w:szCs w:val="20"/>
          <w:color w:val="auto"/>
        </w:rPr>
      </w:pPr>
    </w:p>
    <w:p>
      <w:pPr>
        <w:ind w:left="720" w:right="400" w:hanging="577"/>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May 31, 2017 (the “Report”) fully complies with the requirements of Section 13(a) or 15(d) of the Securities Exchange Act of 1934 (15 U.S.C. 78m or 78o(d)); and</w:t>
      </w:r>
    </w:p>
    <w:p>
      <w:pPr>
        <w:spacing w:after="0" w:line="310" w:lineRule="exact"/>
        <w:rPr>
          <w:rFonts w:ascii="Times New Roman" w:cs="Times New Roman" w:eastAsia="Times New Roman" w:hAnsi="Times New Roman"/>
          <w:sz w:val="18"/>
          <w:szCs w:val="18"/>
          <w:color w:val="auto"/>
        </w:rPr>
      </w:pPr>
    </w:p>
    <w:p>
      <w:pPr>
        <w:ind w:right="320" w:firstLine="143"/>
        <w:spacing w:after="0" w:line="485" w:lineRule="auto"/>
        <w:tabs>
          <w:tab w:leader="none" w:pos="70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4, 2017</w:t>
      </w:r>
    </w:p>
    <w:p>
      <w:pPr>
        <w:spacing w:after="0" w:line="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34290</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Michael C. Greiner,</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¹"/>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²"/>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lowerLetter"/>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lowerRoman"/>
      <w:start w:val="3"/>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decimal"/>
      <w:start w:val="2"/>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
      <w:numFmt w:val="bullet"/>
      <w:start w:val="1"/>
    </w:lvl>
    <w:lvl w:ilvl="1">
      <w:lvlJc w:val="left"/>
      <w:lvlText w:val="•"/>
      <w:numFmt w:val="bullet"/>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lowerLetter"/>
      <w:start w:val="1"/>
    </w:lvl>
    <w:lvl w:ilvl="1">
      <w:lvlJc w:val="left"/>
      <w:lvlText w:val="%2."/>
      <w:numFmt w:val="decimal"/>
      <w:start w:val="1"/>
    </w:lvl>
  </w:abstractNum>
  <w:abstractNum w:abstractNumId="53">
    <w:nsid w:val="235BA861"/>
    <w:multiLevelType w:val="hybridMultilevel"/>
    <w:lvl w:ilvl="0">
      <w:lvlJc w:val="left"/>
      <w:lvlText w:val="(%1)"/>
      <w:numFmt w:val="lowerLetter"/>
      <w:start w:val="1"/>
    </w:lvl>
    <w:lvl w:ilvl="1">
      <w:lvlJc w:val="left"/>
      <w:lvlText w:val="%2."/>
      <w:numFmt w:val="decimal"/>
      <w:start w:val="5"/>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lowerLetter"/>
      <w:start w:val="1"/>
    </w:lvl>
    <w:lvl w:ilvl="1">
      <w:lvlJc w:val="left"/>
      <w:lvlText w:val="%2."/>
      <w:numFmt w:val="decimal"/>
      <w:start w:val="1"/>
    </w:lvl>
  </w:abstractNum>
  <w:abstractNum w:abstractNumId="57">
    <w:nsid w:val="741226BB"/>
    <w:multiLevelType w:val="hybridMultilevel"/>
    <w:lvl w:ilvl="0">
      <w:lvlJc w:val="left"/>
      <w:lvlText w:val="(%1)"/>
      <w:numFmt w:val="lowerLetter"/>
      <w:start w:val="1"/>
    </w:lvl>
    <w:lvl w:ilvl="1">
      <w:lvlJc w:val="left"/>
      <w:lvlText w:val="%2."/>
      <w:numFmt w:val="decimal"/>
      <w:start w:val="5"/>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2019-12-29T04:42:24Z</dcterms:created>
  <dcterms:modified xsi:type="dcterms:W3CDTF">2019-12-29T04:42:24Z</dcterms:modified>
</cp:coreProperties>
</file>