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611505</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577850</wp:posOffset>
            </wp:positionV>
            <wp:extent cx="711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319"/>
        <w:spacing w:after="0"/>
        <w:rPr>
          <w:sz w:val="20"/>
          <w:szCs w:val="20"/>
          <w:color w:val="auto"/>
        </w:rPr>
      </w:pPr>
      <w:r>
        <w:rPr>
          <w:rFonts w:ascii="Arial" w:cs="Arial" w:eastAsia="Arial" w:hAnsi="Arial"/>
          <w:sz w:val="35"/>
          <w:szCs w:val="35"/>
          <w:b w:val="1"/>
          <w:bCs w:val="1"/>
          <w:color w:val="auto"/>
        </w:rPr>
        <w:t>UNITED STATES</w:t>
      </w:r>
    </w:p>
    <w:p>
      <w:pPr>
        <w:spacing w:after="0" w:line="54" w:lineRule="exact"/>
        <w:rPr>
          <w:sz w:val="24"/>
          <w:szCs w:val="24"/>
          <w:color w:val="auto"/>
        </w:rPr>
      </w:pPr>
    </w:p>
    <w:p>
      <w:pPr>
        <w:jc w:val="center"/>
        <w:ind w:right="-319"/>
        <w:spacing w:after="0"/>
        <w:rPr>
          <w:sz w:val="20"/>
          <w:szCs w:val="20"/>
          <w:color w:val="auto"/>
        </w:rPr>
      </w:pPr>
      <w:r>
        <w:rPr>
          <w:rFonts w:ascii="Arial" w:cs="Arial" w:eastAsia="Arial" w:hAnsi="Arial"/>
          <w:sz w:val="35"/>
          <w:szCs w:val="35"/>
          <w:b w:val="1"/>
          <w:bCs w:val="1"/>
          <w:color w:val="auto"/>
        </w:rPr>
        <w:t>SECURITIES AND EXCHANGE COMMISSION</w:t>
      </w:r>
    </w:p>
    <w:p>
      <w:pPr>
        <w:spacing w:after="0" w:line="12"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1657985</wp:posOffset>
            </wp:positionH>
            <wp:positionV relativeFrom="paragraph">
              <wp:posOffset>48260</wp:posOffset>
            </wp:positionV>
            <wp:extent cx="3827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7145" cy="8255"/>
                    </a:xfrm>
                    <a:prstGeom prst="rect">
                      <a:avLst/>
                    </a:prstGeom>
                    <a:noFill/>
                  </pic:spPr>
                </pic:pic>
              </a:graphicData>
            </a:graphic>
          </wp:anchor>
        </w:drawing>
      </w:r>
    </w:p>
    <w:p>
      <w:pPr>
        <w:spacing w:after="0" w:line="348" w:lineRule="exact"/>
        <w:rPr>
          <w:sz w:val="24"/>
          <w:szCs w:val="24"/>
          <w:color w:val="auto"/>
        </w:rPr>
      </w:pPr>
    </w:p>
    <w:p>
      <w:pPr>
        <w:jc w:val="center"/>
        <w:ind w:right="-319"/>
        <w:spacing w:after="0"/>
        <w:rPr>
          <w:sz w:val="20"/>
          <w:szCs w:val="20"/>
          <w:color w:val="auto"/>
        </w:rPr>
      </w:pPr>
      <w:r>
        <w:rPr>
          <w:rFonts w:ascii="Arial" w:cs="Arial" w:eastAsia="Arial" w:hAnsi="Arial"/>
          <w:sz w:val="35"/>
          <w:szCs w:val="3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1657985</wp:posOffset>
            </wp:positionH>
            <wp:positionV relativeFrom="paragraph">
              <wp:posOffset>76835</wp:posOffset>
            </wp:positionV>
            <wp:extent cx="3827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7145" cy="8255"/>
                    </a:xfrm>
                    <a:prstGeom prst="rect">
                      <a:avLst/>
                    </a:prstGeom>
                    <a:noFill/>
                  </pic:spPr>
                </pic:pic>
              </a:graphicData>
            </a:graphic>
          </wp:anchor>
        </w:drawing>
      </w:r>
    </w:p>
    <w:p>
      <w:pPr>
        <w:spacing w:after="0" w:line="219" w:lineRule="exact"/>
        <w:rPr>
          <w:sz w:val="24"/>
          <w:szCs w:val="24"/>
          <w:color w:val="auto"/>
        </w:rPr>
      </w:pPr>
    </w:p>
    <w:p>
      <w:pPr>
        <w:ind w:left="680" w:right="40" w:hanging="657"/>
        <w:spacing w:after="0" w:line="241" w:lineRule="auto"/>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74"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For the quarterly period ended November 30, 2021</w:t>
      </w:r>
    </w:p>
    <w:p>
      <w:pPr>
        <w:spacing w:after="0" w:line="214"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OR</w:t>
      </w:r>
    </w:p>
    <w:p>
      <w:pPr>
        <w:spacing w:after="0" w:line="34" w:lineRule="exact"/>
        <w:rPr>
          <w:sz w:val="24"/>
          <w:szCs w:val="24"/>
          <w:color w:val="auto"/>
        </w:rPr>
      </w:pPr>
    </w:p>
    <w:p>
      <w:pPr>
        <w:ind w:left="700" w:hanging="664"/>
        <w:spacing w:after="0" w:line="241" w:lineRule="auto"/>
        <w:tabs>
          <w:tab w:leader="none" w:pos="7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87" w:lineRule="exact"/>
        <w:rPr>
          <w:sz w:val="24"/>
          <w:szCs w:val="24"/>
          <w:color w:val="auto"/>
        </w:rPr>
      </w:pPr>
    </w:p>
    <w:p>
      <w:pPr>
        <w:ind w:left="3660"/>
        <w:spacing w:after="0"/>
        <w:tabs>
          <w:tab w:leader="none" w:pos="6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1039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1657985</wp:posOffset>
            </wp:positionH>
            <wp:positionV relativeFrom="paragraph">
              <wp:posOffset>86360</wp:posOffset>
            </wp:positionV>
            <wp:extent cx="382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7145" cy="8255"/>
                    </a:xfrm>
                    <a:prstGeom prst="rect">
                      <a:avLst/>
                    </a:prstGeom>
                    <a:noFill/>
                  </pic:spPr>
                </pic:pic>
              </a:graphicData>
            </a:graphic>
          </wp:anchor>
        </w:drawing>
      </w:r>
    </w:p>
    <w:p>
      <w:pPr>
        <w:spacing w:after="0" w:line="245" w:lineRule="exact"/>
        <w:rPr>
          <w:sz w:val="24"/>
          <w:szCs w:val="24"/>
          <w:color w:val="auto"/>
        </w:rPr>
      </w:pPr>
    </w:p>
    <w:p>
      <w:pPr>
        <w:jc w:val="center"/>
        <w:ind w:right="-319"/>
        <w:spacing w:after="0"/>
        <w:rPr>
          <w:sz w:val="20"/>
          <w:szCs w:val="20"/>
          <w:color w:val="auto"/>
        </w:rPr>
      </w:pPr>
      <w:r>
        <w:rPr>
          <w:rFonts w:ascii="Arial" w:cs="Arial" w:eastAsia="Arial" w:hAnsi="Arial"/>
          <w:sz w:val="42"/>
          <w:szCs w:val="42"/>
          <w:b w:val="1"/>
          <w:bCs w:val="1"/>
          <w:color w:val="auto"/>
        </w:rPr>
        <w:t>AngioDynamics, Inc.</w:t>
      </w:r>
    </w:p>
    <w:p>
      <w:pPr>
        <w:spacing w:after="0" w:line="4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1808480</wp:posOffset>
            </wp:positionH>
            <wp:positionV relativeFrom="paragraph">
              <wp:posOffset>1270</wp:posOffset>
            </wp:positionV>
            <wp:extent cx="3526155" cy="534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26155" cy="53467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636270</wp:posOffset>
            </wp:positionV>
            <wp:extent cx="38271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271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tbl>
      <w:tblPr>
        <w:tblLayout w:type="fixed"/>
        <w:tblInd w:w="1880" w:type="dxa"/>
        <w:tblCellMar>
          <w:top w:w="0" w:type="dxa"/>
          <w:left w:w="0" w:type="dxa"/>
          <w:bottom w:w="0" w:type="dxa"/>
          <w:right w:w="0" w:type="dxa"/>
        </w:tblCellMar>
      </w:tblPr>
      <w:tr>
        <w:trPr>
          <w:trHeight w:val="220"/>
        </w:trPr>
        <w:tc>
          <w:tcPr>
            <w:tcW w:w="3980" w:type="dxa"/>
            <w:vAlign w:val="bottom"/>
          </w:tcPr>
          <w:p>
            <w:pPr>
              <w:jc w:val="center"/>
              <w:ind w:right="2084"/>
              <w:spacing w:after="0"/>
              <w:rPr>
                <w:sz w:val="20"/>
                <w:szCs w:val="20"/>
                <w:color w:val="auto"/>
              </w:rPr>
            </w:pPr>
            <w:r>
              <w:rPr>
                <w:rFonts w:ascii="Arial" w:cs="Arial" w:eastAsia="Arial" w:hAnsi="Arial"/>
                <w:sz w:val="18"/>
                <w:szCs w:val="18"/>
                <w:b w:val="1"/>
                <w:bCs w:val="1"/>
                <w:color w:val="auto"/>
                <w:w w:val="88"/>
              </w:rPr>
              <w:t>Delaware</w:t>
            </w:r>
          </w:p>
        </w:tc>
        <w:tc>
          <w:tcPr>
            <w:tcW w:w="3240" w:type="dxa"/>
            <w:vAlign w:val="bottom"/>
          </w:tcPr>
          <w:p>
            <w:pPr>
              <w:jc w:val="center"/>
              <w:ind w:left="2084"/>
              <w:spacing w:after="0"/>
              <w:rPr>
                <w:sz w:val="20"/>
                <w:szCs w:val="20"/>
                <w:color w:val="auto"/>
              </w:rPr>
            </w:pPr>
            <w:r>
              <w:rPr>
                <w:rFonts w:ascii="Arial" w:cs="Arial" w:eastAsia="Arial" w:hAnsi="Arial"/>
                <w:sz w:val="18"/>
                <w:szCs w:val="18"/>
                <w:b w:val="1"/>
                <w:bCs w:val="1"/>
                <w:color w:val="auto"/>
                <w:w w:val="87"/>
              </w:rPr>
              <w:t>11-3146460</w:t>
            </w:r>
          </w:p>
        </w:tc>
      </w:tr>
      <w:tr>
        <w:trPr>
          <w:trHeight w:val="141"/>
        </w:trPr>
        <w:tc>
          <w:tcPr>
            <w:tcW w:w="3980" w:type="dxa"/>
            <w:vAlign w:val="bottom"/>
          </w:tcPr>
          <w:p>
            <w:pPr>
              <w:jc w:val="center"/>
              <w:ind w:right="2084"/>
              <w:spacing w:after="0" w:line="141" w:lineRule="exact"/>
              <w:rPr>
                <w:sz w:val="20"/>
                <w:szCs w:val="20"/>
                <w:color w:val="auto"/>
              </w:rPr>
            </w:pPr>
            <w:r>
              <w:rPr>
                <w:rFonts w:ascii="Arial" w:cs="Arial" w:eastAsia="Arial" w:hAnsi="Arial"/>
                <w:sz w:val="14"/>
                <w:szCs w:val="14"/>
                <w:b w:val="1"/>
                <w:bCs w:val="1"/>
                <w:color w:val="auto"/>
                <w:w w:val="90"/>
              </w:rPr>
              <w:t>(State or other jurisdiction of</w:t>
            </w:r>
          </w:p>
        </w:tc>
        <w:tc>
          <w:tcPr>
            <w:tcW w:w="3240" w:type="dxa"/>
            <w:vAlign w:val="bottom"/>
          </w:tcPr>
          <w:p>
            <w:pPr>
              <w:jc w:val="center"/>
              <w:ind w:left="2084"/>
              <w:spacing w:after="0" w:line="141" w:lineRule="exact"/>
              <w:rPr>
                <w:sz w:val="20"/>
                <w:szCs w:val="20"/>
                <w:color w:val="auto"/>
              </w:rPr>
            </w:pPr>
            <w:r>
              <w:rPr>
                <w:rFonts w:ascii="Arial" w:cs="Arial" w:eastAsia="Arial" w:hAnsi="Arial"/>
                <w:sz w:val="14"/>
                <w:szCs w:val="14"/>
                <w:b w:val="1"/>
                <w:bCs w:val="1"/>
                <w:color w:val="auto"/>
                <w:w w:val="93"/>
              </w:rPr>
              <w:t>(I.R.S. Employer</w:t>
            </w:r>
          </w:p>
        </w:tc>
      </w:tr>
      <w:tr>
        <w:trPr>
          <w:trHeight w:val="183"/>
        </w:trPr>
        <w:tc>
          <w:tcPr>
            <w:tcW w:w="3980" w:type="dxa"/>
            <w:vAlign w:val="bottom"/>
          </w:tcPr>
          <w:p>
            <w:pPr>
              <w:jc w:val="center"/>
              <w:ind w:right="2084"/>
              <w:spacing w:after="0"/>
              <w:rPr>
                <w:sz w:val="20"/>
                <w:szCs w:val="20"/>
                <w:color w:val="auto"/>
              </w:rPr>
            </w:pPr>
            <w:r>
              <w:rPr>
                <w:rFonts w:ascii="Arial" w:cs="Arial" w:eastAsia="Arial" w:hAnsi="Arial"/>
                <w:sz w:val="14"/>
                <w:szCs w:val="14"/>
                <w:b w:val="1"/>
                <w:bCs w:val="1"/>
                <w:color w:val="auto"/>
                <w:w w:val="91"/>
              </w:rPr>
              <w:t>incorporation or organization)</w:t>
            </w:r>
          </w:p>
        </w:tc>
        <w:tc>
          <w:tcPr>
            <w:tcW w:w="3240" w:type="dxa"/>
            <w:vAlign w:val="bottom"/>
          </w:tcPr>
          <w:p>
            <w:pPr>
              <w:jc w:val="center"/>
              <w:ind w:left="2064"/>
              <w:spacing w:after="0"/>
              <w:rPr>
                <w:sz w:val="20"/>
                <w:szCs w:val="20"/>
                <w:color w:val="auto"/>
              </w:rPr>
            </w:pPr>
            <w:r>
              <w:rPr>
                <w:rFonts w:ascii="Arial" w:cs="Arial" w:eastAsia="Arial" w:hAnsi="Arial"/>
                <w:sz w:val="14"/>
                <w:szCs w:val="14"/>
                <w:b w:val="1"/>
                <w:bCs w:val="1"/>
                <w:color w:val="auto"/>
                <w:w w:val="92"/>
              </w:rPr>
              <w:t>Identification No.)</w:t>
            </w:r>
          </w:p>
        </w:tc>
      </w:tr>
    </w:tbl>
    <w:p>
      <w:pPr>
        <w:spacing w:after="0" w:line="312"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14 Plaza Drive, Latham, New York 12110</w:t>
      </w:r>
    </w:p>
    <w:p>
      <w:pPr>
        <w:spacing w:after="0" w:line="15"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96"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(518) 795-1400</w:t>
      </w:r>
    </w:p>
    <w:p>
      <w:pPr>
        <w:spacing w:after="0" w:line="15"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6"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9" w:lineRule="exact"/>
        <w:rPr>
          <w:sz w:val="24"/>
          <w:szCs w:val="24"/>
          <w:color w:val="auto"/>
        </w:rPr>
      </w:pPr>
    </w:p>
    <w:tbl>
      <w:tblPr>
        <w:tblLayout w:type="fixed"/>
        <w:tblInd w:w="1060" w:type="dxa"/>
        <w:tblCellMar>
          <w:top w:w="0" w:type="dxa"/>
          <w:left w:w="0" w:type="dxa"/>
          <w:bottom w:w="0" w:type="dxa"/>
          <w:right w:w="0" w:type="dxa"/>
        </w:tblCellMar>
      </w:tblPr>
      <w:tr>
        <w:trPr>
          <w:trHeight w:val="183"/>
        </w:trPr>
        <w:tc>
          <w:tcPr>
            <w:tcW w:w="3260" w:type="dxa"/>
            <w:vAlign w:val="bottom"/>
          </w:tcPr>
          <w:p>
            <w:pPr>
              <w:jc w:val="center"/>
              <w:ind w:right="718"/>
              <w:spacing w:after="0"/>
              <w:rPr>
                <w:sz w:val="20"/>
                <w:szCs w:val="20"/>
                <w:color w:val="auto"/>
              </w:rPr>
            </w:pPr>
            <w:r>
              <w:rPr>
                <w:rFonts w:ascii="Arial" w:cs="Arial" w:eastAsia="Arial" w:hAnsi="Arial"/>
                <w:sz w:val="14"/>
                <w:szCs w:val="14"/>
                <w:b w:val="1"/>
                <w:bCs w:val="1"/>
                <w:color w:val="auto"/>
                <w:w w:val="87"/>
              </w:rPr>
              <w:t>Title of each class</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0"/>
              </w:rPr>
              <w:t>Trading symbol</w:t>
            </w:r>
          </w:p>
        </w:tc>
        <w:tc>
          <w:tcPr>
            <w:tcW w:w="3380" w:type="dxa"/>
            <w:vAlign w:val="bottom"/>
          </w:tcPr>
          <w:p>
            <w:pPr>
              <w:jc w:val="center"/>
              <w:ind w:left="698"/>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229"/>
        </w:trPr>
        <w:tc>
          <w:tcPr>
            <w:tcW w:w="3260" w:type="dxa"/>
            <w:vAlign w:val="bottom"/>
          </w:tcPr>
          <w:p>
            <w:pPr>
              <w:jc w:val="center"/>
              <w:ind w:right="698"/>
              <w:spacing w:after="0"/>
              <w:rPr>
                <w:sz w:val="20"/>
                <w:szCs w:val="20"/>
                <w:color w:val="auto"/>
              </w:rPr>
            </w:pPr>
            <w:r>
              <w:rPr>
                <w:rFonts w:ascii="Arial" w:cs="Arial" w:eastAsia="Arial" w:hAnsi="Arial"/>
                <w:sz w:val="18"/>
                <w:szCs w:val="18"/>
                <w:b w:val="1"/>
                <w:bCs w:val="1"/>
                <w:color w:val="auto"/>
                <w:w w:val="87"/>
              </w:rPr>
              <w:t>Common stock, par value $.01</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9"/>
              </w:rPr>
              <w:t>ANGO</w:t>
            </w:r>
          </w:p>
        </w:tc>
        <w:tc>
          <w:tcPr>
            <w:tcW w:w="3380" w:type="dxa"/>
            <w:vAlign w:val="bottom"/>
          </w:tcPr>
          <w:p>
            <w:pPr>
              <w:jc w:val="center"/>
              <w:ind w:left="698"/>
              <w:spacing w:after="0"/>
              <w:rPr>
                <w:sz w:val="20"/>
                <w:szCs w:val="20"/>
                <w:color w:val="auto"/>
              </w:rPr>
            </w:pPr>
            <w:r>
              <w:rPr>
                <w:rFonts w:ascii="Arial" w:cs="Arial" w:eastAsia="Arial" w:hAnsi="Arial"/>
                <w:sz w:val="18"/>
                <w:szCs w:val="18"/>
                <w:b w:val="1"/>
                <w:bCs w:val="1"/>
                <w:color w:val="auto"/>
                <w:w w:val="92"/>
              </w:rPr>
              <w:t>NASDAQ Global Select Market</w:t>
            </w:r>
          </w:p>
        </w:tc>
      </w:tr>
      <w:tr>
        <w:trPr>
          <w:trHeight w:val="228"/>
        </w:trPr>
        <w:tc>
          <w:tcPr>
            <w:tcW w:w="3260" w:type="dxa"/>
            <w:vAlign w:val="bottom"/>
          </w:tcPr>
          <w:p>
            <w:pPr>
              <w:jc w:val="center"/>
              <w:ind w:right="718"/>
              <w:spacing w:after="0"/>
              <w:rPr>
                <w:sz w:val="20"/>
                <w:szCs w:val="20"/>
                <w:color w:val="auto"/>
              </w:rPr>
            </w:pPr>
            <w:r>
              <w:rPr>
                <w:rFonts w:ascii="Arial" w:cs="Arial" w:eastAsia="Arial" w:hAnsi="Arial"/>
                <w:sz w:val="18"/>
                <w:szCs w:val="18"/>
                <w:b w:val="1"/>
                <w:bCs w:val="1"/>
                <w:color w:val="auto"/>
                <w:w w:val="87"/>
              </w:rPr>
              <w:t>Preferred Stock Purchase Rights</w:t>
            </w:r>
          </w:p>
        </w:tc>
        <w:tc>
          <w:tcPr>
            <w:tcW w:w="2540" w:type="dxa"/>
            <w:vAlign w:val="bottom"/>
          </w:tcPr>
          <w:p>
            <w:pPr>
              <w:spacing w:after="0"/>
              <w:rPr>
                <w:sz w:val="19"/>
                <w:szCs w:val="19"/>
                <w:color w:val="auto"/>
              </w:rPr>
            </w:pPr>
          </w:p>
        </w:tc>
        <w:tc>
          <w:tcPr>
            <w:tcW w:w="3380" w:type="dxa"/>
            <w:vAlign w:val="bottom"/>
          </w:tcPr>
          <w:p>
            <w:pPr>
              <w:jc w:val="center"/>
              <w:ind w:left="698"/>
              <w:spacing w:after="0"/>
              <w:rPr>
                <w:sz w:val="20"/>
                <w:szCs w:val="20"/>
                <w:color w:val="auto"/>
              </w:rPr>
            </w:pPr>
            <w:r>
              <w:rPr>
                <w:rFonts w:ascii="Arial" w:cs="Arial" w:eastAsia="Arial" w:hAnsi="Arial"/>
                <w:sz w:val="18"/>
                <w:szCs w:val="18"/>
                <w:b w:val="1"/>
                <w:bCs w:val="1"/>
                <w:color w:val="auto"/>
                <w:w w:val="92"/>
              </w:rPr>
              <w:t>NASDAQ Global Select Market</w:t>
            </w:r>
          </w:p>
        </w:tc>
      </w:tr>
    </w:tbl>
    <w:p>
      <w:pPr>
        <w:spacing w:after="0" w:line="200" w:lineRule="exact"/>
        <w:rPr>
          <w:sz w:val="24"/>
          <w:szCs w:val="24"/>
          <w:color w:val="auto"/>
        </w:rPr>
      </w:pPr>
    </w:p>
    <w:p>
      <w:pPr>
        <w:spacing w:after="0" w:line="30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4"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None</w:t>
      </w:r>
    </w:p>
    <w:p>
      <w:pPr>
        <w:spacing w:after="0" w:line="15"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532765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40"/>
          </w:cols>
          <w:pgMar w:left="320" w:top="226" w:right="639" w:bottom="1440" w:gutter="0" w:footer="0" w:header="0"/>
        </w:sectPr>
      </w:pPr>
    </w:p>
    <w:bookmarkStart w:id="1" w:name="page2"/>
    <w:bookmarkEnd w:id="1"/>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608965</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0"/>
          <w:szCs w:val="20"/>
          <w:color w:val="auto"/>
        </w:rPr>
      </w:pPr>
    </w:p>
    <w:p>
      <w:pPr>
        <w:sectPr>
          <w:pgSz w:w="11900" w:h="16838" w:orient="portrait"/>
          <w:cols w:equalWidth="0" w:num="4">
            <w:col w:w="8680" w:space="160"/>
            <w:col w:w="260" w:space="80"/>
            <w:col w:w="160" w:space="180"/>
            <w:col w:w="1720"/>
          </w:cols>
          <w:pgMar w:left="320" w:top="121" w:right="339" w:bottom="1440" w:gutter="0" w:footer="0" w:header="0"/>
          <w:type w:val="continuous"/>
        </w:sectPr>
      </w:pPr>
    </w:p>
    <w:p>
      <w:pPr>
        <w:spacing w:after="0" w:line="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8260" w:space="180"/>
            <w:col w:w="240" w:space="100"/>
            <w:col w:w="140" w:space="180"/>
            <w:col w:w="220" w:space="80"/>
            <w:col w:w="1840"/>
          </w:cols>
          <w:pgMar w:left="320" w:top="121" w:right="339" w:bottom="1440" w:gutter="0" w:footer="0" w:header="0"/>
          <w:type w:val="continuous"/>
        </w:sectPr>
      </w:pPr>
    </w:p>
    <w:p>
      <w:pPr>
        <w:spacing w:after="0" w:line="37" w:lineRule="exact"/>
        <w:rPr>
          <w:sz w:val="20"/>
          <w:szCs w:val="20"/>
          <w:color w:val="auto"/>
        </w:rPr>
      </w:pPr>
    </w:p>
    <w:p>
      <w:pPr>
        <w:ind w:right="100" w:firstLine="434"/>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0" w:lineRule="exact"/>
        <w:rPr>
          <w:sz w:val="20"/>
          <w:szCs w:val="20"/>
          <w:color w:val="auto"/>
        </w:rPr>
      </w:pPr>
    </w:p>
    <w:p>
      <w:pPr>
        <w:ind w:right="200" w:firstLine="434"/>
        <w:spacing w:after="0" w:line="22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9" w:lineRule="exact"/>
        <w:rPr>
          <w:sz w:val="20"/>
          <w:szCs w:val="20"/>
          <w:color w:val="auto"/>
        </w:rPr>
      </w:pPr>
    </w:p>
    <w:p>
      <w:pPr>
        <w:ind w:right="100" w:firstLine="434"/>
        <w:spacing w:after="0" w:line="28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460" w:type="dxa"/>
        <w:tblCellMar>
          <w:top w:w="0" w:type="dxa"/>
          <w:left w:w="0" w:type="dxa"/>
          <w:bottom w:w="0" w:type="dxa"/>
          <w:right w:w="0" w:type="dxa"/>
        </w:tblCellMar>
      </w:tblPr>
      <w:tr>
        <w:trPr>
          <w:trHeight w:val="295"/>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20" w:type="dxa"/>
            <w:vAlign w:val="bottom"/>
          </w:tcPr>
          <w:p>
            <w:pPr>
              <w:ind w:left="560"/>
              <w:spacing w:after="0" w:line="211" w:lineRule="exact"/>
              <w:rPr>
                <w:sz w:val="20"/>
                <w:szCs w:val="20"/>
                <w:color w:val="auto"/>
              </w:rPr>
            </w:pPr>
            <w:r>
              <w:rPr>
                <w:rFonts w:ascii="MS PGothic" w:cs="MS PGothic" w:eastAsia="MS PGothic" w:hAnsi="MS PGothic"/>
                <w:sz w:val="21"/>
                <w:szCs w:val="21"/>
                <w:color w:val="auto"/>
              </w:rPr>
              <w:t>☐</w:t>
            </w:r>
          </w:p>
        </w:tc>
        <w:tc>
          <w:tcPr>
            <w:tcW w:w="4640" w:type="dxa"/>
            <w:vAlign w:val="bottom"/>
          </w:tcPr>
          <w:p>
            <w:pPr>
              <w:ind w:left="218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4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16"/>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2920" w:type="dxa"/>
            <w:vAlign w:val="bottom"/>
          </w:tcPr>
          <w:p>
            <w:pPr>
              <w:ind w:left="560"/>
              <w:spacing w:after="0" w:line="211" w:lineRule="exact"/>
              <w:rPr>
                <w:sz w:val="20"/>
                <w:szCs w:val="20"/>
                <w:color w:val="auto"/>
              </w:rPr>
            </w:pPr>
            <w:r>
              <w:rPr>
                <w:rFonts w:ascii="MS PGothic" w:cs="MS PGothic" w:eastAsia="MS PGothic" w:hAnsi="MS PGothic"/>
                <w:sz w:val="21"/>
                <w:szCs w:val="21"/>
                <w:color w:val="auto"/>
              </w:rPr>
              <w:t>☐</w:t>
            </w:r>
          </w:p>
        </w:tc>
        <w:tc>
          <w:tcPr>
            <w:tcW w:w="4640" w:type="dxa"/>
            <w:vAlign w:val="bottom"/>
          </w:tcPr>
          <w:p>
            <w:pPr>
              <w:ind w:left="218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4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31"/>
        </w:trPr>
        <w:tc>
          <w:tcPr>
            <w:tcW w:w="2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20" w:type="dxa"/>
            <w:vAlign w:val="bottom"/>
          </w:tcPr>
          <w:p>
            <w:pPr>
              <w:ind w:left="560"/>
              <w:spacing w:after="0" w:line="211" w:lineRule="exact"/>
              <w:rPr>
                <w:sz w:val="20"/>
                <w:szCs w:val="20"/>
                <w:color w:val="auto"/>
              </w:rPr>
            </w:pPr>
            <w:r>
              <w:rPr>
                <w:rFonts w:ascii="MS PGothic" w:cs="MS PGothic" w:eastAsia="MS PGothic" w:hAnsi="MS PGothic"/>
                <w:sz w:val="21"/>
                <w:szCs w:val="21"/>
                <w:color w:val="auto"/>
              </w:rPr>
              <w:t>☐</w:t>
            </w:r>
          </w:p>
        </w:tc>
        <w:tc>
          <w:tcPr>
            <w:tcW w:w="46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24" w:lineRule="exact"/>
        <w:rPr>
          <w:sz w:val="20"/>
          <w:szCs w:val="20"/>
          <w:color w:val="auto"/>
        </w:rPr>
      </w:pPr>
    </w:p>
    <w:p>
      <w:pPr>
        <w:ind w:left="440"/>
        <w:spacing w:after="0" w:line="207" w:lineRule="exact"/>
        <w:tabs>
          <w:tab w:leader="none" w:pos="8560" w:val="left"/>
          <w:tab w:leader="none" w:pos="92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160" w:type="dxa"/>
            <w:vAlign w:val="bottom"/>
            <w:gridSpan w:val="2"/>
          </w:tcPr>
          <w:p>
            <w:pPr>
              <w:jc w:val="center"/>
              <w:ind w:right="2840"/>
              <w:spacing w:after="0"/>
              <w:rPr>
                <w:sz w:val="20"/>
                <w:szCs w:val="20"/>
                <w:color w:val="auto"/>
              </w:rPr>
            </w:pPr>
            <w:r>
              <w:rPr>
                <w:rFonts w:ascii="Arial" w:cs="Arial" w:eastAsia="Arial" w:hAnsi="Arial"/>
                <w:sz w:val="14"/>
                <w:szCs w:val="14"/>
                <w:b w:val="1"/>
                <w:bCs w:val="1"/>
                <w:color w:val="auto"/>
                <w:w w:val="85"/>
              </w:rPr>
              <w:t>Class</w:t>
            </w:r>
          </w:p>
        </w:tc>
        <w:tc>
          <w:tcPr>
            <w:tcW w:w="5300" w:type="dxa"/>
            <w:vAlign w:val="bottom"/>
            <w:gridSpan w:val="4"/>
          </w:tcPr>
          <w:p>
            <w:pPr>
              <w:jc w:val="center"/>
              <w:ind w:left="381"/>
              <w:spacing w:after="0"/>
              <w:rPr>
                <w:sz w:val="20"/>
                <w:szCs w:val="20"/>
                <w:color w:val="auto"/>
              </w:rPr>
            </w:pPr>
            <w:r>
              <w:rPr>
                <w:rFonts w:ascii="Arial" w:cs="Arial" w:eastAsia="Arial" w:hAnsi="Arial"/>
                <w:sz w:val="14"/>
                <w:szCs w:val="14"/>
                <w:b w:val="1"/>
                <w:bCs w:val="1"/>
                <w:color w:val="auto"/>
                <w:w w:val="89"/>
              </w:rPr>
              <w:t>Outstanding as of January 6, 2022</w:t>
            </w: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9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Common Stock, par value $.01</w:t>
            </w:r>
          </w:p>
        </w:tc>
        <w:tc>
          <w:tcPr>
            <w:tcW w:w="39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38,716,740</w:t>
            </w: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22"/>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76"/>
        </w:trPr>
        <w:tc>
          <w:tcPr>
            <w:tcW w:w="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9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Page</w:t>
            </w:r>
          </w:p>
        </w:tc>
      </w:tr>
      <w:tr>
        <w:trPr>
          <w:trHeight w:val="171"/>
        </w:trPr>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Borders>
              <w:bottom w:val="single" w:sz="8" w:color="0000FF"/>
            </w:tcBorders>
            <w:gridSpan w:val="8"/>
          </w:tcPr>
          <w:p>
            <w:pPr>
              <w:jc w:val="center"/>
              <w:spacing w:after="0" w:line="171" w:lineRule="exact"/>
              <w:rPr>
                <w:rFonts w:ascii="Arial" w:cs="Arial" w:eastAsia="Arial" w:hAnsi="Arial"/>
                <w:sz w:val="18"/>
                <w:szCs w:val="18"/>
                <w:b w:val="1"/>
                <w:bCs w:val="1"/>
                <w:color w:val="0000FF"/>
                <w:w w:val="90"/>
              </w:rPr>
            </w:pPr>
            <w:hyperlink w:anchor="page3">
              <w:r>
                <w:rPr>
                  <w:rFonts w:ascii="Arial" w:cs="Arial" w:eastAsia="Arial" w:hAnsi="Arial"/>
                  <w:sz w:val="18"/>
                  <w:szCs w:val="18"/>
                  <w:b w:val="1"/>
                  <w:bCs w:val="1"/>
                  <w:color w:val="0000FF"/>
                  <w:w w:val="90"/>
                </w:rPr>
                <w:t>Part I: Financial Information</w:t>
              </w:r>
            </w:hyperlink>
          </w:p>
        </w:tc>
        <w:tc>
          <w:tcPr>
            <w:tcW w:w="356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580" w:type="dxa"/>
            <w:vAlign w:val="bottom"/>
            <w:tcBorders>
              <w:bottom w:val="single" w:sz="8" w:color="0000FF"/>
            </w:tcBorders>
            <w:gridSpan w:val="5"/>
          </w:tcPr>
          <w:p>
            <w:pPr>
              <w:spacing w:after="0"/>
              <w:rPr>
                <w:rFonts w:ascii="Arial" w:cs="Arial" w:eastAsia="Arial" w:hAnsi="Arial"/>
                <w:sz w:val="18"/>
                <w:szCs w:val="18"/>
                <w:b w:val="1"/>
                <w:bCs w:val="1"/>
                <w:color w:val="0000FF"/>
                <w:w w:val="86"/>
              </w:rPr>
            </w:pPr>
            <w:hyperlink w:anchor="page4">
              <w:r>
                <w:rPr>
                  <w:rFonts w:ascii="Arial" w:cs="Arial" w:eastAsia="Arial" w:hAnsi="Arial"/>
                  <w:sz w:val="18"/>
                  <w:szCs w:val="18"/>
                  <w:b w:val="1"/>
                  <w:bCs w:val="1"/>
                  <w:color w:val="0000FF"/>
                  <w:w w:val="86"/>
                </w:rPr>
                <w:t>Financial Statements</w:t>
              </w:r>
            </w:hyperlink>
          </w:p>
        </w:tc>
        <w:tc>
          <w:tcPr>
            <w:tcW w:w="7740" w:type="dxa"/>
            <w:vAlign w:val="bottom"/>
            <w:gridSpan w:val="15"/>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960" w:type="dxa"/>
            <w:vAlign w:val="bottom"/>
          </w:tcPr>
          <w:p>
            <w:pPr>
              <w:spacing w:after="0"/>
              <w:rPr>
                <w:sz w:val="22"/>
                <w:szCs w:val="22"/>
                <w:color w:val="auto"/>
              </w:rPr>
            </w:pPr>
          </w:p>
        </w:tc>
        <w:tc>
          <w:tcPr>
            <w:tcW w:w="3600" w:type="dxa"/>
            <w:vAlign w:val="bottom"/>
            <w:gridSpan w:val="10"/>
          </w:tcPr>
          <w:p>
            <w:pPr>
              <w:spacing w:after="0"/>
              <w:rPr>
                <w:rFonts w:ascii="Arial" w:cs="Arial" w:eastAsia="Arial" w:hAnsi="Arial"/>
                <w:sz w:val="18"/>
                <w:szCs w:val="18"/>
                <w:color w:val="0000FF"/>
                <w:w w:val="86"/>
              </w:rPr>
            </w:pPr>
            <w:hyperlink w:anchor="page4">
              <w:r>
                <w:rPr>
                  <w:rFonts w:ascii="Arial" w:cs="Arial" w:eastAsia="Arial" w:hAnsi="Arial"/>
                  <w:sz w:val="18"/>
                  <w:szCs w:val="18"/>
                  <w:color w:val="0000FF"/>
                  <w:w w:val="86"/>
                </w:rPr>
                <w:t>Consolidated Statements of Operations (unaudited)</w:t>
              </w:r>
            </w:hyperlink>
          </w:p>
        </w:tc>
        <w:tc>
          <w:tcPr>
            <w:tcW w:w="5720" w:type="dxa"/>
            <w:vAlign w:val="bottom"/>
            <w:gridSpan w:val="10"/>
          </w:tcPr>
          <w:p>
            <w:pPr>
              <w:spacing w:after="0"/>
              <w:rPr>
                <w:sz w:val="22"/>
                <w:szCs w:val="22"/>
                <w:color w:val="auto"/>
              </w:rPr>
            </w:pPr>
          </w:p>
        </w:tc>
        <w:tc>
          <w:tcPr>
            <w:tcW w:w="9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60" w:type="dxa"/>
            <w:vAlign w:val="bottom"/>
          </w:tcPr>
          <w:p>
            <w:pPr>
              <w:spacing w:after="0"/>
              <w:rPr>
                <w:sz w:val="22"/>
                <w:szCs w:val="22"/>
                <w:color w:val="auto"/>
              </w:rPr>
            </w:pPr>
          </w:p>
        </w:tc>
        <w:tc>
          <w:tcPr>
            <w:tcW w:w="932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Comprehensive Loss (unaudited)</w:t>
              </w:r>
            </w:hyperlink>
          </w:p>
        </w:tc>
        <w:tc>
          <w:tcPr>
            <w:tcW w:w="9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60" w:type="dxa"/>
            <w:vAlign w:val="bottom"/>
          </w:tcPr>
          <w:p>
            <w:pPr>
              <w:spacing w:after="0"/>
              <w:rPr>
                <w:sz w:val="22"/>
                <w:szCs w:val="22"/>
                <w:color w:val="auto"/>
              </w:rPr>
            </w:pPr>
          </w:p>
        </w:tc>
        <w:tc>
          <w:tcPr>
            <w:tcW w:w="2900" w:type="dxa"/>
            <w:vAlign w:val="bottom"/>
            <w:gridSpan w:val="9"/>
          </w:tcPr>
          <w:p>
            <w:pPr>
              <w:spacing w:after="0"/>
              <w:rPr>
                <w:rFonts w:ascii="Arial" w:cs="Arial" w:eastAsia="Arial" w:hAnsi="Arial"/>
                <w:sz w:val="18"/>
                <w:szCs w:val="18"/>
                <w:color w:val="0000FF"/>
                <w:w w:val="86"/>
              </w:rPr>
            </w:pPr>
            <w:hyperlink w:anchor="page5">
              <w:r>
                <w:rPr>
                  <w:rFonts w:ascii="Arial" w:cs="Arial" w:eastAsia="Arial" w:hAnsi="Arial"/>
                  <w:sz w:val="18"/>
                  <w:szCs w:val="18"/>
                  <w:color w:val="0000FF"/>
                  <w:w w:val="86"/>
                </w:rPr>
                <w:t>Consolidated Balance Sheets (unaudited)</w:t>
              </w:r>
            </w:hyperlink>
          </w:p>
        </w:tc>
        <w:tc>
          <w:tcPr>
            <w:tcW w:w="1400" w:type="dxa"/>
            <w:vAlign w:val="bottom"/>
            <w:gridSpan w:val="4"/>
          </w:tcPr>
          <w:p>
            <w:pPr>
              <w:spacing w:after="0"/>
              <w:rPr>
                <w:sz w:val="22"/>
                <w:szCs w:val="22"/>
                <w:color w:val="auto"/>
              </w:rPr>
            </w:pPr>
          </w:p>
        </w:tc>
        <w:tc>
          <w:tcPr>
            <w:tcW w:w="5020" w:type="dxa"/>
            <w:vAlign w:val="bottom"/>
            <w:gridSpan w:val="7"/>
          </w:tcPr>
          <w:p>
            <w:pPr>
              <w:spacing w:after="0"/>
              <w:rPr>
                <w:sz w:val="22"/>
                <w:szCs w:val="22"/>
                <w:color w:val="auto"/>
              </w:rPr>
            </w:pPr>
          </w:p>
        </w:tc>
        <w:tc>
          <w:tcPr>
            <w:tcW w:w="9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60" w:type="dxa"/>
            <w:vAlign w:val="bottom"/>
          </w:tcPr>
          <w:p>
            <w:pPr>
              <w:spacing w:after="0"/>
              <w:rPr>
                <w:sz w:val="22"/>
                <w:szCs w:val="22"/>
                <w:color w:val="auto"/>
              </w:rPr>
            </w:pPr>
          </w:p>
        </w:tc>
        <w:tc>
          <w:tcPr>
            <w:tcW w:w="3660" w:type="dxa"/>
            <w:vAlign w:val="bottom"/>
            <w:gridSpan w:val="11"/>
          </w:tcPr>
          <w:p>
            <w:pPr>
              <w:spacing w:after="0"/>
              <w:rPr>
                <w:rFonts w:ascii="Arial" w:cs="Arial" w:eastAsia="Arial" w:hAnsi="Arial"/>
                <w:sz w:val="18"/>
                <w:szCs w:val="18"/>
                <w:color w:val="0000FF"/>
                <w:w w:val="86"/>
              </w:rPr>
            </w:pPr>
            <w:hyperlink w:anchor="page6">
              <w:r>
                <w:rPr>
                  <w:rFonts w:ascii="Arial" w:cs="Arial" w:eastAsia="Arial" w:hAnsi="Arial"/>
                  <w:sz w:val="18"/>
                  <w:szCs w:val="18"/>
                  <w:color w:val="0000FF"/>
                  <w:w w:val="86"/>
                </w:rPr>
                <w:t>Consolidated Statements of Cash Flows (unaudited)</w:t>
              </w:r>
            </w:hyperlink>
          </w:p>
        </w:tc>
        <w:tc>
          <w:tcPr>
            <w:tcW w:w="5660" w:type="dxa"/>
            <w:vAlign w:val="bottom"/>
            <w:gridSpan w:val="9"/>
          </w:tcPr>
          <w:p>
            <w:pPr>
              <w:spacing w:after="0"/>
              <w:rPr>
                <w:sz w:val="22"/>
                <w:szCs w:val="22"/>
                <w:color w:val="auto"/>
              </w:rPr>
            </w:pPr>
          </w:p>
        </w:tc>
        <w:tc>
          <w:tcPr>
            <w:tcW w:w="9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60" w:type="dxa"/>
            <w:vAlign w:val="bottom"/>
          </w:tcPr>
          <w:p>
            <w:pPr>
              <w:spacing w:after="0"/>
              <w:rPr>
                <w:sz w:val="22"/>
                <w:szCs w:val="22"/>
                <w:color w:val="auto"/>
              </w:rPr>
            </w:pPr>
          </w:p>
        </w:tc>
        <w:tc>
          <w:tcPr>
            <w:tcW w:w="4320" w:type="dxa"/>
            <w:vAlign w:val="bottom"/>
            <w:gridSpan w:val="14"/>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Consolidated Statements of Stockholders’ Equity (unaudited)</w:t>
              </w:r>
            </w:hyperlink>
          </w:p>
        </w:tc>
        <w:tc>
          <w:tcPr>
            <w:tcW w:w="5000" w:type="dxa"/>
            <w:vAlign w:val="bottom"/>
            <w:gridSpan w:val="6"/>
          </w:tcPr>
          <w:p>
            <w:pPr>
              <w:spacing w:after="0"/>
              <w:rPr>
                <w:sz w:val="22"/>
                <w:szCs w:val="22"/>
                <w:color w:val="auto"/>
              </w:rPr>
            </w:pPr>
          </w:p>
        </w:tc>
        <w:tc>
          <w:tcPr>
            <w:tcW w:w="92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60" w:type="dxa"/>
            <w:vAlign w:val="bottom"/>
          </w:tcPr>
          <w:p>
            <w:pPr>
              <w:spacing w:after="0"/>
              <w:rPr>
                <w:sz w:val="22"/>
                <w:szCs w:val="22"/>
                <w:color w:val="auto"/>
              </w:rPr>
            </w:pPr>
          </w:p>
        </w:tc>
        <w:tc>
          <w:tcPr>
            <w:tcW w:w="4320" w:type="dxa"/>
            <w:vAlign w:val="bottom"/>
            <w:gridSpan w:val="14"/>
          </w:tcPr>
          <w:p>
            <w:pPr>
              <w:spacing w:after="0"/>
              <w:rPr>
                <w:rFonts w:ascii="Arial" w:cs="Arial" w:eastAsia="Arial" w:hAnsi="Arial"/>
                <w:sz w:val="18"/>
                <w:szCs w:val="18"/>
                <w:color w:val="0000FF"/>
                <w:w w:val="96"/>
              </w:rPr>
            </w:pPr>
            <w:hyperlink w:anchor="page9">
              <w:r>
                <w:rPr>
                  <w:rFonts w:ascii="Arial" w:cs="Arial" w:eastAsia="Arial" w:hAnsi="Arial"/>
                  <w:sz w:val="18"/>
                  <w:szCs w:val="18"/>
                  <w:color w:val="0000FF"/>
                  <w:w w:val="96"/>
                </w:rPr>
                <w:t>Notes to Consolidated Financial Statements (unaudited)</w:t>
              </w:r>
            </w:hyperlink>
          </w:p>
        </w:tc>
        <w:tc>
          <w:tcPr>
            <w:tcW w:w="5000" w:type="dxa"/>
            <w:vAlign w:val="bottom"/>
            <w:gridSpan w:val="6"/>
          </w:tcPr>
          <w:p>
            <w:pPr>
              <w:spacing w:after="0"/>
              <w:rPr>
                <w:sz w:val="22"/>
                <w:szCs w:val="22"/>
                <w:color w:val="auto"/>
              </w:rPr>
            </w:pPr>
          </w:p>
        </w:tc>
        <w:tc>
          <w:tcPr>
            <w:tcW w:w="92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320" w:type="dxa"/>
            <w:vAlign w:val="bottom"/>
            <w:gridSpan w:val="20"/>
          </w:tcPr>
          <w:p>
            <w:pPr>
              <w:spacing w:after="0"/>
              <w:rPr>
                <w:rFonts w:ascii="Arial" w:cs="Arial" w:eastAsia="Arial" w:hAnsi="Arial"/>
                <w:sz w:val="18"/>
                <w:szCs w:val="18"/>
                <w:b w:val="1"/>
                <w:bCs w:val="1"/>
                <w:color w:val="0000FF"/>
              </w:rPr>
            </w:pPr>
            <w:hyperlink w:anchor="page23">
              <w:r>
                <w:rPr>
                  <w:rFonts w:ascii="Arial" w:cs="Arial" w:eastAsia="Arial" w:hAnsi="Arial"/>
                  <w:sz w:val="18"/>
                  <w:szCs w:val="18"/>
                  <w:b w:val="1"/>
                  <w:bCs w:val="1"/>
                  <w:color w:val="0000FF"/>
                </w:rPr>
                <w:t>Management’s Discussion and Analysis of Financial Condition and Results of Operations</w:t>
              </w:r>
            </w:hyperlink>
          </w:p>
        </w:tc>
        <w:tc>
          <w:tcPr>
            <w:tcW w:w="92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56"/>
        </w:trPr>
        <w:tc>
          <w:tcPr>
            <w:tcW w:w="9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tcBorders>
              <w:top w:val="single" w:sz="8" w:color="0000FF"/>
              <w:bottom w:val="single" w:sz="8" w:color="0000FF"/>
            </w:tcBorders>
            <w:gridSpan w:val="16"/>
          </w:tcPr>
          <w:p>
            <w:pPr>
              <w:spacing w:after="0"/>
              <w:rPr>
                <w:rFonts w:ascii="Arial" w:cs="Arial" w:eastAsia="Arial" w:hAnsi="Arial"/>
                <w:sz w:val="18"/>
                <w:szCs w:val="18"/>
                <w:b w:val="1"/>
                <w:bCs w:val="1"/>
                <w:color w:val="0000FF"/>
                <w:w w:val="89"/>
              </w:rPr>
            </w:pPr>
            <w:hyperlink w:anchor="page30">
              <w:r>
                <w:rPr>
                  <w:rFonts w:ascii="Arial" w:cs="Arial" w:eastAsia="Arial" w:hAnsi="Arial"/>
                  <w:sz w:val="18"/>
                  <w:szCs w:val="18"/>
                  <w:b w:val="1"/>
                  <w:bCs w:val="1"/>
                  <w:color w:val="0000FF"/>
                  <w:w w:val="89"/>
                </w:rPr>
                <w:t>Quantitative and Qualitative Disclosures About Market Risk</w:t>
              </w:r>
            </w:hyperlink>
          </w:p>
        </w:tc>
        <w:tc>
          <w:tcPr>
            <w:tcW w:w="2100" w:type="dxa"/>
            <w:vAlign w:val="bottom"/>
            <w:tcBorders>
              <w:top w:val="single" w:sz="8" w:color="0000FF"/>
            </w:tcBorders>
            <w:gridSpan w:val="3"/>
          </w:tcPr>
          <w:p>
            <w:pPr>
              <w:spacing w:after="0"/>
              <w:rPr>
                <w:sz w:val="22"/>
                <w:szCs w:val="22"/>
                <w:color w:val="auto"/>
              </w:rPr>
            </w:pPr>
          </w:p>
        </w:tc>
        <w:tc>
          <w:tcPr>
            <w:tcW w:w="2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c>
          <w:tcPr>
            <w:tcW w:w="20" w:type="dxa"/>
            <w:vAlign w:val="bottom"/>
          </w:tcPr>
          <w:p>
            <w:pPr>
              <w:spacing w:after="0"/>
              <w:rPr>
                <w:sz w:val="22"/>
                <w:szCs w:val="22"/>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320" w:type="dxa"/>
            <w:vAlign w:val="bottom"/>
            <w:gridSpan w:val="20"/>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Controls and Procedures</w:t>
              </w:r>
            </w:hyperlink>
          </w:p>
        </w:tc>
        <w:tc>
          <w:tcPr>
            <w:tcW w:w="92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256"/>
        </w:trPr>
        <w:tc>
          <w:tcPr>
            <w:tcW w:w="960" w:type="dxa"/>
            <w:vAlign w:val="bottom"/>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0" w:type="dxa"/>
            <w:vAlign w:val="bottom"/>
            <w:tcBorders>
              <w:bottom w:val="single" w:sz="8" w:color="0000FF"/>
            </w:tcBorders>
            <w:gridSpan w:val="6"/>
          </w:tcPr>
          <w:p>
            <w:pPr>
              <w:jc w:val="center"/>
              <w:spacing w:after="0"/>
              <w:rPr>
                <w:rFonts w:ascii="Arial" w:cs="Arial" w:eastAsia="Arial" w:hAnsi="Arial"/>
                <w:sz w:val="18"/>
                <w:szCs w:val="18"/>
                <w:b w:val="1"/>
                <w:bCs w:val="1"/>
                <w:color w:val="0000FF"/>
                <w:w w:val="93"/>
              </w:rPr>
            </w:pPr>
            <w:hyperlink w:anchor="page32">
              <w:r>
                <w:rPr>
                  <w:rFonts w:ascii="Arial" w:cs="Arial" w:eastAsia="Arial" w:hAnsi="Arial"/>
                  <w:sz w:val="18"/>
                  <w:szCs w:val="18"/>
                  <w:b w:val="1"/>
                  <w:bCs w:val="1"/>
                  <w:color w:val="0000FF"/>
                  <w:w w:val="93"/>
                </w:rPr>
                <w:t>Part II: Other Information</w:t>
              </w:r>
            </w:hyperlink>
          </w:p>
        </w:tc>
        <w:tc>
          <w:tcPr>
            <w:tcW w:w="3660" w:type="dxa"/>
            <w:vAlign w:val="bottom"/>
            <w:gridSpan w:val="3"/>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320" w:type="dxa"/>
            <w:vAlign w:val="bottom"/>
            <w:gridSpan w:val="20"/>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Legal Proceedings</w:t>
              </w:r>
            </w:hyperlink>
          </w:p>
        </w:tc>
        <w:tc>
          <w:tcPr>
            <w:tcW w:w="92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256"/>
        </w:trPr>
        <w:tc>
          <w:tcPr>
            <w:tcW w:w="9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top w:val="single" w:sz="8" w:color="0000FF"/>
              <w:bottom w:val="single" w:sz="8" w:color="0000FF"/>
            </w:tcBorders>
            <w:gridSpan w:val="2"/>
          </w:tcPr>
          <w:p>
            <w:pPr>
              <w:spacing w:after="0"/>
              <w:rPr>
                <w:rFonts w:ascii="Arial" w:cs="Arial" w:eastAsia="Arial" w:hAnsi="Arial"/>
                <w:sz w:val="18"/>
                <w:szCs w:val="18"/>
                <w:b w:val="1"/>
                <w:bCs w:val="1"/>
                <w:color w:val="0000FF"/>
                <w:w w:val="86"/>
              </w:rPr>
            </w:pPr>
            <w:hyperlink w:anchor="page33">
              <w:r>
                <w:rPr>
                  <w:rFonts w:ascii="Arial" w:cs="Arial" w:eastAsia="Arial" w:hAnsi="Arial"/>
                  <w:sz w:val="18"/>
                  <w:szCs w:val="18"/>
                  <w:b w:val="1"/>
                  <w:bCs w:val="1"/>
                  <w:color w:val="0000FF"/>
                  <w:w w:val="86"/>
                </w:rPr>
                <w:t>Risk Factors</w:t>
              </w:r>
            </w:hyperlink>
          </w:p>
        </w:tc>
        <w:tc>
          <w:tcPr>
            <w:tcW w:w="400" w:type="dxa"/>
            <w:vAlign w:val="bottom"/>
            <w:tcBorders>
              <w:top w:val="single" w:sz="8" w:color="0000FF"/>
            </w:tcBorders>
          </w:tcPr>
          <w:p>
            <w:pPr>
              <w:spacing w:after="0"/>
              <w:rPr>
                <w:sz w:val="22"/>
                <w:szCs w:val="22"/>
                <w:color w:val="auto"/>
              </w:rPr>
            </w:pPr>
          </w:p>
        </w:tc>
        <w:tc>
          <w:tcPr>
            <w:tcW w:w="7960" w:type="dxa"/>
            <w:vAlign w:val="bottom"/>
            <w:gridSpan w:val="17"/>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c>
          <w:tcPr>
            <w:tcW w:w="20" w:type="dxa"/>
            <w:vAlign w:val="bottom"/>
          </w:tcPr>
          <w:p>
            <w:pPr>
              <w:spacing w:after="0"/>
              <w:rPr>
                <w:sz w:val="22"/>
                <w:szCs w:val="22"/>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460" w:type="dxa"/>
            <w:vAlign w:val="bottom"/>
            <w:tcBorders>
              <w:bottom w:val="single" w:sz="8" w:color="0000FF"/>
            </w:tcBorders>
            <w:gridSpan w:val="15"/>
          </w:tcPr>
          <w:p>
            <w:pPr>
              <w:spacing w:after="0"/>
              <w:rPr>
                <w:rFonts w:ascii="Arial" w:cs="Arial" w:eastAsia="Arial" w:hAnsi="Arial"/>
                <w:sz w:val="18"/>
                <w:szCs w:val="18"/>
                <w:b w:val="1"/>
                <w:bCs w:val="1"/>
                <w:color w:val="0000FF"/>
                <w:w w:val="85"/>
              </w:rPr>
            </w:pPr>
            <w:hyperlink w:anchor="page33">
              <w:r>
                <w:rPr>
                  <w:rFonts w:ascii="Arial" w:cs="Arial" w:eastAsia="Arial" w:hAnsi="Arial"/>
                  <w:sz w:val="18"/>
                  <w:szCs w:val="18"/>
                  <w:b w:val="1"/>
                  <w:bCs w:val="1"/>
                  <w:color w:val="0000FF"/>
                  <w:w w:val="85"/>
                </w:rPr>
                <w:t>Unregistered Sales of Equity Securities and Use of Proceeds</w:t>
              </w:r>
            </w:hyperlink>
          </w:p>
        </w:tc>
        <w:tc>
          <w:tcPr>
            <w:tcW w:w="4860" w:type="dxa"/>
            <w:vAlign w:val="bottom"/>
            <w:gridSpan w:val="5"/>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c>
          <w:tcPr>
            <w:tcW w:w="20" w:type="dxa"/>
            <w:vAlign w:val="bottom"/>
          </w:tcPr>
          <w:p>
            <w:pPr>
              <w:spacing w:after="0"/>
              <w:rPr>
                <w:sz w:val="22"/>
                <w:szCs w:val="22"/>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320" w:type="dxa"/>
            <w:vAlign w:val="bottom"/>
            <w:gridSpan w:val="20"/>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Defaults on Senior Securities</w:t>
              </w:r>
            </w:hyperlink>
          </w:p>
        </w:tc>
        <w:tc>
          <w:tcPr>
            <w:tcW w:w="92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256"/>
        </w:trPr>
        <w:tc>
          <w:tcPr>
            <w:tcW w:w="9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00" w:type="dxa"/>
            <w:vAlign w:val="bottom"/>
            <w:tcBorders>
              <w:top w:val="single" w:sz="8" w:color="0000FF"/>
              <w:bottom w:val="single" w:sz="8" w:color="0000FF"/>
            </w:tcBorders>
            <w:gridSpan w:val="6"/>
          </w:tcPr>
          <w:p>
            <w:pPr>
              <w:spacing w:after="0"/>
              <w:rPr>
                <w:rFonts w:ascii="Arial" w:cs="Arial" w:eastAsia="Arial" w:hAnsi="Arial"/>
                <w:sz w:val="18"/>
                <w:szCs w:val="18"/>
                <w:b w:val="1"/>
                <w:bCs w:val="1"/>
                <w:color w:val="0000FF"/>
                <w:w w:val="85"/>
              </w:rPr>
            </w:pPr>
            <w:hyperlink w:anchor="page33">
              <w:r>
                <w:rPr>
                  <w:rFonts w:ascii="Arial" w:cs="Arial" w:eastAsia="Arial" w:hAnsi="Arial"/>
                  <w:sz w:val="18"/>
                  <w:szCs w:val="18"/>
                  <w:b w:val="1"/>
                  <w:bCs w:val="1"/>
                  <w:color w:val="0000FF"/>
                  <w:w w:val="85"/>
                </w:rPr>
                <w:t>Mine Safety Disclosures</w:t>
              </w:r>
            </w:hyperlink>
          </w:p>
        </w:tc>
        <w:tc>
          <w:tcPr>
            <w:tcW w:w="360" w:type="dxa"/>
            <w:vAlign w:val="bottom"/>
            <w:tcBorders>
              <w:top w:val="single" w:sz="8" w:color="0000FF"/>
            </w:tcBorders>
            <w:gridSpan w:val="2"/>
          </w:tcPr>
          <w:p>
            <w:pPr>
              <w:spacing w:after="0"/>
              <w:rPr>
                <w:sz w:val="22"/>
                <w:szCs w:val="22"/>
                <w:color w:val="auto"/>
              </w:rPr>
            </w:pPr>
          </w:p>
        </w:tc>
        <w:tc>
          <w:tcPr>
            <w:tcW w:w="7160" w:type="dxa"/>
            <w:vAlign w:val="bottom"/>
            <w:gridSpan w:val="12"/>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c>
          <w:tcPr>
            <w:tcW w:w="20" w:type="dxa"/>
            <w:vAlign w:val="bottom"/>
          </w:tcPr>
          <w:p>
            <w:pPr>
              <w:spacing w:after="0"/>
              <w:rPr>
                <w:sz w:val="22"/>
                <w:szCs w:val="22"/>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20" w:type="dxa"/>
            <w:vAlign w:val="bottom"/>
            <w:tcBorders>
              <w:bottom w:val="single" w:sz="8" w:color="0000FF"/>
            </w:tcBorders>
            <w:gridSpan w:val="4"/>
          </w:tcPr>
          <w:p>
            <w:pPr>
              <w:spacing w:after="0"/>
              <w:rPr>
                <w:rFonts w:ascii="Arial" w:cs="Arial" w:eastAsia="Arial" w:hAnsi="Arial"/>
                <w:sz w:val="18"/>
                <w:szCs w:val="18"/>
                <w:b w:val="1"/>
                <w:bCs w:val="1"/>
                <w:color w:val="0000FF"/>
                <w:w w:val="92"/>
              </w:rPr>
            </w:pPr>
            <w:hyperlink w:anchor="page33">
              <w:r>
                <w:rPr>
                  <w:rFonts w:ascii="Arial" w:cs="Arial" w:eastAsia="Arial" w:hAnsi="Arial"/>
                  <w:sz w:val="18"/>
                  <w:szCs w:val="18"/>
                  <w:b w:val="1"/>
                  <w:bCs w:val="1"/>
                  <w:color w:val="0000FF"/>
                  <w:w w:val="92"/>
                </w:rPr>
                <w:t>Other Information</w:t>
              </w:r>
            </w:hyperlink>
          </w:p>
        </w:tc>
        <w:tc>
          <w:tcPr>
            <w:tcW w:w="7900" w:type="dxa"/>
            <w:vAlign w:val="bottom"/>
            <w:gridSpan w:val="16"/>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c>
          <w:tcPr>
            <w:tcW w:w="20" w:type="dxa"/>
            <w:vAlign w:val="bottom"/>
          </w:tcPr>
          <w:p>
            <w:pPr>
              <w:spacing w:after="0"/>
              <w:rPr>
                <w:sz w:val="22"/>
                <w:szCs w:val="22"/>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320" w:type="dxa"/>
            <w:vAlign w:val="bottom"/>
            <w:gridSpan w:val="20"/>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Exhibits</w:t>
              </w:r>
            </w:hyperlink>
          </w:p>
        </w:tc>
        <w:tc>
          <w:tcPr>
            <w:tcW w:w="92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AngioDynamics, Inc. and Subsidiaries</w:t>
      </w:r>
    </w:p>
    <w:p>
      <w:pPr>
        <w:spacing w:after="0" w:line="214"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ind w:left="64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6"/>
                <w:szCs w:val="16"/>
                <w:color w:val="auto"/>
              </w:rPr>
            </w:pPr>
          </w:p>
        </w:tc>
        <w:tc>
          <w:tcPr>
            <w:tcW w:w="2680" w:type="dxa"/>
            <w:vAlign w:val="bottom"/>
            <w:gridSpan w:val="4"/>
          </w:tcPr>
          <w:p>
            <w:pPr>
              <w:jc w:val="right"/>
              <w:ind w:right="833"/>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Nov 30, 2021</w:t>
            </w: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color w:val="auto"/>
              </w:rPr>
              <w:t>Nov 30, 2020</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Nov 30, 2021</w:t>
            </w: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color w:val="auto"/>
              </w:rPr>
              <w:t>Nov 30, 2020</w:t>
            </w:r>
          </w:p>
        </w:tc>
        <w:tc>
          <w:tcPr>
            <w:tcW w:w="0" w:type="dxa"/>
            <w:vAlign w:val="bottom"/>
          </w:tcPr>
          <w:p>
            <w:pPr>
              <w:spacing w:after="0"/>
              <w:rPr>
                <w:sz w:val="1"/>
                <w:szCs w:val="1"/>
                <w:color w:val="auto"/>
              </w:rPr>
            </w:pPr>
          </w:p>
        </w:tc>
      </w:tr>
      <w:tr>
        <w:trPr>
          <w:trHeight w:val="219"/>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155,251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142,986</w:t>
            </w:r>
          </w:p>
        </w:tc>
        <w:tc>
          <w:tcPr>
            <w:tcW w:w="0" w:type="dxa"/>
            <w:vAlign w:val="bottom"/>
          </w:tcPr>
          <w:p>
            <w:pPr>
              <w:spacing w:after="0"/>
              <w:rPr>
                <w:sz w:val="1"/>
                <w:szCs w:val="1"/>
                <w:color w:val="auto"/>
              </w:rPr>
            </w:pPr>
          </w:p>
        </w:tc>
      </w:tr>
      <w:tr>
        <w:trPr>
          <w:trHeight w:val="224"/>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sales (exclusive of intangible amortization)</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67,048</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80,694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75,938</w:t>
            </w:r>
          </w:p>
        </w:tc>
        <w:tc>
          <w:tcPr>
            <w:tcW w:w="0" w:type="dxa"/>
            <w:vAlign w:val="bottom"/>
          </w:tcPr>
          <w:p>
            <w:pPr>
              <w:spacing w:after="0"/>
              <w:rPr>
                <w:sz w:val="1"/>
                <w:szCs w:val="1"/>
                <w:color w:val="auto"/>
              </w:rPr>
            </w:pPr>
          </w:p>
        </w:tc>
      </w:tr>
      <w:tr>
        <w:trPr>
          <w:trHeight w:val="204"/>
        </w:trPr>
        <w:tc>
          <w:tcPr>
            <w:tcW w:w="482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18,721</w:t>
            </w:r>
          </w:p>
        </w:tc>
        <w:tc>
          <w:tcPr>
            <w:tcW w:w="0" w:type="dxa"/>
            <w:vAlign w:val="bottom"/>
          </w:tcPr>
          <w:p>
            <w:pPr>
              <w:spacing w:after="0"/>
              <w:rPr>
                <w:sz w:val="1"/>
                <w:szCs w:val="1"/>
                <w:color w:val="auto"/>
              </w:rPr>
            </w:pPr>
          </w:p>
        </w:tc>
      </w:tr>
      <w:tr>
        <w:trPr>
          <w:trHeight w:val="223"/>
        </w:trPr>
        <w:tc>
          <w:tcPr>
            <w:tcW w:w="482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37,879</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17,776</w:t>
            </w:r>
          </w:p>
        </w:tc>
        <w:tc>
          <w:tcPr>
            <w:tcW w:w="0" w:type="dxa"/>
            <w:vAlign w:val="bottom"/>
          </w:tcPr>
          <w:p>
            <w:pPr>
              <w:spacing w:after="0"/>
              <w:rPr>
                <w:sz w:val="1"/>
                <w:szCs w:val="1"/>
                <w:color w:val="auto"/>
              </w:rPr>
            </w:pPr>
          </w:p>
        </w:tc>
      </w:tr>
      <w:tr>
        <w:trPr>
          <w:trHeight w:val="223"/>
        </w:trPr>
        <w:tc>
          <w:tcPr>
            <w:tcW w:w="4820" w:type="dxa"/>
            <w:vAlign w:val="bottom"/>
          </w:tcPr>
          <w:p>
            <w:pPr>
              <w:ind w:left="34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9,546</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Acquisition, restructuring and other items, net</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97,473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85,896</w:t>
            </w: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tcPr>
          <w:p>
            <w:pPr>
              <w:ind w:left="640"/>
              <w:spacing w:after="0" w:line="203" w:lineRule="exact"/>
              <w:rPr>
                <w:sz w:val="20"/>
                <w:szCs w:val="20"/>
                <w:color w:val="auto"/>
              </w:rPr>
            </w:pPr>
            <w:r>
              <w:rPr>
                <w:rFonts w:ascii="Arial" w:cs="Arial" w:eastAsia="Arial" w:hAnsi="Arial"/>
                <w:sz w:val="18"/>
                <w:szCs w:val="18"/>
                <w:color w:val="auto"/>
              </w:rPr>
              <w:t>Operating loss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(9,958)</w:t>
            </w: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Other income (expense):</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tcPr>
          <w:p>
            <w:pPr>
              <w:ind w:left="640"/>
              <w:spacing w:after="0" w:line="203" w:lineRule="exact"/>
              <w:rPr>
                <w:sz w:val="20"/>
                <w:szCs w:val="20"/>
                <w:color w:val="auto"/>
              </w:rPr>
            </w:pPr>
            <w:r>
              <w:rPr>
                <w:rFonts w:ascii="Arial" w:cs="Arial" w:eastAsia="Arial" w:hAnsi="Arial"/>
                <w:sz w:val="18"/>
                <w:szCs w:val="18"/>
                <w:color w:val="auto"/>
              </w:rPr>
              <w:t>Total other expense, net</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 benefit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0" w:type="dxa"/>
            <w:vAlign w:val="bottom"/>
          </w:tcPr>
          <w:p>
            <w:pPr>
              <w:spacing w:after="0"/>
              <w:rPr>
                <w:sz w:val="1"/>
                <w:szCs w:val="1"/>
                <w:color w:val="auto"/>
              </w:rPr>
            </w:pPr>
          </w:p>
        </w:tc>
      </w:tr>
      <w:tr>
        <w:trPr>
          <w:trHeight w:val="224"/>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benefit</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shd w:val="clear" w:color="auto" w:fill="CCEEFF"/>
          </w:tcPr>
          <w:p>
            <w:pPr>
              <w:ind w:left="640"/>
              <w:spacing w:after="0" w:line="190" w:lineRule="exact"/>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(8,351)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(4,268)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(15,323)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(8,536)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Loss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20" w:type="dxa"/>
            <w:vAlign w:val="bottom"/>
            <w:vMerge w:val="continue"/>
          </w:tcPr>
          <w:p>
            <w:pPr>
              <w:spacing w:after="0"/>
              <w:rPr>
                <w:sz w:val="14"/>
                <w:szCs w:val="14"/>
                <w:color w:val="auto"/>
              </w:rPr>
            </w:pPr>
          </w:p>
        </w:tc>
        <w:tc>
          <w:tcPr>
            <w:tcW w:w="200" w:type="dxa"/>
            <w:vAlign w:val="bottom"/>
            <w:tcBorders>
              <w:bottom w:val="single" w:sz="8" w:color="auto"/>
            </w:tcBorders>
          </w:tcPr>
          <w:p>
            <w:pPr>
              <w:jc w:val="right"/>
              <w:ind w:right="12"/>
              <w:spacing w:after="0" w:line="170"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(0.21)</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12"/>
              <w:spacing w:after="0" w:line="170"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(0.11)</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12"/>
              <w:spacing w:after="0" w:line="170"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(0.39)</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12"/>
              <w:spacing w:after="0" w:line="170"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38,327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38,242</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38,242</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0"/>
          </w:cols>
          <w:pgMar w:left="320" w:top="122" w:right="81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ind w:left="64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6"/>
                <w:szCs w:val="16"/>
                <w:color w:val="auto"/>
              </w:rPr>
            </w:pPr>
          </w:p>
        </w:tc>
        <w:tc>
          <w:tcPr>
            <w:tcW w:w="2680" w:type="dxa"/>
            <w:vAlign w:val="bottom"/>
            <w:gridSpan w:val="4"/>
          </w:tcPr>
          <w:p>
            <w:pPr>
              <w:jc w:val="right"/>
              <w:ind w:right="835"/>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Nov 30, 2021</w:t>
            </w: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color w:val="auto"/>
              </w:rPr>
              <w:t>Nov 30, 2020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Nov 30, 2021</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color w:val="auto"/>
              </w:rPr>
              <w:t>Nov 30, 2020</w:t>
            </w:r>
          </w:p>
        </w:tc>
        <w:tc>
          <w:tcPr>
            <w:tcW w:w="0" w:type="dxa"/>
            <w:vAlign w:val="bottom"/>
          </w:tcPr>
          <w:p>
            <w:pPr>
              <w:spacing w:after="0"/>
              <w:rPr>
                <w:sz w:val="1"/>
                <w:szCs w:val="1"/>
                <w:color w:val="auto"/>
              </w:rPr>
            </w:pPr>
          </w:p>
        </w:tc>
      </w:tr>
      <w:tr>
        <w:trPr>
          <w:trHeight w:val="219"/>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1"/>
              </w:rPr>
              <w:t>(8,351)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0" w:type="dxa"/>
            <w:vAlign w:val="bottom"/>
          </w:tcPr>
          <w:p>
            <w:pPr>
              <w:spacing w:after="0"/>
              <w:rPr>
                <w:sz w:val="1"/>
                <w:szCs w:val="1"/>
                <w:color w:val="auto"/>
              </w:rPr>
            </w:pPr>
          </w:p>
        </w:tc>
      </w:tr>
      <w:tr>
        <w:trPr>
          <w:trHeight w:val="223"/>
        </w:trPr>
        <w:tc>
          <w:tcPr>
            <w:tcW w:w="5380" w:type="dxa"/>
            <w:vAlign w:val="bottom"/>
          </w:tcPr>
          <w:p>
            <w:pPr>
              <w:ind w:left="340"/>
              <w:spacing w:after="0"/>
              <w:rPr>
                <w:sz w:val="20"/>
                <w:szCs w:val="20"/>
                <w:color w:val="auto"/>
              </w:rPr>
            </w:pPr>
            <w:r>
              <w:rPr>
                <w:rFonts w:ascii="Arial" w:cs="Arial" w:eastAsia="Arial" w:hAnsi="Arial"/>
                <w:sz w:val="18"/>
                <w:szCs w:val="18"/>
                <w:color w:val="auto"/>
              </w:rPr>
              <w:t>Other comprehensive income, before tax:</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17"/>
        </w:trPr>
        <w:tc>
          <w:tcPr>
            <w:tcW w:w="5380" w:type="dxa"/>
            <w:vAlign w:val="bottom"/>
          </w:tcPr>
          <w:p>
            <w:pPr>
              <w:ind w:left="340"/>
              <w:spacing w:after="0" w:line="203" w:lineRule="exact"/>
              <w:rPr>
                <w:sz w:val="20"/>
                <w:szCs w:val="20"/>
                <w:color w:val="auto"/>
              </w:rPr>
            </w:pPr>
            <w:r>
              <w:rPr>
                <w:rFonts w:ascii="Arial" w:cs="Arial" w:eastAsia="Arial" w:hAnsi="Arial"/>
                <w:sz w:val="18"/>
                <w:szCs w:val="18"/>
                <w:color w:val="auto"/>
              </w:rPr>
              <w:t>Other comprehensive income, before tax</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660"/>
              <w:spacing w:after="0" w:line="172" w:lineRule="exact"/>
              <w:rPr>
                <w:sz w:val="20"/>
                <w:szCs w:val="20"/>
                <w:color w:val="auto"/>
              </w:rPr>
            </w:pPr>
            <w:r>
              <w:rPr>
                <w:rFonts w:ascii="Arial" w:cs="Arial" w:eastAsia="Arial" w:hAnsi="Arial"/>
                <w:sz w:val="18"/>
                <w:szCs w:val="18"/>
                <w:color w:val="auto"/>
                <w:w w:val="97"/>
              </w:rPr>
              <w:t>Income tax expense related to items of other comprehensive</w:t>
            </w:r>
          </w:p>
        </w:tc>
        <w:tc>
          <w:tcPr>
            <w:tcW w:w="20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(loss)</w:t>
            </w:r>
          </w:p>
        </w:tc>
        <w:tc>
          <w:tcPr>
            <w:tcW w:w="20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80" w:type="dxa"/>
            <w:vAlign w:val="bottom"/>
            <w:tcBorders>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Other comprehensive income, net of tax</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42"/>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loss, net of tax</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1"/>
              </w:rPr>
              <w:t>(7,532)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Nov 30, 2021</w:t>
            </w:r>
          </w:p>
        </w:tc>
        <w:tc>
          <w:tcPr>
            <w:tcW w:w="220" w:type="dxa"/>
            <w:vAlign w:val="bottom"/>
          </w:tcPr>
          <w:p>
            <w:pPr>
              <w:spacing w:after="0"/>
              <w:rPr>
                <w:sz w:val="16"/>
                <w:szCs w:val="16"/>
                <w:color w:val="auto"/>
              </w:rPr>
            </w:pPr>
          </w:p>
        </w:tc>
        <w:tc>
          <w:tcPr>
            <w:tcW w:w="1180" w:type="dxa"/>
            <w:vAlign w:val="bottom"/>
          </w:tcPr>
          <w:p>
            <w:pPr>
              <w:jc w:val="right"/>
              <w:ind w:right="213"/>
              <w:spacing w:after="0"/>
              <w:rPr>
                <w:sz w:val="20"/>
                <w:szCs w:val="20"/>
                <w:color w:val="auto"/>
              </w:rPr>
            </w:pPr>
            <w:r>
              <w:rPr>
                <w:rFonts w:ascii="Arial" w:cs="Arial" w:eastAsia="Arial" w:hAnsi="Arial"/>
                <w:sz w:val="14"/>
                <w:szCs w:val="14"/>
                <w:color w:val="auto"/>
              </w:rPr>
              <w:t>May 31, 2021</w:t>
            </w:r>
          </w:p>
        </w:tc>
        <w:tc>
          <w:tcPr>
            <w:tcW w:w="0" w:type="dxa"/>
            <w:vAlign w:val="bottom"/>
          </w:tcPr>
          <w:p>
            <w:pPr>
              <w:spacing w:after="0"/>
              <w:rPr>
                <w:sz w:val="1"/>
                <w:szCs w:val="1"/>
                <w:color w:val="auto"/>
              </w:rPr>
            </w:pPr>
          </w:p>
        </w:tc>
      </w:tr>
      <w:tr>
        <w:trPr>
          <w:trHeight w:val="209"/>
        </w:trPr>
        <w:tc>
          <w:tcPr>
            <w:tcW w:w="8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48,161</w:t>
            </w:r>
          </w:p>
        </w:tc>
        <w:tc>
          <w:tcPr>
            <w:tcW w:w="0" w:type="dxa"/>
            <w:vAlign w:val="bottom"/>
          </w:tcPr>
          <w:p>
            <w:pPr>
              <w:spacing w:after="0"/>
              <w:rPr>
                <w:sz w:val="1"/>
                <w:szCs w:val="1"/>
                <w:color w:val="auto"/>
              </w:rPr>
            </w:pPr>
          </w:p>
        </w:tc>
      </w:tr>
      <w:tr>
        <w:trPr>
          <w:trHeight w:val="223"/>
        </w:trPr>
        <w:tc>
          <w:tcPr>
            <w:tcW w:w="8340" w:type="dxa"/>
            <w:vAlign w:val="bottom"/>
          </w:tcPr>
          <w:p>
            <w:pPr>
              <w:ind w:left="340"/>
              <w:spacing w:after="0"/>
              <w:rPr>
                <w:sz w:val="20"/>
                <w:szCs w:val="20"/>
                <w:color w:val="auto"/>
              </w:rPr>
            </w:pPr>
            <w:r>
              <w:rPr>
                <w:rFonts w:ascii="Arial" w:cs="Arial" w:eastAsia="Arial" w:hAnsi="Arial"/>
                <w:sz w:val="18"/>
                <w:szCs w:val="18"/>
                <w:color w:val="auto"/>
              </w:rPr>
              <w:t>Accounts receivable, net of allowances of $1,850 and $1,919 respectively</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35,405</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48,614</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140,879</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37,073</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168,977</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201,709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201,316</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17"/>
        </w:trPr>
        <w:tc>
          <w:tcPr>
            <w:tcW w:w="8340" w:type="dxa"/>
            <w:vAlign w:val="bottom"/>
          </w:tcPr>
          <w:p>
            <w:pPr>
              <w:ind w:left="660"/>
              <w:spacing w:after="0" w:line="203"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554,103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561,438</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4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19,630</w:t>
            </w:r>
          </w:p>
        </w:tc>
        <w:tc>
          <w:tcPr>
            <w:tcW w:w="0" w:type="dxa"/>
            <w:vAlign w:val="bottom"/>
          </w:tcPr>
          <w:p>
            <w:pPr>
              <w:spacing w:after="0"/>
              <w:rPr>
                <w:sz w:val="1"/>
                <w:szCs w:val="1"/>
                <w:color w:val="auto"/>
              </w:rPr>
            </w:pPr>
          </w:p>
        </w:tc>
      </w:tr>
      <w:tr>
        <w:trPr>
          <w:trHeight w:val="223"/>
        </w:trPr>
        <w:tc>
          <w:tcPr>
            <w:tcW w:w="834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35,459</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17"/>
        </w:trPr>
        <w:tc>
          <w:tcPr>
            <w:tcW w:w="8340" w:type="dxa"/>
            <w:vAlign w:val="bottom"/>
          </w:tcPr>
          <w:p>
            <w:pPr>
              <w:ind w:left="660"/>
              <w:spacing w:after="0" w:line="203" w:lineRule="exact"/>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54,475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57,584</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19,955</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121,735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121,981</w:t>
            </w:r>
          </w:p>
        </w:tc>
        <w:tc>
          <w:tcPr>
            <w:tcW w:w="0" w:type="dxa"/>
            <w:vAlign w:val="bottom"/>
          </w:tcPr>
          <w:p>
            <w:pPr>
              <w:spacing w:after="0"/>
              <w:rPr>
                <w:sz w:val="1"/>
                <w:szCs w:val="1"/>
                <w:color w:val="auto"/>
              </w:rPr>
            </w:pPr>
          </w:p>
        </w:tc>
      </w:tr>
      <w:tr>
        <w:trPr>
          <w:trHeight w:val="203"/>
        </w:trPr>
        <w:tc>
          <w:tcPr>
            <w:tcW w:w="8340" w:type="dxa"/>
            <w:vAlign w:val="bottom"/>
          </w:tcPr>
          <w:p>
            <w:pPr>
              <w:ind w:left="20"/>
              <w:spacing w:after="0" w:line="203" w:lineRule="exact"/>
              <w:rPr>
                <w:sz w:val="20"/>
                <w:szCs w:val="20"/>
                <w:color w:val="auto"/>
              </w:rPr>
            </w:pPr>
            <w:r>
              <w:rPr>
                <w:rFonts w:ascii="Arial" w:cs="Arial" w:eastAsia="Arial" w:hAnsi="Arial"/>
                <w:sz w:val="18"/>
                <w:szCs w:val="18"/>
                <w:color w:val="auto"/>
              </w:rPr>
              <w:t>Commitments and contingencies (Note 14)</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tcPr>
          <w:p>
            <w:pPr>
              <w:ind w:left="340"/>
              <w:spacing w:after="0"/>
              <w:rPr>
                <w:sz w:val="20"/>
                <w:szCs w:val="20"/>
                <w:color w:val="auto"/>
              </w:rPr>
            </w:pPr>
            <w:r>
              <w:rPr>
                <w:rFonts w:ascii="Arial" w:cs="Arial" w:eastAsia="Arial" w:hAnsi="Arial"/>
                <w:sz w:val="18"/>
                <w:szCs w:val="18"/>
                <w:color w:val="auto"/>
                <w:w w:val="93"/>
              </w:rPr>
              <w:t>Preferred stock, par value $0.01 per share, 5,000,000 shares authorized; no shares issued and outstanding</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w w:val="91"/>
              </w:rPr>
              <w:t>Common stock, par value $0.01 per share, 75,000,000 shares authorized; 39,455,193 and 38,920,951 shares</w:t>
            </w:r>
          </w:p>
        </w:tc>
        <w:tc>
          <w:tcPr>
            <w:tcW w:w="2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issued and 39,085,193 and 38,550,951 shares outstanding at November 30, 2021 and May 31, 2021, respectively</w:t>
            </w:r>
          </w:p>
        </w:tc>
        <w:tc>
          <w:tcPr>
            <w:tcW w:w="2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580,330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573,507</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(131,866)</w:t>
            </w:r>
          </w:p>
        </w:tc>
        <w:tc>
          <w:tcPr>
            <w:tcW w:w="0" w:type="dxa"/>
            <w:vAlign w:val="bottom"/>
          </w:tcPr>
          <w:p>
            <w:pPr>
              <w:spacing w:after="0"/>
              <w:rPr>
                <w:sz w:val="1"/>
                <w:szCs w:val="1"/>
                <w:color w:val="auto"/>
              </w:rPr>
            </w:pPr>
          </w:p>
        </w:tc>
      </w:tr>
      <w:tr>
        <w:trPr>
          <w:trHeight w:val="223"/>
        </w:trPr>
        <w:tc>
          <w:tcPr>
            <w:tcW w:w="8340" w:type="dxa"/>
            <w:vAlign w:val="bottom"/>
          </w:tcPr>
          <w:p>
            <w:pPr>
              <w:ind w:left="340"/>
              <w:spacing w:after="0"/>
              <w:rPr>
                <w:sz w:val="20"/>
                <w:szCs w:val="20"/>
                <w:color w:val="auto"/>
              </w:rPr>
            </w:pPr>
            <w:r>
              <w:rPr>
                <w:rFonts w:ascii="Arial" w:cs="Arial" w:eastAsia="Arial" w:hAnsi="Arial"/>
                <w:sz w:val="18"/>
                <w:szCs w:val="18"/>
                <w:color w:val="auto"/>
              </w:rPr>
              <w:t>Treasury stock, 370,000 shares at November 30, 2021 and May 31, 2021, respectively</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17"/>
        </w:trPr>
        <w:tc>
          <w:tcPr>
            <w:tcW w:w="8340" w:type="dxa"/>
            <w:vAlign w:val="bottom"/>
            <w:tcBorders>
              <w:bottom w:val="single" w:sz="8" w:color="CCEEFF"/>
            </w:tcBorders>
          </w:tcPr>
          <w:p>
            <w:pPr>
              <w:ind w:left="660"/>
              <w:spacing w:after="0" w:line="203" w:lineRule="exact"/>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432,368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439,457</w:t>
            </w: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561,438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color w:val="auto"/>
              </w:rPr>
              <w:t>Six Months Ended</w:t>
            </w:r>
          </w:p>
        </w:tc>
      </w:tr>
      <w:tr>
        <w:trPr>
          <w:trHeight w:val="180"/>
        </w:trPr>
        <w:tc>
          <w:tcPr>
            <w:tcW w:w="8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Nov 30, 2021</w:t>
            </w:r>
          </w:p>
        </w:tc>
        <w:tc>
          <w:tcPr>
            <w:tcW w:w="220" w:type="dxa"/>
            <w:vAlign w:val="bottom"/>
          </w:tcPr>
          <w:p>
            <w:pPr>
              <w:spacing w:after="0"/>
              <w:rPr>
                <w:sz w:val="15"/>
                <w:szCs w:val="15"/>
                <w:color w:val="auto"/>
              </w:rPr>
            </w:pPr>
          </w:p>
        </w:tc>
        <w:tc>
          <w:tcPr>
            <w:tcW w:w="1180" w:type="dxa"/>
            <w:vAlign w:val="bottom"/>
          </w:tcPr>
          <w:p>
            <w:pPr>
              <w:jc w:val="right"/>
              <w:ind w:right="233"/>
              <w:spacing w:after="0"/>
              <w:rPr>
                <w:sz w:val="20"/>
                <w:szCs w:val="20"/>
                <w:color w:val="auto"/>
              </w:rPr>
            </w:pPr>
            <w:r>
              <w:rPr>
                <w:rFonts w:ascii="Arial" w:cs="Arial" w:eastAsia="Arial" w:hAnsi="Arial"/>
                <w:sz w:val="14"/>
                <w:szCs w:val="14"/>
                <w:color w:val="auto"/>
              </w:rPr>
              <w:t>Nov 30, 2020</w:t>
            </w:r>
          </w:p>
        </w:tc>
      </w:tr>
      <w:tr>
        <w:trPr>
          <w:trHeight w:val="206"/>
        </w:trPr>
        <w:tc>
          <w:tcPr>
            <w:tcW w:w="8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23"/>
        </w:trPr>
        <w:tc>
          <w:tcPr>
            <w:tcW w:w="83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(15,323)</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(8,536)</w:t>
            </w:r>
          </w:p>
        </w:tc>
      </w:tr>
      <w:tr>
        <w:trPr>
          <w:trHeight w:val="224"/>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834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13,013</w:t>
            </w:r>
          </w:p>
        </w:tc>
      </w:tr>
      <w:tr>
        <w:trPr>
          <w:trHeight w:val="224"/>
        </w:trPr>
        <w:tc>
          <w:tcPr>
            <w:tcW w:w="8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Non-cash lease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r>
      <w:tr>
        <w:trPr>
          <w:trHeight w:val="223"/>
        </w:trPr>
        <w:tc>
          <w:tcPr>
            <w:tcW w:w="8340" w:type="dxa"/>
            <w:vAlign w:val="bottom"/>
          </w:tcPr>
          <w:p>
            <w:pPr>
              <w:ind w:left="660"/>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4,251</w:t>
            </w:r>
          </w:p>
        </w:tc>
      </w:tr>
      <w:tr>
        <w:trPr>
          <w:trHeight w:val="224"/>
        </w:trPr>
        <w:tc>
          <w:tcPr>
            <w:tcW w:w="8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23"/>
        </w:trPr>
        <w:tc>
          <w:tcPr>
            <w:tcW w:w="8340" w:type="dxa"/>
            <w:vAlign w:val="bottom"/>
          </w:tcPr>
          <w:p>
            <w:pPr>
              <w:ind w:left="6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(1,553)</w:t>
            </w:r>
          </w:p>
        </w:tc>
      </w:tr>
      <w:tr>
        <w:trPr>
          <w:trHeight w:val="224"/>
        </w:trPr>
        <w:tc>
          <w:tcPr>
            <w:tcW w:w="8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accounts receivable allowances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8340" w:type="dxa"/>
            <w:vAlign w:val="bottom"/>
          </w:tcPr>
          <w:p>
            <w:pPr>
              <w:ind w:left="660"/>
              <w:spacing w:after="0"/>
              <w:rPr>
                <w:sz w:val="20"/>
                <w:szCs w:val="20"/>
                <w:color w:val="auto"/>
              </w:rPr>
            </w:pPr>
            <w:r>
              <w:rPr>
                <w:rFonts w:ascii="Arial" w:cs="Arial" w:eastAsia="Arial" w:hAnsi="Arial"/>
                <w:sz w:val="18"/>
                <w:szCs w:val="18"/>
                <w:color w:val="auto"/>
              </w:rPr>
              <w:t>Fixed and intangible asset impairments and disposals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4"/>
        </w:trPr>
        <w:tc>
          <w:tcPr>
            <w:tcW w:w="8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3"/>
        </w:trPr>
        <w:tc>
          <w:tcPr>
            <w:tcW w:w="8340" w:type="dxa"/>
            <w:vAlign w:val="bottom"/>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8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r>
      <w:tr>
        <w:trPr>
          <w:trHeight w:val="223"/>
        </w:trPr>
        <w:tc>
          <w:tcPr>
            <w:tcW w:w="8340" w:type="dxa"/>
            <w:vAlign w:val="bottom"/>
          </w:tcPr>
          <w:p>
            <w:pPr>
              <w:ind w:left="10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10,528</w:t>
            </w:r>
          </w:p>
        </w:tc>
      </w:tr>
      <w:tr>
        <w:trPr>
          <w:trHeight w:val="224"/>
        </w:trPr>
        <w:tc>
          <w:tcPr>
            <w:tcW w:w="8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r>
      <w:tr>
        <w:trPr>
          <w:trHeight w:val="223"/>
        </w:trPr>
        <w:tc>
          <w:tcPr>
            <w:tcW w:w="8340" w:type="dxa"/>
            <w:vAlign w:val="bottom"/>
            <w:tcBorders>
              <w:bottom w:val="single" w:sz="8" w:color="CCEEFF"/>
            </w:tcBorders>
          </w:tcPr>
          <w:p>
            <w:pPr>
              <w:ind w:left="1080"/>
              <w:spacing w:after="0"/>
              <w:rPr>
                <w:sz w:val="20"/>
                <w:szCs w:val="20"/>
                <w:color w:val="auto"/>
              </w:rPr>
            </w:pPr>
            <w:r>
              <w:rPr>
                <w:rFonts w:ascii="Arial" w:cs="Arial" w:eastAsia="Arial" w:hAnsi="Arial"/>
                <w:sz w:val="18"/>
                <w:szCs w:val="18"/>
                <w:color w:val="auto"/>
              </w:rPr>
              <w:t>Accounts payable, accrued and other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w:t>
            </w:r>
          </w:p>
        </w:tc>
      </w:tr>
      <w:tr>
        <w:trPr>
          <w:trHeight w:val="217"/>
        </w:trPr>
        <w:tc>
          <w:tcPr>
            <w:tcW w:w="83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Net cash (used in)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w:t>
            </w:r>
          </w:p>
        </w:tc>
      </w:tr>
      <w:tr>
        <w:trPr>
          <w:trHeight w:val="204"/>
        </w:trPr>
        <w:tc>
          <w:tcPr>
            <w:tcW w:w="834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4"/>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property, plant and equipment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r>
      <w:tr>
        <w:trPr>
          <w:trHeight w:val="223"/>
        </w:trPr>
        <w:tc>
          <w:tcPr>
            <w:tcW w:w="8340" w:type="dxa"/>
            <w:vAlign w:val="bottom"/>
          </w:tcPr>
          <w:p>
            <w:pPr>
              <w:ind w:left="340"/>
              <w:spacing w:after="0"/>
              <w:rPr>
                <w:sz w:val="20"/>
                <w:szCs w:val="20"/>
                <w:color w:val="auto"/>
              </w:rPr>
            </w:pPr>
            <w:r>
              <w:rPr>
                <w:rFonts w:ascii="Arial" w:cs="Arial" w:eastAsia="Arial" w:hAnsi="Arial"/>
                <w:sz w:val="18"/>
                <w:szCs w:val="18"/>
                <w:color w:val="auto"/>
              </w:rPr>
              <w:t>Additions to placement and evaluation units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acquisitions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8340" w:type="dxa"/>
            <w:vAlign w:val="bottom"/>
            <w:tcBorders>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w:t>
            </w:r>
          </w:p>
        </w:tc>
      </w:tr>
      <w:tr>
        <w:trPr>
          <w:trHeight w:val="204"/>
        </w:trPr>
        <w:tc>
          <w:tcPr>
            <w:tcW w:w="83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3"/>
        </w:trPr>
        <w:tc>
          <w:tcPr>
            <w:tcW w:w="8340" w:type="dxa"/>
            <w:vAlign w:val="bottom"/>
          </w:tcPr>
          <w:p>
            <w:pPr>
              <w:ind w:left="340"/>
              <w:spacing w:after="0"/>
              <w:rPr>
                <w:sz w:val="20"/>
                <w:szCs w:val="20"/>
                <w:color w:val="auto"/>
              </w:rPr>
            </w:pPr>
            <w:r>
              <w:rPr>
                <w:rFonts w:ascii="Arial" w:cs="Arial" w:eastAsia="Arial" w:hAnsi="Arial"/>
                <w:sz w:val="18"/>
                <w:szCs w:val="18"/>
                <w:color w:val="auto"/>
              </w:rPr>
              <w:t>Proceeds from borrowings on long-term debt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17"/>
        </w:trPr>
        <w:tc>
          <w:tcPr>
            <w:tcW w:w="8340" w:type="dxa"/>
            <w:vAlign w:val="bottom"/>
            <w:tcBorders>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r>
      <w:tr>
        <w:trPr>
          <w:trHeight w:val="217"/>
        </w:trPr>
        <w:tc>
          <w:tcPr>
            <w:tcW w:w="8340" w:type="dxa"/>
            <w:vAlign w:val="bottom"/>
            <w:shd w:val="clear" w:color="auto" w:fill="CCEEFF"/>
          </w:tcPr>
          <w:p>
            <w:pPr>
              <w:ind w:left="1080"/>
              <w:spacing w:after="0" w:line="203" w:lineRule="exact"/>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17"/>
        </w:trPr>
        <w:tc>
          <w:tcPr>
            <w:tcW w:w="8340" w:type="dxa"/>
            <w:vAlign w:val="bottom"/>
          </w:tcPr>
          <w:p>
            <w:pPr>
              <w:ind w:left="1080"/>
              <w:spacing w:after="0" w:line="203" w:lineRule="exact"/>
              <w:rPr>
                <w:sz w:val="20"/>
                <w:szCs w:val="20"/>
                <w:color w:val="auto"/>
              </w:rPr>
            </w:pPr>
            <w:r>
              <w:rPr>
                <w:rFonts w:ascii="Arial" w:cs="Arial" w:eastAsia="Arial" w:hAnsi="Arial"/>
                <w:sz w:val="18"/>
                <w:szCs w:val="18"/>
                <w:color w:val="auto"/>
              </w:rPr>
              <w:t>(Decrease) increase in cash and cash equivalents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3,590</w:t>
            </w:r>
          </w:p>
        </w:tc>
      </w:tr>
      <w:tr>
        <w:trPr>
          <w:trHeight w:val="224"/>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54,435</w:t>
            </w:r>
          </w:p>
        </w:tc>
      </w:tr>
      <w:tr>
        <w:trPr>
          <w:trHeight w:val="217"/>
        </w:trPr>
        <w:tc>
          <w:tcPr>
            <w:tcW w:w="8340" w:type="dxa"/>
            <w:vAlign w:val="bottom"/>
          </w:tcPr>
          <w:p>
            <w:pPr>
              <w:ind w:left="340"/>
              <w:spacing w:after="0" w:line="203" w:lineRule="exact"/>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58,025</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8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1"/>
        </w:trPr>
        <w:tc>
          <w:tcPr>
            <w:tcW w:w="8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3"/>
        </w:trPr>
        <w:tc>
          <w:tcPr>
            <w:tcW w:w="8340" w:type="dxa"/>
            <w:vAlign w:val="bottom"/>
          </w:tcPr>
          <w:p>
            <w:pPr>
              <w:ind w:left="340"/>
              <w:spacing w:after="0"/>
              <w:rPr>
                <w:sz w:val="20"/>
                <w:szCs w:val="20"/>
                <w:color w:val="auto"/>
              </w:rPr>
            </w:pPr>
            <w:r>
              <w:rPr>
                <w:rFonts w:ascii="Arial" w:cs="Arial" w:eastAsia="Arial" w:hAnsi="Arial"/>
                <w:sz w:val="18"/>
                <w:szCs w:val="18"/>
                <w:color w:val="auto"/>
              </w:rPr>
              <w:t>Accrual for capital expenditures incurred during the period</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040" w:type="dxa"/>
            <w:vAlign w:val="bottom"/>
            <w:gridSpan w:val="5"/>
          </w:tcPr>
          <w:p>
            <w:pPr>
              <w:ind w:left="54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Accumulated</w:t>
            </w:r>
          </w:p>
        </w:tc>
        <w:tc>
          <w:tcPr>
            <w:tcW w:w="1980" w:type="dxa"/>
            <w:vAlign w:val="bottom"/>
            <w:gridSpan w:val="5"/>
          </w:tcPr>
          <w:p>
            <w:pPr>
              <w:ind w:left="52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7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restart"/>
          </w:tcPr>
          <w:p>
            <w:pPr>
              <w:jc w:val="center"/>
              <w:ind w:right="240"/>
              <w:spacing w:after="0" w:line="132" w:lineRule="exact"/>
              <w:rPr>
                <w:sz w:val="20"/>
                <w:szCs w:val="20"/>
                <w:color w:val="auto"/>
              </w:rPr>
            </w:pPr>
            <w:r>
              <w:rPr>
                <w:rFonts w:ascii="Arial" w:cs="Arial" w:eastAsia="Arial" w:hAnsi="Arial"/>
                <w:sz w:val="14"/>
                <w:szCs w:val="14"/>
                <w:color w:val="auto"/>
                <w:w w:val="97"/>
              </w:rPr>
              <w:t>Additional</w:t>
            </w:r>
          </w:p>
        </w:tc>
        <w:tc>
          <w:tcPr>
            <w:tcW w:w="140" w:type="dxa"/>
            <w:vAlign w:val="bottom"/>
          </w:tcPr>
          <w:p>
            <w:pPr>
              <w:spacing w:after="0"/>
              <w:rPr>
                <w:sz w:val="3"/>
                <w:szCs w:val="3"/>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3"/>
                <w:szCs w:val="3"/>
                <w:color w:val="auto"/>
              </w:rPr>
            </w:pPr>
          </w:p>
        </w:tc>
        <w:tc>
          <w:tcPr>
            <w:tcW w:w="1160" w:type="dxa"/>
            <w:vAlign w:val="bottom"/>
            <w:gridSpan w:val="2"/>
            <w:vMerge w:val="restart"/>
          </w:tcPr>
          <w:p>
            <w:pPr>
              <w:jc w:val="center"/>
              <w:ind w:right="240"/>
              <w:spacing w:after="0" w:line="132" w:lineRule="exact"/>
              <w:rPr>
                <w:sz w:val="20"/>
                <w:szCs w:val="20"/>
                <w:color w:val="auto"/>
              </w:rPr>
            </w:pPr>
            <w:r>
              <w:rPr>
                <w:rFonts w:ascii="Arial" w:cs="Arial" w:eastAsia="Arial" w:hAnsi="Arial"/>
                <w:sz w:val="14"/>
                <w:szCs w:val="14"/>
                <w:color w:val="auto"/>
                <w:w w:val="87"/>
              </w:rPr>
              <w:t>other</w:t>
            </w: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2"/>
        </w:trPr>
        <w:tc>
          <w:tcPr>
            <w:tcW w:w="2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740" w:type="dxa"/>
            <w:vAlign w:val="bottom"/>
          </w:tcPr>
          <w:p>
            <w:pPr>
              <w:spacing w:after="0"/>
              <w:rPr>
                <w:sz w:val="11"/>
                <w:szCs w:val="11"/>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2" w:lineRule="exact"/>
              <w:rPr>
                <w:sz w:val="20"/>
                <w:szCs w:val="20"/>
                <w:color w:val="auto"/>
              </w:rPr>
            </w:pPr>
            <w:r>
              <w:rPr>
                <w:rFonts w:ascii="Arial" w:cs="Arial" w:eastAsia="Arial" w:hAnsi="Arial"/>
                <w:sz w:val="14"/>
                <w:szCs w:val="14"/>
                <w:color w:val="auto"/>
                <w:w w:val="96"/>
              </w:rPr>
              <w:t>paid in</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2" w:lineRule="exact"/>
              <w:rPr>
                <w:sz w:val="20"/>
                <w:szCs w:val="20"/>
                <w:color w:val="auto"/>
              </w:rPr>
            </w:pPr>
            <w:r>
              <w:rPr>
                <w:rFonts w:ascii="Arial" w:cs="Arial" w:eastAsia="Arial" w:hAnsi="Arial"/>
                <w:sz w:val="14"/>
                <w:szCs w:val="14"/>
                <w:color w:val="auto"/>
                <w:w w:val="88"/>
              </w:rPr>
              <w:t>comprehensive</w:t>
            </w: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1"/>
                <w:szCs w:val="11"/>
                <w:color w:val="auto"/>
              </w:rPr>
            </w:pPr>
          </w:p>
        </w:tc>
        <w:tc>
          <w:tcPr>
            <w:tcW w:w="760" w:type="dxa"/>
            <w:vAlign w:val="bottom"/>
            <w:vMerge w:val="restart"/>
          </w:tcPr>
          <w:p>
            <w:pPr>
              <w:jc w:val="right"/>
              <w:ind w:right="26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2"/>
        </w:trPr>
        <w:tc>
          <w:tcPr>
            <w:tcW w:w="27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capital</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deficit</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income</w:t>
            </w: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May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38,920,951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573,507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(131,866)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(370,000)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439,457</w:t>
            </w:r>
          </w:p>
        </w:tc>
        <w:tc>
          <w:tcPr>
            <w:tcW w:w="0" w:type="dxa"/>
            <w:vAlign w:val="bottom"/>
          </w:tcPr>
          <w:p>
            <w:pPr>
              <w:spacing w:after="0"/>
              <w:rPr>
                <w:sz w:val="1"/>
                <w:szCs w:val="1"/>
                <w:color w:val="auto"/>
              </w:rPr>
            </w:pPr>
          </w:p>
        </w:tc>
      </w:tr>
      <w:tr>
        <w:trPr>
          <w:trHeight w:val="207"/>
        </w:trPr>
        <w:tc>
          <w:tcPr>
            <w:tcW w:w="27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(6,972)</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0" w:type="dxa"/>
            <w:vAlign w:val="bottom"/>
          </w:tcPr>
          <w:p>
            <w:pPr>
              <w:spacing w:after="0"/>
              <w:rPr>
                <w:sz w:val="1"/>
                <w:szCs w:val="1"/>
                <w:color w:val="auto"/>
              </w:rPr>
            </w:pPr>
          </w:p>
        </w:tc>
      </w:tr>
      <w:tr>
        <w:trPr>
          <w:trHeight w:val="161"/>
        </w:trPr>
        <w:tc>
          <w:tcPr>
            <w:tcW w:w="2740" w:type="dxa"/>
            <w:vAlign w:val="bottom"/>
          </w:tcPr>
          <w:p>
            <w:pPr>
              <w:ind w:left="20"/>
              <w:spacing w:after="0" w:line="161" w:lineRule="exact"/>
              <w:rPr>
                <w:sz w:val="20"/>
                <w:szCs w:val="20"/>
                <w:color w:val="auto"/>
              </w:rPr>
            </w:pPr>
            <w:r>
              <w:rPr>
                <w:rFonts w:ascii="Arial" w:cs="Arial" w:eastAsia="Arial" w:hAnsi="Arial"/>
                <w:sz w:val="16"/>
                <w:szCs w:val="16"/>
                <w:color w:val="auto"/>
                <w:w w:val="94"/>
              </w:rPr>
              <w:t>Issuance/Cancellation of restricted stock</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279,495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(1,734)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(1,734)</w:t>
            </w:r>
          </w:p>
        </w:tc>
        <w:tc>
          <w:tcPr>
            <w:tcW w:w="0" w:type="dxa"/>
            <w:vAlign w:val="bottom"/>
          </w:tcPr>
          <w:p>
            <w:pPr>
              <w:spacing w:after="0"/>
              <w:rPr>
                <w:sz w:val="1"/>
                <w:szCs w:val="1"/>
                <w:color w:val="auto"/>
              </w:rPr>
            </w:pPr>
          </w:p>
        </w:tc>
      </w:tr>
      <w:tr>
        <w:trPr>
          <w:trHeight w:val="204"/>
        </w:trPr>
        <w:tc>
          <w:tcPr>
            <w:tcW w:w="2740" w:type="dxa"/>
            <w:vAlign w:val="bottom"/>
          </w:tcPr>
          <w:p>
            <w:pPr>
              <w:ind w:left="20"/>
              <w:spacing w:after="0"/>
              <w:rPr>
                <w:sz w:val="20"/>
                <w:szCs w:val="20"/>
                <w:color w:val="auto"/>
              </w:rPr>
            </w:pPr>
            <w:r>
              <w:rPr>
                <w:rFonts w:ascii="Arial" w:cs="Arial" w:eastAsia="Arial" w:hAnsi="Arial"/>
                <w:sz w:val="16"/>
                <w:szCs w:val="16"/>
                <w:color w:val="auto"/>
              </w:rPr>
              <w:t>units</w:t>
            </w: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7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Issuance/Cancellation of performance</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59,371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40" w:type="dxa"/>
            <w:vAlign w:val="bottom"/>
          </w:tcPr>
          <w:p>
            <w:pPr>
              <w:ind w:left="20"/>
              <w:spacing w:after="0"/>
              <w:rPr>
                <w:sz w:val="20"/>
                <w:szCs w:val="20"/>
                <w:color w:val="auto"/>
              </w:rPr>
            </w:pPr>
            <w:r>
              <w:rPr>
                <w:rFonts w:ascii="Arial" w:cs="Arial" w:eastAsia="Arial" w:hAnsi="Arial"/>
                <w:sz w:val="16"/>
                <w:szCs w:val="16"/>
                <w:color w:val="auto"/>
                <w:w w:val="91"/>
              </w:rPr>
              <w:t>Purchases of common stock under ESPP</w:t>
            </w:r>
          </w:p>
        </w:tc>
        <w:tc>
          <w:tcPr>
            <w:tcW w:w="1100" w:type="dxa"/>
            <w:vAlign w:val="bottom"/>
          </w:tcPr>
          <w:p>
            <w:pPr>
              <w:jc w:val="right"/>
              <w:spacing w:after="0"/>
              <w:rPr>
                <w:sz w:val="20"/>
                <w:szCs w:val="20"/>
                <w:color w:val="auto"/>
              </w:rPr>
            </w:pPr>
            <w:r>
              <w:rPr>
                <w:rFonts w:ascii="Arial" w:cs="Arial" w:eastAsia="Arial" w:hAnsi="Arial"/>
                <w:sz w:val="16"/>
                <w:szCs w:val="16"/>
                <w:color w:val="auto"/>
              </w:rPr>
              <w:t>49,789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w:t>
            </w:r>
          </w:p>
        </w:tc>
        <w:tc>
          <w:tcPr>
            <w:tcW w:w="0" w:type="dxa"/>
            <w:vAlign w:val="bottom"/>
          </w:tcPr>
          <w:p>
            <w:pPr>
              <w:spacing w:after="0"/>
              <w:rPr>
                <w:sz w:val="1"/>
                <w:szCs w:val="1"/>
                <w:color w:val="auto"/>
              </w:rPr>
            </w:pPr>
          </w:p>
        </w:tc>
      </w:tr>
      <w:tr>
        <w:trPr>
          <w:trHeight w:val="207"/>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5"/>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August 31, 2021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39,390,241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576,380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435,950</w:t>
            </w:r>
          </w:p>
        </w:tc>
        <w:tc>
          <w:tcPr>
            <w:tcW w:w="0" w:type="dxa"/>
            <w:vAlign w:val="bottom"/>
          </w:tcPr>
          <w:p>
            <w:pPr>
              <w:spacing w:after="0"/>
              <w:rPr>
                <w:sz w:val="1"/>
                <w:szCs w:val="1"/>
                <w:color w:val="auto"/>
              </w:rPr>
            </w:pPr>
          </w:p>
        </w:tc>
      </w:tr>
      <w:tr>
        <w:trPr>
          <w:trHeight w:val="207"/>
        </w:trPr>
        <w:tc>
          <w:tcPr>
            <w:tcW w:w="27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(8,351)</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0" w:type="dxa"/>
            <w:vAlign w:val="bottom"/>
          </w:tcPr>
          <w:p>
            <w:pPr>
              <w:spacing w:after="0"/>
              <w:rPr>
                <w:sz w:val="1"/>
                <w:szCs w:val="1"/>
                <w:color w:val="auto"/>
              </w:rPr>
            </w:pPr>
          </w:p>
        </w:tc>
      </w:tr>
      <w:tr>
        <w:trPr>
          <w:trHeight w:val="161"/>
        </w:trPr>
        <w:tc>
          <w:tcPr>
            <w:tcW w:w="2740" w:type="dxa"/>
            <w:vAlign w:val="bottom"/>
          </w:tcPr>
          <w:p>
            <w:pPr>
              <w:ind w:left="20"/>
              <w:spacing w:after="0" w:line="161" w:lineRule="exact"/>
              <w:rPr>
                <w:sz w:val="20"/>
                <w:szCs w:val="20"/>
                <w:color w:val="auto"/>
              </w:rPr>
            </w:pPr>
            <w:r>
              <w:rPr>
                <w:rFonts w:ascii="Arial" w:cs="Arial" w:eastAsia="Arial" w:hAnsi="Arial"/>
                <w:sz w:val="16"/>
                <w:szCs w:val="16"/>
                <w:color w:val="auto"/>
                <w:w w:val="94"/>
              </w:rPr>
              <w:t>Issuance/Cancellation of restricted stock</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8,695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4"/>
        </w:trPr>
        <w:tc>
          <w:tcPr>
            <w:tcW w:w="2740" w:type="dxa"/>
            <w:vAlign w:val="bottom"/>
          </w:tcPr>
          <w:p>
            <w:pPr>
              <w:ind w:left="20"/>
              <w:spacing w:after="0"/>
              <w:rPr>
                <w:sz w:val="20"/>
                <w:szCs w:val="20"/>
                <w:color w:val="auto"/>
              </w:rPr>
            </w:pPr>
            <w:r>
              <w:rPr>
                <w:rFonts w:ascii="Arial" w:cs="Arial" w:eastAsia="Arial" w:hAnsi="Arial"/>
                <w:sz w:val="16"/>
                <w:szCs w:val="16"/>
                <w:color w:val="auto"/>
              </w:rPr>
              <w:t>units</w:t>
            </w: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Purchases of common stock under ESPP</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7"/>
        </w:trPr>
        <w:tc>
          <w:tcPr>
            <w:tcW w:w="27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3,008</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Other comprehensive income, net of tax</w:t>
            </w:r>
          </w:p>
        </w:tc>
        <w:tc>
          <w:tcPr>
            <w:tcW w:w="1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197"/>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Balance at November 30, 2021</w:t>
            </w:r>
          </w:p>
        </w:tc>
        <w:tc>
          <w:tcPr>
            <w:tcW w:w="1100" w:type="dxa"/>
            <w:vAlign w:val="bottom"/>
          </w:tcPr>
          <w:p>
            <w:pPr>
              <w:jc w:val="right"/>
              <w:spacing w:after="0"/>
              <w:rPr>
                <w:sz w:val="20"/>
                <w:szCs w:val="20"/>
                <w:color w:val="auto"/>
              </w:rPr>
            </w:pPr>
            <w:r>
              <w:rPr>
                <w:rFonts w:ascii="Arial" w:cs="Arial" w:eastAsia="Arial" w:hAnsi="Arial"/>
                <w:sz w:val="16"/>
                <w:szCs w:val="16"/>
                <w:color w:val="auto"/>
              </w:rPr>
              <w:t>39,455,193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580,330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(147,189)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4,562</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(370,000)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432,368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74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8"/>
        </w:trPr>
        <w:tc>
          <w:tcPr>
            <w:tcW w:w="1000" w:type="dxa"/>
            <w:vAlign w:val="bottom"/>
            <w:tcBorders>
              <w:top w:val="single" w:sz="8" w:color="0000FF"/>
            </w:tcBorders>
          </w:tcPr>
          <w:p>
            <w:pPr>
              <w:spacing w:after="0"/>
              <w:rPr>
                <w:sz w:val="24"/>
                <w:szCs w:val="24"/>
                <w:color w:val="auto"/>
              </w:rPr>
            </w:pPr>
          </w:p>
        </w:tc>
        <w:tc>
          <w:tcPr>
            <w:tcW w:w="1740" w:type="dxa"/>
            <w:vAlign w:val="bottom"/>
          </w:tcPr>
          <w:p>
            <w:pPr>
              <w:spacing w:after="0"/>
              <w:rPr>
                <w:sz w:val="24"/>
                <w:szCs w:val="24"/>
                <w:color w:val="auto"/>
              </w:rPr>
            </w:pPr>
          </w:p>
        </w:tc>
        <w:tc>
          <w:tcPr>
            <w:tcW w:w="2040" w:type="dxa"/>
            <w:vAlign w:val="bottom"/>
            <w:gridSpan w:val="5"/>
          </w:tcPr>
          <w:p>
            <w:pPr>
              <w:ind w:left="54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Accumulated</w:t>
            </w:r>
          </w:p>
        </w:tc>
        <w:tc>
          <w:tcPr>
            <w:tcW w:w="1980" w:type="dxa"/>
            <w:vAlign w:val="bottom"/>
            <w:gridSpan w:val="5"/>
          </w:tcPr>
          <w:p>
            <w:pPr>
              <w:ind w:left="52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10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restart"/>
          </w:tcPr>
          <w:p>
            <w:pPr>
              <w:jc w:val="center"/>
              <w:ind w:right="240"/>
              <w:spacing w:after="0" w:line="132" w:lineRule="exact"/>
              <w:rPr>
                <w:sz w:val="20"/>
                <w:szCs w:val="20"/>
                <w:color w:val="auto"/>
              </w:rPr>
            </w:pPr>
            <w:r>
              <w:rPr>
                <w:rFonts w:ascii="Arial" w:cs="Arial" w:eastAsia="Arial" w:hAnsi="Arial"/>
                <w:sz w:val="14"/>
                <w:szCs w:val="14"/>
                <w:color w:val="auto"/>
                <w:w w:val="97"/>
              </w:rPr>
              <w:t>Additional</w:t>
            </w:r>
          </w:p>
        </w:tc>
        <w:tc>
          <w:tcPr>
            <w:tcW w:w="140" w:type="dxa"/>
            <w:vAlign w:val="bottom"/>
          </w:tcPr>
          <w:p>
            <w:pPr>
              <w:spacing w:after="0"/>
              <w:rPr>
                <w:sz w:val="3"/>
                <w:szCs w:val="3"/>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3"/>
                <w:szCs w:val="3"/>
                <w:color w:val="auto"/>
              </w:rPr>
            </w:pPr>
          </w:p>
        </w:tc>
        <w:tc>
          <w:tcPr>
            <w:tcW w:w="1160" w:type="dxa"/>
            <w:vAlign w:val="bottom"/>
            <w:gridSpan w:val="2"/>
            <w:vMerge w:val="restart"/>
          </w:tcPr>
          <w:p>
            <w:pPr>
              <w:jc w:val="center"/>
              <w:ind w:right="240"/>
              <w:spacing w:after="0" w:line="132" w:lineRule="exact"/>
              <w:rPr>
                <w:sz w:val="20"/>
                <w:szCs w:val="20"/>
                <w:color w:val="auto"/>
              </w:rPr>
            </w:pPr>
            <w:r>
              <w:rPr>
                <w:rFonts w:ascii="Arial" w:cs="Arial" w:eastAsia="Arial" w:hAnsi="Arial"/>
                <w:sz w:val="14"/>
                <w:szCs w:val="14"/>
                <w:color w:val="auto"/>
                <w:w w:val="87"/>
              </w:rPr>
              <w:t>other</w:t>
            </w: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2"/>
        </w:trPr>
        <w:tc>
          <w:tcPr>
            <w:tcW w:w="10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2" w:lineRule="exact"/>
              <w:rPr>
                <w:sz w:val="20"/>
                <w:szCs w:val="20"/>
                <w:color w:val="auto"/>
              </w:rPr>
            </w:pPr>
            <w:r>
              <w:rPr>
                <w:rFonts w:ascii="Arial" w:cs="Arial" w:eastAsia="Arial" w:hAnsi="Arial"/>
                <w:sz w:val="14"/>
                <w:szCs w:val="14"/>
                <w:color w:val="auto"/>
                <w:w w:val="96"/>
              </w:rPr>
              <w:t>paid in</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2" w:lineRule="exact"/>
              <w:rPr>
                <w:sz w:val="20"/>
                <w:szCs w:val="20"/>
                <w:color w:val="auto"/>
              </w:rPr>
            </w:pPr>
            <w:r>
              <w:rPr>
                <w:rFonts w:ascii="Arial" w:cs="Arial" w:eastAsia="Arial" w:hAnsi="Arial"/>
                <w:sz w:val="14"/>
                <w:szCs w:val="14"/>
                <w:color w:val="auto"/>
                <w:w w:val="88"/>
              </w:rPr>
              <w:t>comprehensive</w:t>
            </w: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1"/>
                <w:szCs w:val="11"/>
                <w:color w:val="auto"/>
              </w:rPr>
            </w:pPr>
          </w:p>
        </w:tc>
        <w:tc>
          <w:tcPr>
            <w:tcW w:w="760" w:type="dxa"/>
            <w:vAlign w:val="bottom"/>
            <w:vMerge w:val="restart"/>
          </w:tcPr>
          <w:p>
            <w:pPr>
              <w:jc w:val="right"/>
              <w:ind w:right="26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capital</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deficit</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income (loss)</w:t>
            </w: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May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38,448,536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561,871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(370,000)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454,872</w:t>
            </w:r>
          </w:p>
        </w:tc>
        <w:tc>
          <w:tcPr>
            <w:tcW w:w="0" w:type="dxa"/>
            <w:vAlign w:val="bottom"/>
          </w:tcPr>
          <w:p>
            <w:pPr>
              <w:spacing w:after="0"/>
              <w:rPr>
                <w:sz w:val="1"/>
                <w:szCs w:val="1"/>
                <w:color w:val="auto"/>
              </w:rPr>
            </w:pPr>
          </w:p>
        </w:tc>
      </w:tr>
      <w:tr>
        <w:trPr>
          <w:trHeight w:val="207"/>
        </w:trPr>
        <w:tc>
          <w:tcPr>
            <w:tcW w:w="274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(4,268)</w:t>
            </w:r>
          </w:p>
        </w:tc>
        <w:tc>
          <w:tcPr>
            <w:tcW w:w="0" w:type="dxa"/>
            <w:vAlign w:val="bottom"/>
          </w:tcPr>
          <w:p>
            <w:pPr>
              <w:spacing w:after="0"/>
              <w:rPr>
                <w:sz w:val="1"/>
                <w:szCs w:val="1"/>
                <w:color w:val="auto"/>
              </w:rPr>
            </w:pPr>
          </w:p>
        </w:tc>
      </w:tr>
      <w:tr>
        <w:trPr>
          <w:trHeight w:val="164"/>
        </w:trPr>
        <w:tc>
          <w:tcPr>
            <w:tcW w:w="274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w w:val="94"/>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164,946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7"/>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40" w:type="dxa"/>
            <w:vAlign w:val="bottom"/>
            <w:gridSpan w:val="2"/>
          </w:tcPr>
          <w:p>
            <w:pPr>
              <w:ind w:left="20"/>
              <w:spacing w:after="0"/>
              <w:rPr>
                <w:sz w:val="20"/>
                <w:szCs w:val="20"/>
                <w:color w:val="auto"/>
              </w:rPr>
            </w:pPr>
            <w:r>
              <w:rPr>
                <w:rFonts w:ascii="Arial" w:cs="Arial" w:eastAsia="Arial" w:hAnsi="Arial"/>
                <w:sz w:val="16"/>
                <w:szCs w:val="16"/>
                <w:color w:val="auto"/>
                <w:w w:val="91"/>
              </w:rPr>
              <w:t>Purchases of common stock under ESPP</w:t>
            </w:r>
          </w:p>
        </w:tc>
        <w:tc>
          <w:tcPr>
            <w:tcW w:w="1100" w:type="dxa"/>
            <w:vAlign w:val="bottom"/>
          </w:tcPr>
          <w:p>
            <w:pPr>
              <w:jc w:val="right"/>
              <w:spacing w:after="0"/>
              <w:rPr>
                <w:sz w:val="20"/>
                <w:szCs w:val="20"/>
                <w:color w:val="auto"/>
              </w:rPr>
            </w:pPr>
            <w:r>
              <w:rPr>
                <w:rFonts w:ascii="Arial" w:cs="Arial" w:eastAsia="Arial" w:hAnsi="Arial"/>
                <w:sz w:val="16"/>
                <w:szCs w:val="16"/>
                <w:color w:val="auto"/>
              </w:rPr>
              <w:t>79,596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14"/>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207"/>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w w:val="95"/>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w:t>
            </w:r>
          </w:p>
        </w:tc>
        <w:tc>
          <w:tcPr>
            <w:tcW w:w="0" w:type="dxa"/>
            <w:vAlign w:val="bottom"/>
          </w:tcPr>
          <w:p>
            <w:pPr>
              <w:spacing w:after="0"/>
              <w:rPr>
                <w:sz w:val="1"/>
                <w:szCs w:val="1"/>
                <w:color w:val="auto"/>
              </w:rPr>
            </w:pPr>
          </w:p>
        </w:tc>
      </w:tr>
      <w:tr>
        <w:trPr>
          <w:trHeight w:val="207"/>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August 31, 2020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38,693,078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455,054</w:t>
            </w:r>
          </w:p>
        </w:tc>
        <w:tc>
          <w:tcPr>
            <w:tcW w:w="0" w:type="dxa"/>
            <w:vAlign w:val="bottom"/>
          </w:tcPr>
          <w:p>
            <w:pPr>
              <w:spacing w:after="0"/>
              <w:rPr>
                <w:sz w:val="1"/>
                <w:szCs w:val="1"/>
                <w:color w:val="auto"/>
              </w:rPr>
            </w:pPr>
          </w:p>
        </w:tc>
      </w:tr>
      <w:tr>
        <w:trPr>
          <w:trHeight w:val="207"/>
        </w:trPr>
        <w:tc>
          <w:tcPr>
            <w:tcW w:w="274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(4,268)</w:t>
            </w:r>
          </w:p>
        </w:tc>
        <w:tc>
          <w:tcPr>
            <w:tcW w:w="0" w:type="dxa"/>
            <w:vAlign w:val="bottom"/>
          </w:tcPr>
          <w:p>
            <w:pPr>
              <w:spacing w:after="0"/>
              <w:rPr>
                <w:sz w:val="1"/>
                <w:szCs w:val="1"/>
                <w:color w:val="auto"/>
              </w:rPr>
            </w:pPr>
          </w:p>
        </w:tc>
      </w:tr>
      <w:tr>
        <w:trPr>
          <w:trHeight w:val="164"/>
        </w:trPr>
        <w:tc>
          <w:tcPr>
            <w:tcW w:w="274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w w:val="94"/>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8,952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7"/>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4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2,387</w:t>
            </w:r>
          </w:p>
        </w:tc>
        <w:tc>
          <w:tcPr>
            <w:tcW w:w="0" w:type="dxa"/>
            <w:vAlign w:val="bottom"/>
          </w:tcPr>
          <w:p>
            <w:pPr>
              <w:spacing w:after="0"/>
              <w:rPr>
                <w:sz w:val="1"/>
                <w:szCs w:val="1"/>
                <w:color w:val="auto"/>
              </w:rPr>
            </w:pPr>
          </w:p>
        </w:tc>
      </w:tr>
      <w:tr>
        <w:trPr>
          <w:trHeight w:val="214"/>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5"/>
              </w:rPr>
              <w:t>Other comprehensive income, net of tax</w:t>
            </w:r>
          </w:p>
        </w:tc>
        <w:tc>
          <w:tcPr>
            <w:tcW w:w="1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197"/>
        </w:trPr>
        <w:tc>
          <w:tcPr>
            <w:tcW w:w="274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November 30, 2020</w:t>
            </w:r>
          </w:p>
        </w:tc>
        <w:tc>
          <w:tcPr>
            <w:tcW w:w="1100" w:type="dxa"/>
            <w:vAlign w:val="bottom"/>
          </w:tcPr>
          <w:p>
            <w:pPr>
              <w:jc w:val="right"/>
              <w:spacing w:after="0"/>
              <w:rPr>
                <w:sz w:val="20"/>
                <w:szCs w:val="20"/>
                <w:color w:val="auto"/>
              </w:rPr>
            </w:pPr>
            <w:r>
              <w:rPr>
                <w:rFonts w:ascii="Arial" w:cs="Arial" w:eastAsia="Arial" w:hAnsi="Arial"/>
                <w:sz w:val="16"/>
                <w:szCs w:val="16"/>
                <w:color w:val="auto"/>
              </w:rPr>
              <w:t>38,702,030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566,602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(108,854)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1,934</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(370,000)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454,343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50" w:lineRule="exact"/>
        <w:rPr>
          <w:sz w:val="20"/>
          <w:szCs w:val="20"/>
          <w:color w:val="auto"/>
        </w:rPr>
      </w:pPr>
    </w:p>
    <w:p>
      <w:pPr>
        <w:ind w:right="80" w:firstLine="395"/>
        <w:spacing w:after="0" w:line="304" w:lineRule="auto"/>
        <w:rPr>
          <w:sz w:val="20"/>
          <w:szCs w:val="20"/>
          <w:color w:val="auto"/>
        </w:rPr>
      </w:pPr>
      <w:r>
        <w:rPr>
          <w:rFonts w:ascii="Arial" w:cs="Arial" w:eastAsia="Arial" w:hAnsi="Arial"/>
          <w:sz w:val="15"/>
          <w:szCs w:val="15"/>
          <w:color w:val="auto"/>
        </w:rPr>
        <w:t>The Consolidated Statements of Operations and the Consolidated Statements of Comprehensive Loss for the three and six months ended November 30, 2021 and 2020, the Consolidated Balance Sheet as of November 30, 2021, the Consolidated Statements of Cash Flows for the six months ended November 30, 2021 and 2020, and the Consolidated Statements of Stockholders’ Equity for the six months ended November 30, 2021 and 2020 have been prepared by the Company and are unaudited. The Consolidated Balance Sheet as of May 31, 2021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November 30, 2021 (and for all periods presented) have been made.</w:t>
      </w:r>
    </w:p>
    <w:p>
      <w:pPr>
        <w:spacing w:after="0" w:line="102" w:lineRule="exact"/>
        <w:rPr>
          <w:sz w:val="20"/>
          <w:szCs w:val="20"/>
          <w:color w:val="auto"/>
        </w:rPr>
      </w:pPr>
    </w:p>
    <w:p>
      <w:pPr>
        <w:ind w:right="360" w:firstLine="395"/>
        <w:spacing w:after="0" w:line="252" w:lineRule="auto"/>
        <w:rPr>
          <w:sz w:val="20"/>
          <w:szCs w:val="20"/>
          <w:color w:val="auto"/>
        </w:rPr>
      </w:pPr>
      <w:r>
        <w:rPr>
          <w:rFonts w:ascii="Arial" w:cs="Arial" w:eastAsia="Arial" w:hAnsi="Arial"/>
          <w:sz w:val="18"/>
          <w:szCs w:val="18"/>
          <w:color w:val="auto"/>
        </w:rPr>
        <w:t>The unaudited interim consolidated financial statements for the three and six months ended November 30, 2021 and 2020 include the accounts of AngioDynamics, Inc. and its wholly owned subsidiaries, collectively, "us", "we" or the “Company”. All intercompany balances and transactions have been eliminated.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Camaro Support Catheter Asset Acquisition</w:t>
      </w:r>
    </w:p>
    <w:p>
      <w:pPr>
        <w:spacing w:after="0" w:line="167" w:lineRule="exact"/>
        <w:rPr>
          <w:sz w:val="20"/>
          <w:szCs w:val="20"/>
          <w:color w:val="auto"/>
        </w:rPr>
      </w:pPr>
    </w:p>
    <w:p>
      <w:pPr>
        <w:ind w:right="40" w:firstLine="395"/>
        <w:spacing w:after="0" w:line="284" w:lineRule="auto"/>
        <w:rPr>
          <w:sz w:val="20"/>
          <w:szCs w:val="20"/>
          <w:color w:val="auto"/>
        </w:rPr>
      </w:pPr>
      <w:r>
        <w:rPr>
          <w:rFonts w:ascii="Arial" w:cs="Arial" w:eastAsia="Arial" w:hAnsi="Arial"/>
          <w:sz w:val="16"/>
          <w:szCs w:val="16"/>
          <w:color w:val="auto"/>
        </w:rPr>
        <w:t>On July 27, 2021, the Company acquired the Camaro support catheter (rebranded as Syntrax) from QX Medical, LLC for an aggregate purchase price of $4.0 million, which included an upfront payment of $3.6 million and $0.4 million in purchase price holdbacks, along with $1.0 million of potential future contingent consideration related to revenue milestones. This acquisition supports the Auryon product family and the Company's strategic plan. The Company accounted for this acquisition as an asset purchase. The Company recorded the amount paid at closing as inventory and fixed assets of $0.1 million and an intangible asset product technology of $3.9 million. The intangible asset will be amortized over 15 years. The contingent consideration is comprised of revenue milestones and will be accounted for when the contingency is resolved or becomes probable and reasonably estimable.</w:t>
      </w:r>
    </w:p>
    <w:p>
      <w:pPr>
        <w:spacing w:after="0" w:line="161" w:lineRule="exact"/>
        <w:rPr>
          <w:sz w:val="20"/>
          <w:szCs w:val="20"/>
          <w:color w:val="auto"/>
        </w:rPr>
      </w:pPr>
    </w:p>
    <w:p>
      <w:pPr>
        <w:ind w:right="6780" w:firstLine="5"/>
        <w:spacing w:after="0" w:line="430" w:lineRule="auto"/>
        <w:tabs>
          <w:tab w:leader="none" w:pos="17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Revenue Recognition</w:t>
      </w:r>
    </w:p>
    <w:p>
      <w:pPr>
        <w:spacing w:after="0" w:line="1" w:lineRule="exact"/>
        <w:rPr>
          <w:sz w:val="20"/>
          <w:szCs w:val="20"/>
          <w:color w:val="auto"/>
        </w:rPr>
      </w:pPr>
    </w:p>
    <w:p>
      <w:pPr>
        <w:ind w:right="260" w:firstLine="395"/>
        <w:spacing w:after="0" w:line="287" w:lineRule="auto"/>
        <w:rPr>
          <w:sz w:val="20"/>
          <w:szCs w:val="20"/>
          <w:color w:val="auto"/>
        </w:rPr>
      </w:pPr>
      <w:r>
        <w:rPr>
          <w:rFonts w:ascii="Arial" w:cs="Arial" w:eastAsia="Arial" w:hAnsi="Arial"/>
          <w:sz w:val="16"/>
          <w:szCs w:val="16"/>
          <w:color w:val="auto"/>
        </w:rPr>
        <w:t xml:space="preserve">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has one primary revenue stream which is the sales of its products.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net sales by Global Business Unit ("GBU") and geography: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center"/>
              <w:ind w:left="498"/>
              <w:spacing w:after="0"/>
              <w:rPr>
                <w:sz w:val="20"/>
                <w:szCs w:val="20"/>
                <w:color w:val="auto"/>
              </w:rPr>
            </w:pPr>
            <w:r>
              <w:rPr>
                <w:rFonts w:ascii="Arial" w:cs="Arial" w:eastAsia="Arial" w:hAnsi="Arial"/>
                <w:sz w:val="14"/>
                <w:szCs w:val="14"/>
                <w:color w:val="auto"/>
                <w:w w:val="90"/>
              </w:rPr>
              <w:t>Three Months Ended Nov 30, 2021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jc w:val="center"/>
              <w:ind w:left="518"/>
              <w:spacing w:after="0"/>
              <w:rPr>
                <w:sz w:val="20"/>
                <w:szCs w:val="20"/>
                <w:color w:val="auto"/>
              </w:rPr>
            </w:pPr>
            <w:r>
              <w:rPr>
                <w:rFonts w:ascii="Arial" w:cs="Arial" w:eastAsia="Arial" w:hAnsi="Arial"/>
                <w:sz w:val="14"/>
                <w:szCs w:val="14"/>
                <w:color w:val="auto"/>
                <w:w w:val="90"/>
              </w:rPr>
              <w:t>Three Months Ended Nov 30, 2020</w:t>
            </w:r>
          </w:p>
        </w:tc>
        <w:tc>
          <w:tcPr>
            <w:tcW w:w="720" w:type="dxa"/>
            <w:vAlign w:val="bottom"/>
            <w:tcBorders>
              <w:bottom w:val="single" w:sz="8" w:color="auto"/>
            </w:tcBorders>
          </w:tcPr>
          <w:p>
            <w:pPr>
              <w:spacing w:after="0"/>
              <w:rPr>
                <w:sz w:val="15"/>
                <w:szCs w:val="15"/>
                <w:color w:val="auto"/>
              </w:rPr>
            </w:pPr>
          </w:p>
        </w:tc>
      </w:tr>
      <w:tr>
        <w:trPr>
          <w:trHeight w:val="182"/>
        </w:trPr>
        <w:tc>
          <w:tcPr>
            <w:tcW w:w="41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United States</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International</w:t>
            </w:r>
          </w:p>
        </w:tc>
        <w:tc>
          <w:tcPr>
            <w:tcW w:w="360" w:type="dxa"/>
            <w:vAlign w:val="bottom"/>
          </w:tcPr>
          <w:p>
            <w:pPr>
              <w:spacing w:after="0"/>
              <w:rPr>
                <w:sz w:val="15"/>
                <w:szCs w:val="15"/>
                <w:color w:val="auto"/>
              </w:rPr>
            </w:pPr>
          </w:p>
        </w:tc>
        <w:tc>
          <w:tcPr>
            <w:tcW w:w="720" w:type="dxa"/>
            <w:vAlign w:val="bottom"/>
          </w:tcPr>
          <w:p>
            <w:pPr>
              <w:jc w:val="right"/>
              <w:ind w:right="316"/>
              <w:spacing w:after="0"/>
              <w:rPr>
                <w:sz w:val="20"/>
                <w:szCs w:val="20"/>
                <w:color w:val="auto"/>
              </w:rPr>
            </w:pPr>
            <w:r>
              <w:rPr>
                <w:rFonts w:ascii="Arial" w:cs="Arial" w:eastAsia="Arial" w:hAnsi="Arial"/>
                <w:sz w:val="14"/>
                <w:szCs w:val="14"/>
                <w:color w:val="auto"/>
                <w:w w:val="96"/>
              </w:rPr>
              <w:t>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United States</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International</w:t>
            </w:r>
          </w:p>
        </w:tc>
        <w:tc>
          <w:tcPr>
            <w:tcW w:w="380" w:type="dxa"/>
            <w:vAlign w:val="bottom"/>
          </w:tcPr>
          <w:p>
            <w:pPr>
              <w:spacing w:after="0"/>
              <w:rPr>
                <w:sz w:val="15"/>
                <w:szCs w:val="15"/>
                <w:color w:val="auto"/>
              </w:rPr>
            </w:pPr>
          </w:p>
        </w:tc>
        <w:tc>
          <w:tcPr>
            <w:tcW w:w="720" w:type="dxa"/>
            <w:vAlign w:val="bottom"/>
          </w:tcPr>
          <w:p>
            <w:pPr>
              <w:jc w:val="right"/>
              <w:ind w:right="316"/>
              <w:spacing w:after="0"/>
              <w:rPr>
                <w:sz w:val="20"/>
                <w:szCs w:val="20"/>
                <w:color w:val="auto"/>
              </w:rPr>
            </w:pPr>
            <w:r>
              <w:rPr>
                <w:rFonts w:ascii="Arial" w:cs="Arial" w:eastAsia="Arial" w:hAnsi="Arial"/>
                <w:sz w:val="14"/>
                <w:szCs w:val="14"/>
                <w:color w:val="auto"/>
                <w:w w:val="96"/>
              </w:rPr>
              <w:t>Total</w:t>
            </w:r>
          </w:p>
        </w:tc>
      </w:tr>
      <w:tr>
        <w:trPr>
          <w:trHeight w:val="206"/>
        </w:trPr>
        <w:tc>
          <w:tcPr>
            <w:tcW w:w="412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r>
      <w:tr>
        <w:trPr>
          <w:trHeight w:val="223"/>
        </w:trPr>
        <w:tc>
          <w:tcPr>
            <w:tcW w:w="4120" w:type="dxa"/>
            <w:vAlign w:val="bottom"/>
          </w:tcPr>
          <w:p>
            <w:pPr>
              <w:ind w:left="340"/>
              <w:spacing w:after="0"/>
              <w:rPr>
                <w:sz w:val="20"/>
                <w:szCs w:val="20"/>
                <w:color w:val="auto"/>
              </w:rPr>
            </w:pPr>
            <w:r>
              <w:rPr>
                <w:rFonts w:ascii="Arial" w:cs="Arial" w:eastAsia="Arial" w:hAnsi="Arial"/>
                <w:sz w:val="18"/>
                <w:szCs w:val="18"/>
                <w:color w:val="auto"/>
              </w:rPr>
              <w:t>Endovascular Therapies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36,253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3,407</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39,660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30,689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33,900</w:t>
            </w:r>
          </w:p>
        </w:tc>
      </w:tr>
      <w:tr>
        <w:trPr>
          <w:trHeight w:val="224"/>
        </w:trPr>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23,930</w:t>
            </w:r>
          </w:p>
        </w:tc>
      </w:tr>
      <w:tr>
        <w:trPr>
          <w:trHeight w:val="223"/>
        </w:trPr>
        <w:tc>
          <w:tcPr>
            <w:tcW w:w="4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Oncology</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14,940</w:t>
            </w:r>
          </w:p>
        </w:tc>
      </w:tr>
      <w:tr>
        <w:trPr>
          <w:trHeight w:val="242"/>
        </w:trPr>
        <w:tc>
          <w:tcPr>
            <w:tcW w:w="4120" w:type="dxa"/>
            <w:vAlign w:val="bottom"/>
            <w:tcBorders>
              <w:bottom w:val="single" w:sz="8" w:color="CCEEFF"/>
            </w:tcBorders>
            <w:shd w:val="clear" w:color="auto" w:fill="CCEEFF"/>
          </w:tcPr>
          <w:p>
            <w:pPr>
              <w:ind w:left="660"/>
              <w:spacing w:after="0" w:line="203"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410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802"/>
        </w:trPr>
        <w:tc>
          <w:tcPr>
            <w:tcW w:w="1000" w:type="dxa"/>
            <w:vAlign w:val="bottom"/>
            <w:tcBorders>
              <w:top w:val="single" w:sz="8" w:color="0000FF"/>
            </w:tcBorders>
          </w:tcPr>
          <w:p>
            <w:pPr>
              <w:spacing w:after="0"/>
              <w:rPr>
                <w:sz w:val="24"/>
                <w:szCs w:val="24"/>
                <w:color w:val="auto"/>
              </w:rPr>
            </w:pPr>
          </w:p>
        </w:tc>
        <w:tc>
          <w:tcPr>
            <w:tcW w:w="3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ind w:left="558"/>
              <w:spacing w:after="0"/>
              <w:rPr>
                <w:sz w:val="20"/>
                <w:szCs w:val="20"/>
                <w:color w:val="auto"/>
              </w:rPr>
            </w:pPr>
            <w:r>
              <w:rPr>
                <w:rFonts w:ascii="Arial" w:cs="Arial" w:eastAsia="Arial" w:hAnsi="Arial"/>
                <w:sz w:val="14"/>
                <w:szCs w:val="14"/>
                <w:color w:val="auto"/>
                <w:w w:val="91"/>
              </w:rPr>
              <w:t>Six Months Ended Nov 30, 2021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left="538"/>
              <w:spacing w:after="0"/>
              <w:rPr>
                <w:sz w:val="20"/>
                <w:szCs w:val="20"/>
                <w:color w:val="auto"/>
              </w:rPr>
            </w:pPr>
            <w:r>
              <w:rPr>
                <w:rFonts w:ascii="Arial" w:cs="Arial" w:eastAsia="Arial" w:hAnsi="Arial"/>
                <w:sz w:val="14"/>
                <w:szCs w:val="14"/>
                <w:color w:val="auto"/>
                <w:w w:val="91"/>
              </w:rPr>
              <w:t>Six Months Ended Nov 30, 2020</w:t>
            </w:r>
          </w:p>
        </w:tc>
        <w:tc>
          <w:tcPr>
            <w:tcW w:w="760" w:type="dxa"/>
            <w:vAlign w:val="bottom"/>
            <w:tcBorders>
              <w:bottom w:val="single" w:sz="8" w:color="auto"/>
            </w:tcBorders>
          </w:tcPr>
          <w:p>
            <w:pPr>
              <w:spacing w:after="0"/>
              <w:rPr>
                <w:sz w:val="24"/>
                <w:szCs w:val="24"/>
                <w:color w:val="auto"/>
              </w:rPr>
            </w:pPr>
          </w:p>
        </w:tc>
      </w:tr>
      <w:tr>
        <w:trPr>
          <w:trHeight w:val="182"/>
        </w:trPr>
        <w:tc>
          <w:tcPr>
            <w:tcW w:w="41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United States</w:t>
            </w:r>
          </w:p>
        </w:tc>
        <w:tc>
          <w:tcPr>
            <w:tcW w:w="1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International</w:t>
            </w:r>
          </w:p>
        </w:tc>
        <w:tc>
          <w:tcPr>
            <w:tcW w:w="340" w:type="dxa"/>
            <w:vAlign w:val="bottom"/>
          </w:tcPr>
          <w:p>
            <w:pPr>
              <w:spacing w:after="0"/>
              <w:rPr>
                <w:sz w:val="15"/>
                <w:szCs w:val="15"/>
                <w:color w:val="auto"/>
              </w:rPr>
            </w:pPr>
          </w:p>
        </w:tc>
        <w:tc>
          <w:tcPr>
            <w:tcW w:w="780" w:type="dxa"/>
            <w:vAlign w:val="bottom"/>
          </w:tcPr>
          <w:p>
            <w:pPr>
              <w:jc w:val="right"/>
              <w:ind w:right="336"/>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United States</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International</w:t>
            </w:r>
          </w:p>
        </w:tc>
        <w:tc>
          <w:tcPr>
            <w:tcW w:w="340" w:type="dxa"/>
            <w:vAlign w:val="bottom"/>
          </w:tcPr>
          <w:p>
            <w:pPr>
              <w:spacing w:after="0"/>
              <w:rPr>
                <w:sz w:val="15"/>
                <w:szCs w:val="15"/>
                <w:color w:val="auto"/>
              </w:rPr>
            </w:pPr>
          </w:p>
        </w:tc>
        <w:tc>
          <w:tcPr>
            <w:tcW w:w="760" w:type="dxa"/>
            <w:vAlign w:val="bottom"/>
          </w:tcPr>
          <w:p>
            <w:pPr>
              <w:jc w:val="right"/>
              <w:ind w:right="316"/>
              <w:spacing w:after="0"/>
              <w:rPr>
                <w:sz w:val="20"/>
                <w:szCs w:val="20"/>
                <w:color w:val="auto"/>
              </w:rPr>
            </w:pPr>
            <w:r>
              <w:rPr>
                <w:rFonts w:ascii="Arial" w:cs="Arial" w:eastAsia="Arial" w:hAnsi="Arial"/>
                <w:sz w:val="14"/>
                <w:szCs w:val="14"/>
                <w:color w:val="auto"/>
              </w:rPr>
              <w:t>Total</w:t>
            </w:r>
          </w:p>
        </w:tc>
      </w:tr>
      <w:tr>
        <w:trPr>
          <w:trHeight w:val="206"/>
        </w:trPr>
        <w:tc>
          <w:tcPr>
            <w:tcW w:w="4100" w:type="dxa"/>
            <w:vAlign w:val="bottom"/>
            <w:tcBorders>
              <w:top w:val="single" w:sz="8" w:color="CCEEFF"/>
            </w:tcBorders>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23"/>
        </w:trPr>
        <w:tc>
          <w:tcPr>
            <w:tcW w:w="4100" w:type="dxa"/>
            <w:vAlign w:val="bottom"/>
            <w:gridSpan w:val="2"/>
          </w:tcPr>
          <w:p>
            <w:pPr>
              <w:ind w:left="340"/>
              <w:spacing w:after="0"/>
              <w:rPr>
                <w:sz w:val="20"/>
                <w:szCs w:val="20"/>
                <w:color w:val="auto"/>
              </w:rPr>
            </w:pPr>
            <w:r>
              <w:rPr>
                <w:rFonts w:ascii="Arial" w:cs="Arial" w:eastAsia="Arial" w:hAnsi="Arial"/>
                <w:sz w:val="18"/>
                <w:szCs w:val="18"/>
                <w:color w:val="auto"/>
              </w:rPr>
              <w:t>Endovascular Therapies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71,006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77,718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57,669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6,088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63,757</w:t>
            </w:r>
          </w:p>
        </w:tc>
      </w:tr>
      <w:tr>
        <w:trPr>
          <w:trHeight w:val="224"/>
        </w:trPr>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52,035</w:t>
            </w:r>
          </w:p>
        </w:tc>
      </w:tr>
      <w:tr>
        <w:trPr>
          <w:trHeight w:val="223"/>
        </w:trPr>
        <w:tc>
          <w:tcPr>
            <w:tcW w:w="41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Oncology</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27,194</w:t>
            </w:r>
          </w:p>
        </w:tc>
      </w:tr>
      <w:tr>
        <w:trPr>
          <w:trHeight w:val="242"/>
        </w:trPr>
        <w:tc>
          <w:tcPr>
            <w:tcW w:w="4100" w:type="dxa"/>
            <w:vAlign w:val="bottom"/>
            <w:tcBorders>
              <w:bottom w:val="single" w:sz="8" w:color="CCEEFF"/>
            </w:tcBorders>
            <w:gridSpan w:val="2"/>
            <w:shd w:val="clear" w:color="auto" w:fill="CCEEFF"/>
          </w:tcPr>
          <w:p>
            <w:pPr>
              <w:ind w:left="660"/>
              <w:spacing w:after="0" w:line="203"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142,986</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firstLine="395"/>
        <w:spacing w:after="0" w:line="284" w:lineRule="auto"/>
        <w:rPr>
          <w:sz w:val="20"/>
          <w:szCs w:val="20"/>
          <w:color w:val="auto"/>
        </w:rPr>
      </w:pPr>
      <w:r>
        <w:rPr>
          <w:rFonts w:ascii="Arial" w:cs="Arial" w:eastAsia="Arial" w:hAnsi="Arial"/>
          <w:sz w:val="16"/>
          <w:szCs w:val="16"/>
          <w:color w:val="auto"/>
        </w:rPr>
        <w:t>As the Company has previously announced, the Company is focused on its ongoing transformation from a company with a broad portfolio of largely undifferentiated products to a more focused medical technology company that delivers unique and innovative health care solutions. The Company believes that this transformation will enable the Company to shift the portfolio from the mature, lower-growth markets where we have competed in the past by investing in technology and products that provide access to larger and faster growing markets. As such, we believe the growth in the near to mid-term will be driven by our high technology products including Auryon, Thrombectomy (which includes AngioVac, AlphaVac and thrombolytics) and NanoKnife. We will refer to these high technology products as our Med Tech business and we will refer to the remainder of the portfolio as our Med Device business.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net sales by Med Tech and Med Device: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gridSpan w:val="5"/>
          </w:tcPr>
          <w:p>
            <w:pPr>
              <w:ind w:left="68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5"/>
                <w:szCs w:val="15"/>
                <w:color w:val="auto"/>
              </w:rPr>
            </w:pPr>
          </w:p>
        </w:tc>
        <w:tc>
          <w:tcPr>
            <w:tcW w:w="2760" w:type="dxa"/>
            <w:vAlign w:val="bottom"/>
            <w:gridSpan w:val="4"/>
          </w:tcPr>
          <w:p>
            <w:pPr>
              <w:jc w:val="right"/>
              <w:ind w:right="877"/>
              <w:spacing w:after="0"/>
              <w:rPr>
                <w:sz w:val="20"/>
                <w:szCs w:val="20"/>
                <w:color w:val="auto"/>
              </w:rPr>
            </w:pPr>
            <w:r>
              <w:rPr>
                <w:rFonts w:ascii="Arial" w:cs="Arial" w:eastAsia="Arial" w:hAnsi="Arial"/>
                <w:sz w:val="14"/>
                <w:szCs w:val="14"/>
                <w:color w:val="auto"/>
              </w:rPr>
              <w:t>Six Months Ended</w:t>
            </w:r>
          </w:p>
        </w:tc>
      </w:tr>
      <w:tr>
        <w:trPr>
          <w:trHeight w:val="182"/>
        </w:trPr>
        <w:tc>
          <w:tcPr>
            <w:tcW w:w="52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Nov 30, 2021</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37"/>
              <w:spacing w:after="0"/>
              <w:rPr>
                <w:sz w:val="20"/>
                <w:szCs w:val="20"/>
                <w:color w:val="auto"/>
              </w:rPr>
            </w:pPr>
            <w:r>
              <w:rPr>
                <w:rFonts w:ascii="Arial" w:cs="Arial" w:eastAsia="Arial" w:hAnsi="Arial"/>
                <w:sz w:val="14"/>
                <w:szCs w:val="14"/>
                <w:color w:val="auto"/>
              </w:rPr>
              <w:t>Nov 30, 2020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Nov 30, 2021</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57"/>
              <w:spacing w:after="0"/>
              <w:rPr>
                <w:sz w:val="20"/>
                <w:szCs w:val="20"/>
                <w:color w:val="auto"/>
              </w:rPr>
            </w:pPr>
            <w:r>
              <w:rPr>
                <w:rFonts w:ascii="Arial" w:cs="Arial" w:eastAsia="Arial" w:hAnsi="Arial"/>
                <w:sz w:val="14"/>
                <w:szCs w:val="14"/>
                <w:color w:val="auto"/>
              </w:rPr>
              <w:t>Nov 30, 2020</w:t>
            </w:r>
          </w:p>
        </w:tc>
      </w:tr>
      <w:tr>
        <w:trPr>
          <w:trHeight w:val="206"/>
        </w:trPr>
        <w:tc>
          <w:tcPr>
            <w:tcW w:w="520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Net Sales</w:t>
            </w: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3"/>
        </w:trPr>
        <w:tc>
          <w:tcPr>
            <w:tcW w:w="5200" w:type="dxa"/>
            <w:vAlign w:val="bottom"/>
          </w:tcPr>
          <w:p>
            <w:pPr>
              <w:ind w:left="340"/>
              <w:spacing w:after="0"/>
              <w:rPr>
                <w:sz w:val="20"/>
                <w:szCs w:val="20"/>
                <w:color w:val="auto"/>
              </w:rPr>
            </w:pPr>
            <w:r>
              <w:rPr>
                <w:rFonts w:ascii="Arial" w:cs="Arial" w:eastAsia="Arial" w:hAnsi="Arial"/>
                <w:sz w:val="18"/>
                <w:szCs w:val="18"/>
                <w:color w:val="auto"/>
              </w:rPr>
              <w:t>Med Tech</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660"/>
              <w:spacing w:after="0"/>
              <w:rPr>
                <w:sz w:val="20"/>
                <w:szCs w:val="20"/>
                <w:color w:val="auto"/>
              </w:rPr>
            </w:pPr>
            <w:r>
              <w:rPr>
                <w:rFonts w:ascii="Arial" w:cs="Arial" w:eastAsia="Arial" w:hAnsi="Arial"/>
                <w:sz w:val="18"/>
                <w:szCs w:val="18"/>
                <w:color w:val="auto"/>
                <w:w w:val="94"/>
              </w:rPr>
              <w:t>18,886</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13,849</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36,504</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24,335</w:t>
            </w:r>
          </w:p>
        </w:tc>
      </w:tr>
      <w:tr>
        <w:trPr>
          <w:trHeight w:val="224"/>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Med Device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4"/>
              </w:rPr>
              <w:t>59,394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118,651</w:t>
            </w:r>
          </w:p>
        </w:tc>
      </w:tr>
      <w:tr>
        <w:trPr>
          <w:trHeight w:val="217"/>
        </w:trPr>
        <w:tc>
          <w:tcPr>
            <w:tcW w:w="5200" w:type="dxa"/>
            <w:vAlign w:val="bottom"/>
          </w:tcPr>
          <w:p>
            <w:pPr>
              <w:ind w:left="660"/>
              <w:spacing w:after="0" w:line="203"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4"/>
              </w:rPr>
              <w:t>78,280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155,251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142,986</w:t>
            </w: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w:t>
      </w:r>
    </w:p>
    <w:p>
      <w:pPr>
        <w:spacing w:after="0" w:line="167"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devices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and Performance Obligations</w:t>
      </w:r>
    </w:p>
    <w:p>
      <w:pPr>
        <w:spacing w:after="0" w:line="161" w:lineRule="exact"/>
        <w:rPr>
          <w:sz w:val="20"/>
          <w:szCs w:val="20"/>
          <w:color w:val="auto"/>
        </w:rPr>
      </w:pPr>
    </w:p>
    <w:p>
      <w:pPr>
        <w:jc w:val="both"/>
        <w:ind w:right="100" w:firstLine="395"/>
        <w:spacing w:after="0" w:line="291" w:lineRule="auto"/>
        <w:rPr>
          <w:sz w:val="20"/>
          <w:szCs w:val="20"/>
          <w:color w:val="auto"/>
        </w:rPr>
      </w:pPr>
      <w:r>
        <w:rPr>
          <w:rFonts w:ascii="Arial" w:cs="Arial" w:eastAsia="Arial" w:hAnsi="Arial"/>
          <w:sz w:val="16"/>
          <w:szCs w:val="16"/>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and Allocation to Performance Obligations</w:t>
      </w:r>
    </w:p>
    <w:p>
      <w:pPr>
        <w:spacing w:after="0" w:line="161" w:lineRule="exact"/>
        <w:rPr>
          <w:sz w:val="20"/>
          <w:szCs w:val="20"/>
          <w:color w:val="auto"/>
        </w:rPr>
      </w:pPr>
    </w:p>
    <w:p>
      <w:pPr>
        <w:ind w:right="140" w:firstLine="395"/>
        <w:spacing w:after="0" w:line="261" w:lineRule="auto"/>
        <w:rPr>
          <w:sz w:val="20"/>
          <w:szCs w:val="20"/>
          <w:color w:val="auto"/>
        </w:rPr>
      </w:pPr>
      <w:r>
        <w:rPr>
          <w:rFonts w:ascii="Arial" w:cs="Arial" w:eastAsia="Arial" w:hAnsi="Arial"/>
          <w:sz w:val="18"/>
          <w:szCs w:val="18"/>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129"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61" w:lineRule="exact"/>
        <w:rPr>
          <w:sz w:val="20"/>
          <w:szCs w:val="20"/>
          <w:color w:val="auto"/>
        </w:rPr>
      </w:pPr>
    </w:p>
    <w:p>
      <w:pPr>
        <w:ind w:right="240" w:firstLine="395"/>
        <w:spacing w:after="0" w:line="252" w:lineRule="auto"/>
        <w:rPr>
          <w:sz w:val="20"/>
          <w:szCs w:val="20"/>
          <w:color w:val="auto"/>
        </w:rPr>
      </w:pPr>
      <w:r>
        <w:rPr>
          <w:rFonts w:ascii="Arial" w:cs="Arial" w:eastAsia="Arial" w:hAnsi="Arial"/>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w:t>
      </w:r>
    </w:p>
    <w:p>
      <w:pPr>
        <w:spacing w:after="0" w:line="138" w:lineRule="exact"/>
        <w:rPr>
          <w:sz w:val="20"/>
          <w:szCs w:val="20"/>
          <w:color w:val="auto"/>
        </w:rPr>
      </w:pPr>
    </w:p>
    <w:p>
      <w:pPr>
        <w:ind w:right="580" w:firstLine="395"/>
        <w:spacing w:after="0" w:line="261" w:lineRule="auto"/>
        <w:rPr>
          <w:sz w:val="20"/>
          <w:szCs w:val="20"/>
          <w:color w:val="auto"/>
        </w:rPr>
      </w:pPr>
      <w:r>
        <w:rPr>
          <w:rFonts w:ascii="Arial" w:cs="Arial" w:eastAsia="Arial" w:hAnsi="Arial"/>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29" w:lineRule="exact"/>
        <w:rPr>
          <w:sz w:val="20"/>
          <w:szCs w:val="20"/>
          <w:color w:val="auto"/>
        </w:rPr>
      </w:pPr>
    </w:p>
    <w:p>
      <w:pPr>
        <w:ind w:right="140" w:firstLine="395"/>
        <w:spacing w:after="0" w:line="261" w:lineRule="auto"/>
        <w:rPr>
          <w:sz w:val="20"/>
          <w:szCs w:val="20"/>
          <w:color w:val="auto"/>
        </w:rPr>
      </w:pPr>
      <w:r>
        <w:rPr>
          <w:rFonts w:ascii="Arial" w:cs="Arial" w:eastAsia="Arial" w:hAnsi="Arial"/>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29"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The Company enters into agreements to place placement and evaluation units (“units”) at customer sites, but the Company retains title to the units. During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disposal revenue and lease revenue due to the insignificant value of the units in relation to the total agreement value.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Sales, value add, and other taxes collected on behalf of third parties are excluded from revenue.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61" w:lineRule="exact"/>
        <w:rPr>
          <w:sz w:val="20"/>
          <w:szCs w:val="20"/>
          <w:color w:val="auto"/>
        </w:rPr>
      </w:pPr>
    </w:p>
    <w:p>
      <w:pPr>
        <w:jc w:val="both"/>
        <w:ind w:right="60" w:firstLine="395"/>
        <w:spacing w:after="0" w:line="299" w:lineRule="auto"/>
        <w:rPr>
          <w:sz w:val="20"/>
          <w:szCs w:val="20"/>
          <w:color w:val="auto"/>
        </w:rPr>
      </w:pPr>
      <w:r>
        <w:rPr>
          <w:rFonts w:ascii="Arial" w:cs="Arial" w:eastAsia="Arial" w:hAnsi="Arial"/>
          <w:sz w:val="16"/>
          <w:szCs w:val="16"/>
          <w:color w:val="auto"/>
        </w:rPr>
        <w:t>Reserves: Revenue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spacing w:after="0" w:line="102" w:lineRule="exact"/>
        <w:rPr>
          <w:sz w:val="20"/>
          <w:szCs w:val="20"/>
          <w:color w:val="auto"/>
        </w:rPr>
      </w:pPr>
    </w:p>
    <w:p>
      <w:pPr>
        <w:ind w:right="80" w:firstLine="395"/>
        <w:spacing w:after="0" w:line="316" w:lineRule="auto"/>
        <w:rPr>
          <w:sz w:val="20"/>
          <w:szCs w:val="20"/>
          <w:color w:val="auto"/>
        </w:rPr>
      </w:pPr>
      <w:r>
        <w:rPr>
          <w:rFonts w:ascii="Arial" w:cs="Arial" w:eastAsia="Arial" w:hAnsi="Arial"/>
          <w:sz w:val="15"/>
          <w:szCs w:val="15"/>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expenses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spacing w:after="0" w:line="92" w:lineRule="exact"/>
        <w:rPr>
          <w:sz w:val="20"/>
          <w:szCs w:val="20"/>
          <w:color w:val="auto"/>
        </w:rPr>
      </w:pPr>
    </w:p>
    <w:p>
      <w:pPr>
        <w:ind w:right="140" w:firstLine="395"/>
        <w:spacing w:after="0" w:line="284" w:lineRule="auto"/>
        <w:rPr>
          <w:sz w:val="20"/>
          <w:szCs w:val="20"/>
          <w:color w:val="auto"/>
        </w:rPr>
      </w:pPr>
      <w:r>
        <w:rPr>
          <w:rFonts w:ascii="Arial" w:cs="Arial" w:eastAsia="Arial" w:hAnsi="Arial"/>
          <w:sz w:val="16"/>
          <w:szCs w:val="16"/>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six months ended November 30, 2021, such product returns were not material.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with Customers</w:t>
      </w:r>
    </w:p>
    <w:p>
      <w:pPr>
        <w:spacing w:after="0" w:line="167" w:lineRule="exact"/>
        <w:rPr>
          <w:sz w:val="20"/>
          <w:szCs w:val="20"/>
          <w:color w:val="auto"/>
        </w:rPr>
      </w:pPr>
    </w:p>
    <w:p>
      <w:pPr>
        <w:ind w:right="60" w:firstLine="395"/>
        <w:spacing w:after="0" w:line="248" w:lineRule="auto"/>
        <w:rPr>
          <w:sz w:val="20"/>
          <w:szCs w:val="20"/>
          <w:color w:val="auto"/>
        </w:rPr>
      </w:pPr>
      <w:r>
        <w:rPr>
          <w:rFonts w:ascii="Arial" w:cs="Arial" w:eastAsia="Arial" w:hAnsi="Arial"/>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changes in the Company’s receivables, contract assets and contract liabilities with customers: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Nov 30, 2021</w:t>
            </w:r>
          </w:p>
        </w:tc>
        <w:tc>
          <w:tcPr>
            <w:tcW w:w="220" w:type="dxa"/>
            <w:vAlign w:val="bottom"/>
          </w:tcPr>
          <w:p>
            <w:pPr>
              <w:spacing w:after="0"/>
              <w:rPr>
                <w:sz w:val="16"/>
                <w:szCs w:val="16"/>
                <w:color w:val="auto"/>
              </w:rPr>
            </w:pPr>
          </w:p>
        </w:tc>
        <w:tc>
          <w:tcPr>
            <w:tcW w:w="1220" w:type="dxa"/>
            <w:vAlign w:val="bottom"/>
          </w:tcPr>
          <w:p>
            <w:pPr>
              <w:jc w:val="right"/>
              <w:ind w:right="237"/>
              <w:spacing w:after="0"/>
              <w:rPr>
                <w:sz w:val="20"/>
                <w:szCs w:val="20"/>
                <w:color w:val="auto"/>
              </w:rPr>
            </w:pPr>
            <w:r>
              <w:rPr>
                <w:rFonts w:ascii="Arial" w:cs="Arial" w:eastAsia="Arial" w:hAnsi="Arial"/>
                <w:sz w:val="14"/>
                <w:szCs w:val="14"/>
                <w:color w:val="auto"/>
              </w:rPr>
              <w:t>May 31, 2021</w:t>
            </w:r>
          </w:p>
        </w:tc>
      </w:tr>
      <w:tr>
        <w:trPr>
          <w:trHeight w:val="222"/>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35,405</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320" w:firstLine="395"/>
        <w:spacing w:after="0" w:line="261" w:lineRule="auto"/>
        <w:rPr>
          <w:sz w:val="20"/>
          <w:szCs w:val="20"/>
          <w:color w:val="auto"/>
        </w:rPr>
      </w:pPr>
      <w:r>
        <w:rPr>
          <w:rFonts w:ascii="Arial" w:cs="Arial" w:eastAsia="Arial" w:hAnsi="Arial"/>
          <w:sz w:val="18"/>
          <w:szCs w:val="18"/>
          <w:color w:val="auto"/>
        </w:rPr>
        <w:t>During the six months ended November 30, 2021, the Company had additions to contract liabilities of $0.8 million. This was offset by $0.5 million in revenue that was recognized during the six months ended November 30,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to Obtain or Fulfill a Customer Contract</w:t>
      </w:r>
    </w:p>
    <w:p>
      <w:pPr>
        <w:spacing w:after="0" w:line="167" w:lineRule="exact"/>
        <w:rPr>
          <w:sz w:val="20"/>
          <w:szCs w:val="20"/>
          <w:color w:val="auto"/>
        </w:rPr>
      </w:pPr>
    </w:p>
    <w:p>
      <w:pPr>
        <w:ind w:right="240" w:firstLine="395"/>
        <w:spacing w:after="0" w:line="250" w:lineRule="auto"/>
        <w:rPr>
          <w:sz w:val="20"/>
          <w:szCs w:val="20"/>
          <w:color w:val="auto"/>
        </w:rPr>
      </w:pPr>
      <w:r>
        <w:rPr>
          <w:rFonts w:ascii="Arial" w:cs="Arial" w:eastAsia="Arial" w:hAnsi="Arial"/>
          <w:sz w:val="18"/>
          <w:szCs w:val="18"/>
          <w:color w:val="auto"/>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38" w:lineRule="exact"/>
        <w:rPr>
          <w:sz w:val="20"/>
          <w:szCs w:val="20"/>
          <w:color w:val="auto"/>
        </w:rPr>
      </w:pPr>
    </w:p>
    <w:p>
      <w:pPr>
        <w:ind w:right="20" w:firstLine="395"/>
        <w:spacing w:after="0" w:line="299" w:lineRule="auto"/>
        <w:rPr>
          <w:sz w:val="20"/>
          <w:szCs w:val="20"/>
          <w:color w:val="auto"/>
        </w:rPr>
      </w:pPr>
      <w:r>
        <w:rPr>
          <w:rFonts w:ascii="Arial" w:cs="Arial" w:eastAsia="Arial" w:hAnsi="Arial"/>
          <w:sz w:val="16"/>
          <w:szCs w:val="16"/>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and handling are recorded in net sales.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Inventories are stated at lower of cost and net realizable value (using the first-in, first-out method). Inventories consisted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tcPr>
          <w:p>
            <w:pPr>
              <w:ind w:left="420"/>
              <w:spacing w:after="0"/>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Nov 30, 2021</w:t>
            </w:r>
          </w:p>
        </w:tc>
        <w:tc>
          <w:tcPr>
            <w:tcW w:w="600" w:type="dxa"/>
            <w:vAlign w:val="bottom"/>
          </w:tcPr>
          <w:p>
            <w:pPr>
              <w:spacing w:after="0"/>
              <w:rPr>
                <w:sz w:val="16"/>
                <w:szCs w:val="16"/>
                <w:color w:val="auto"/>
              </w:rPr>
            </w:pPr>
          </w:p>
        </w:tc>
        <w:tc>
          <w:tcPr>
            <w:tcW w:w="1200" w:type="dxa"/>
            <w:vAlign w:val="bottom"/>
          </w:tcPr>
          <w:p>
            <w:pPr>
              <w:jc w:val="right"/>
              <w:ind w:right="236"/>
              <w:spacing w:after="0"/>
              <w:rPr>
                <w:sz w:val="20"/>
                <w:szCs w:val="20"/>
                <w:color w:val="auto"/>
              </w:rPr>
            </w:pPr>
            <w:r>
              <w:rPr>
                <w:rFonts w:ascii="Arial" w:cs="Arial" w:eastAsia="Arial" w:hAnsi="Arial"/>
                <w:sz w:val="14"/>
                <w:szCs w:val="14"/>
                <w:color w:val="auto"/>
              </w:rPr>
              <w:t>May 31, 2021</w:t>
            </w:r>
          </w:p>
        </w:tc>
      </w:tr>
      <w:tr>
        <w:trPr>
          <w:trHeight w:val="222"/>
        </w:trPr>
        <w:tc>
          <w:tcPr>
            <w:tcW w:w="75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Raw materials</w:t>
            </w: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26,706</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22,925</w:t>
            </w:r>
          </w:p>
        </w:tc>
      </w:tr>
      <w:tr>
        <w:trPr>
          <w:trHeight w:val="223"/>
        </w:trPr>
        <w:tc>
          <w:tcPr>
            <w:tcW w:w="7520" w:type="dxa"/>
            <w:vAlign w:val="bottom"/>
          </w:tcPr>
          <w:p>
            <w:pPr>
              <w:ind w:left="420"/>
              <w:spacing w:after="0"/>
              <w:rPr>
                <w:sz w:val="20"/>
                <w:szCs w:val="20"/>
                <w:color w:val="auto"/>
              </w:rPr>
            </w:pPr>
            <w:r>
              <w:rPr>
                <w:rFonts w:ascii="Arial" w:cs="Arial" w:eastAsia="Arial" w:hAnsi="Arial"/>
                <w:sz w:val="18"/>
                <w:szCs w:val="18"/>
                <w:color w:val="auto"/>
              </w:rPr>
              <w:t>Work in process</w:t>
            </w: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6,673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8,022</w:t>
            </w:r>
          </w:p>
        </w:tc>
      </w:tr>
      <w:tr>
        <w:trPr>
          <w:trHeight w:val="224"/>
        </w:trPr>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Finished goods</w:t>
            </w:r>
          </w:p>
        </w:tc>
        <w:tc>
          <w:tcPr>
            <w:tcW w:w="6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14,804</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17,667</w:t>
            </w:r>
          </w:p>
        </w:tc>
      </w:tr>
      <w:tr>
        <w:trPr>
          <w:trHeight w:val="217"/>
        </w:trPr>
        <w:tc>
          <w:tcPr>
            <w:tcW w:w="7520" w:type="dxa"/>
            <w:vAlign w:val="bottom"/>
          </w:tcPr>
          <w:p>
            <w:pPr>
              <w:ind w:left="740"/>
              <w:spacing w:after="0" w:line="203" w:lineRule="exact"/>
              <w:rPr>
                <w:sz w:val="20"/>
                <w:szCs w:val="20"/>
                <w:color w:val="auto"/>
              </w:rPr>
            </w:pPr>
            <w:r>
              <w:rPr>
                <w:rFonts w:ascii="Arial" w:cs="Arial" w:eastAsia="Arial" w:hAnsi="Arial"/>
                <w:sz w:val="18"/>
                <w:szCs w:val="18"/>
                <w:color w:val="auto"/>
              </w:rPr>
              <w:t>Inventories</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48,183</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48,614</w:t>
            </w:r>
          </w:p>
        </w:tc>
      </w:tr>
      <w:tr>
        <w:trPr>
          <w:trHeight w:val="20"/>
        </w:trPr>
        <w:tc>
          <w:tcPr>
            <w:tcW w:w="7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firstLine="395"/>
        <w:spacing w:after="0" w:line="299" w:lineRule="auto"/>
        <w:rPr>
          <w:sz w:val="20"/>
          <w:szCs w:val="20"/>
          <w:color w:val="auto"/>
        </w:rPr>
      </w:pPr>
      <w:r>
        <w:rPr>
          <w:rFonts w:ascii="Arial" w:cs="Arial" w:eastAsia="Arial" w:hAnsi="Arial"/>
          <w:sz w:val="16"/>
          <w:szCs w:val="16"/>
          <w:color w:val="auto"/>
        </w:rPr>
        <w:t>The Company periodically reviews inventory for both obsolescence and loss of value. The Company makes assumptions about the future demand for and market value of the inventory. Based on these assumptions, the Company estimates the amount of obsolete, expiring and slow-moving inventory. The total inventory reserve at November 30, 2021 and May 31, 2021 was $4.0 million and $3.8 million, respectively.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1" w:lineRule="exact"/>
        <w:rPr>
          <w:sz w:val="20"/>
          <w:szCs w:val="20"/>
          <w:color w:val="auto"/>
        </w:rPr>
      </w:pPr>
    </w:p>
    <w:p>
      <w:pPr>
        <w:ind w:right="100" w:firstLine="395"/>
        <w:spacing w:after="0" w:line="324" w:lineRule="auto"/>
        <w:rPr>
          <w:sz w:val="20"/>
          <w:szCs w:val="20"/>
          <w:color w:val="auto"/>
        </w:rPr>
      </w:pPr>
      <w:r>
        <w:rPr>
          <w:rFonts w:ascii="Arial" w:cs="Arial" w:eastAsia="Arial" w:hAnsi="Arial"/>
          <w:sz w:val="16"/>
          <w:szCs w:val="16"/>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82"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color w:val="auto"/>
        </w:rPr>
        <w:t>The Company's annual testing for impairment of goodwill was completed as of December 31, 2020.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w:t>
      </w:r>
    </w:p>
    <w:p>
      <w:pPr>
        <w:spacing w:after="0" w:line="138"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Even though the Company determined that there was no goodwill impairment as of December 31, 2020,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2021.</w:t>
      </w:r>
    </w:p>
    <w:p>
      <w:pPr>
        <w:spacing w:after="0" w:line="138" w:lineRule="exact"/>
        <w:rPr>
          <w:sz w:val="20"/>
          <w:szCs w:val="20"/>
          <w:color w:val="auto"/>
        </w:rPr>
      </w:pPr>
    </w:p>
    <w:p>
      <w:pPr>
        <w:ind w:right="1220" w:firstLine="395"/>
        <w:spacing w:after="0" w:line="427" w:lineRule="auto"/>
        <w:rPr>
          <w:sz w:val="20"/>
          <w:szCs w:val="20"/>
          <w:color w:val="auto"/>
        </w:rPr>
      </w:pPr>
      <w:r>
        <w:rPr>
          <w:rFonts w:ascii="Arial" w:cs="Arial" w:eastAsia="Arial" w:hAnsi="Arial"/>
          <w:sz w:val="18"/>
          <w:szCs w:val="18"/>
          <w:color w:val="auto"/>
        </w:rPr>
        <w:t xml:space="preserve">There were no adjustments to goodwill for the six months ended November 30, 2021 other than foreign currency translation adjustments. </w:t>
      </w:r>
      <w:r>
        <w:rPr>
          <w:rFonts w:ascii="Arial" w:cs="Arial" w:eastAsia="Arial" w:hAnsi="Arial"/>
          <w:sz w:val="18"/>
          <w:szCs w:val="18"/>
          <w:b w:val="1"/>
          <w:bCs w:val="1"/>
          <w:i w:val="1"/>
          <w:iCs w:val="1"/>
          <w:color w:val="auto"/>
        </w:rPr>
        <w:t>Definite Lived Intangible Assets</w:t>
      </w:r>
    </w:p>
    <w:p>
      <w:pPr>
        <w:ind w:right="20" w:firstLine="395"/>
        <w:spacing w:after="0" w:line="252" w:lineRule="auto"/>
        <w:rPr>
          <w:sz w:val="20"/>
          <w:szCs w:val="20"/>
          <w:color w:val="auto"/>
        </w:rPr>
      </w:pPr>
      <w:r>
        <w:rPr>
          <w:rFonts w:ascii="Arial" w:cs="Arial" w:eastAsia="Arial" w:hAnsi="Arial"/>
          <w:sz w:val="18"/>
          <w:szCs w:val="18"/>
          <w:color w:val="auto"/>
        </w:rPr>
        <w:t>Intangible assets other than goodwill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Intangible assets consisted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Nov 30, 2021</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680" w:type="dxa"/>
            <w:vAlign w:val="bottom"/>
            <w:vMerge w:val="restart"/>
          </w:tcPr>
          <w:p>
            <w:pPr>
              <w:ind w:left="420"/>
              <w:spacing w:after="0"/>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1"/>
                <w:szCs w:val="11"/>
                <w:color w:val="auto"/>
              </w:rPr>
            </w:pPr>
          </w:p>
        </w:tc>
        <w:tc>
          <w:tcPr>
            <w:tcW w:w="126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w w:val="88"/>
              </w:rPr>
              <w:t>Gross carrying value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5"/>
          </w:tcPr>
          <w:p>
            <w:pPr>
              <w:ind w:left="20"/>
              <w:spacing w:after="0" w:line="130" w:lineRule="exact"/>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1"/>
                <w:szCs w:val="11"/>
                <w:color w:val="auto"/>
              </w:rPr>
            </w:pPr>
          </w:p>
        </w:tc>
        <w:tc>
          <w:tcPr>
            <w:tcW w:w="1260" w:type="dxa"/>
            <w:vAlign w:val="bottom"/>
            <w:vMerge w:val="restart"/>
          </w:tcPr>
          <w:p>
            <w:pPr>
              <w:jc w:val="right"/>
              <w:ind w:right="75"/>
              <w:spacing w:after="0"/>
              <w:rPr>
                <w:sz w:val="20"/>
                <w:szCs w:val="20"/>
                <w:color w:val="auto"/>
              </w:rPr>
            </w:pPr>
            <w:r>
              <w:rPr>
                <w:rFonts w:ascii="Arial" w:cs="Arial" w:eastAsia="Arial" w:hAnsi="Arial"/>
                <w:sz w:val="14"/>
                <w:szCs w:val="14"/>
                <w:color w:val="auto"/>
                <w:w w:val="95"/>
              </w:rPr>
              <w:t>Net carrying value</w:t>
            </w:r>
          </w:p>
        </w:tc>
        <w:tc>
          <w:tcPr>
            <w:tcW w:w="0" w:type="dxa"/>
            <w:vAlign w:val="bottom"/>
          </w:tcPr>
          <w:p>
            <w:pPr>
              <w:spacing w:after="0"/>
              <w:rPr>
                <w:sz w:val="1"/>
                <w:szCs w:val="1"/>
                <w:color w:val="auto"/>
              </w:rPr>
            </w:pPr>
          </w:p>
        </w:tc>
      </w:tr>
      <w:tr>
        <w:trPr>
          <w:trHeight w:val="182"/>
        </w:trPr>
        <w:tc>
          <w:tcPr>
            <w:tcW w:w="568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color w:val="auto"/>
                <w:w w:val="91"/>
              </w:rPr>
              <w:t>amortization</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420"/>
              <w:spacing w:after="0" w:line="206" w:lineRule="exact"/>
              <w:rPr>
                <w:sz w:val="20"/>
                <w:szCs w:val="20"/>
                <w:color w:val="auto"/>
              </w:rPr>
            </w:pPr>
            <w:r>
              <w:rPr>
                <w:rFonts w:ascii="Arial" w:cs="Arial" w:eastAsia="Arial" w:hAnsi="Arial"/>
                <w:sz w:val="18"/>
                <w:szCs w:val="18"/>
                <w:color w:val="auto"/>
              </w:rPr>
              <w:t>Product technologies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242,907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137,767</w:t>
            </w:r>
          </w:p>
        </w:tc>
        <w:tc>
          <w:tcPr>
            <w:tcW w:w="0" w:type="dxa"/>
            <w:vAlign w:val="bottom"/>
          </w:tcPr>
          <w:p>
            <w:pPr>
              <w:spacing w:after="0"/>
              <w:rPr>
                <w:sz w:val="1"/>
                <w:szCs w:val="1"/>
                <w:color w:val="auto"/>
              </w:rPr>
            </w:pPr>
          </w:p>
        </w:tc>
      </w:tr>
      <w:tr>
        <w:trPr>
          <w:trHeight w:val="223"/>
        </w:trPr>
        <w:tc>
          <w:tcPr>
            <w:tcW w:w="5680" w:type="dxa"/>
            <w:vAlign w:val="bottom"/>
          </w:tcPr>
          <w:p>
            <w:pPr>
              <w:ind w:left="420"/>
              <w:spacing w:after="0"/>
              <w:rPr>
                <w:sz w:val="20"/>
                <w:szCs w:val="20"/>
                <w:color w:val="auto"/>
              </w:rPr>
            </w:pPr>
            <w:r>
              <w:rPr>
                <w:rFonts w:ascii="Arial" w:cs="Arial" w:eastAsia="Arial" w:hAnsi="Arial"/>
                <w:sz w:val="18"/>
                <w:szCs w:val="18"/>
                <w:color w:val="auto"/>
              </w:rPr>
              <w:t>Customer relationships</w:t>
            </w:r>
          </w:p>
        </w:tc>
        <w:tc>
          <w:tcPr>
            <w:tcW w:w="5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60,186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24,119</w:t>
            </w:r>
          </w:p>
        </w:tc>
        <w:tc>
          <w:tcPr>
            <w:tcW w:w="0" w:type="dxa"/>
            <w:vAlign w:val="bottom"/>
          </w:tcPr>
          <w:p>
            <w:pPr>
              <w:spacing w:after="0"/>
              <w:rPr>
                <w:sz w:val="1"/>
                <w:szCs w:val="1"/>
                <w:color w:val="auto"/>
              </w:rPr>
            </w:pPr>
          </w:p>
        </w:tc>
      </w:tr>
      <w:tr>
        <w:trPr>
          <w:trHeight w:val="224"/>
        </w:trPr>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Trademarks</w:t>
            </w:r>
          </w:p>
        </w:tc>
        <w:tc>
          <w:tcPr>
            <w:tcW w:w="5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Licenses</w:t>
            </w: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6,087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319,130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color w:val="auto"/>
                <w:w w:val="91"/>
              </w:rPr>
              <w:t>May 31, 2021</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56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4"/>
                <w:szCs w:val="14"/>
                <w:color w:val="auto"/>
              </w:rPr>
              <w:t>Gross carrying value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4"/>
          </w:tcPr>
          <w:p>
            <w:pPr>
              <w:jc w:val="center"/>
              <w:ind w:right="300"/>
              <w:spacing w:after="0" w:line="130" w:lineRule="exact"/>
              <w:rPr>
                <w:sz w:val="20"/>
                <w:szCs w:val="20"/>
                <w:color w:val="auto"/>
              </w:rPr>
            </w:pPr>
            <w:r>
              <w:rPr>
                <w:rFonts w:ascii="Arial" w:cs="Arial" w:eastAsia="Arial" w:hAnsi="Arial"/>
                <w:sz w:val="14"/>
                <w:szCs w:val="14"/>
                <w:color w:val="auto"/>
                <w:w w:val="91"/>
              </w:rPr>
              <w:t>Accumulated</w:t>
            </w:r>
          </w:p>
        </w:tc>
        <w:tc>
          <w:tcPr>
            <w:tcW w:w="180" w:type="dxa"/>
            <w:vAlign w:val="bottom"/>
          </w:tcPr>
          <w:p>
            <w:pPr>
              <w:spacing w:after="0"/>
              <w:rPr>
                <w:sz w:val="11"/>
                <w:szCs w:val="11"/>
                <w:color w:val="auto"/>
              </w:rPr>
            </w:pPr>
          </w:p>
        </w:tc>
        <w:tc>
          <w:tcPr>
            <w:tcW w:w="1260" w:type="dxa"/>
            <w:vAlign w:val="bottom"/>
            <w:vMerge w:val="restart"/>
          </w:tcPr>
          <w:p>
            <w:pPr>
              <w:jc w:val="right"/>
              <w:ind w:right="115"/>
              <w:spacing w:after="0"/>
              <w:rPr>
                <w:sz w:val="20"/>
                <w:szCs w:val="20"/>
                <w:color w:val="auto"/>
              </w:rPr>
            </w:pPr>
            <w:r>
              <w:rPr>
                <w:rFonts w:ascii="Arial" w:cs="Arial" w:eastAsia="Arial" w:hAnsi="Arial"/>
                <w:sz w:val="14"/>
                <w:szCs w:val="14"/>
                <w:color w:val="auto"/>
                <w:w w:val="92"/>
              </w:rPr>
              <w:t>Net carrying value</w:t>
            </w:r>
          </w:p>
        </w:tc>
        <w:tc>
          <w:tcPr>
            <w:tcW w:w="0" w:type="dxa"/>
            <w:vAlign w:val="bottom"/>
          </w:tcPr>
          <w:p>
            <w:pPr>
              <w:spacing w:after="0"/>
              <w:rPr>
                <w:sz w:val="1"/>
                <w:szCs w:val="1"/>
                <w:color w:val="auto"/>
              </w:rPr>
            </w:pPr>
          </w:p>
        </w:tc>
      </w:tr>
      <w:tr>
        <w:trPr>
          <w:trHeight w:val="182"/>
        </w:trPr>
        <w:tc>
          <w:tcPr>
            <w:tcW w:w="568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3"/>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color w:val="auto"/>
                <w:w w:val="91"/>
              </w:rPr>
              <w:t>amortization</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Product technologies</w:t>
            </w:r>
          </w:p>
        </w:tc>
        <w:tc>
          <w:tcPr>
            <w:tcW w:w="5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236,907</w:t>
            </w: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139,564</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60,291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(34,164)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26,127</w:t>
            </w:r>
          </w:p>
        </w:tc>
        <w:tc>
          <w:tcPr>
            <w:tcW w:w="0" w:type="dxa"/>
            <w:vAlign w:val="bottom"/>
          </w:tcPr>
          <w:p>
            <w:pPr>
              <w:spacing w:after="0"/>
              <w:rPr>
                <w:sz w:val="1"/>
                <w:szCs w:val="1"/>
                <w:color w:val="auto"/>
              </w:rPr>
            </w:pPr>
          </w:p>
        </w:tc>
      </w:tr>
      <w:tr>
        <w:trPr>
          <w:trHeight w:val="224"/>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Licenses</w:t>
            </w:r>
          </w:p>
        </w:tc>
        <w:tc>
          <w:tcPr>
            <w:tcW w:w="5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6,087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(5,846)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7"/>
        </w:trPr>
        <w:tc>
          <w:tcPr>
            <w:tcW w:w="56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313,235</w:t>
            </w: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(144,258)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168,977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20" w:firstLine="395"/>
        <w:spacing w:after="0" w:line="261" w:lineRule="auto"/>
        <w:rPr>
          <w:sz w:val="20"/>
          <w:szCs w:val="20"/>
          <w:color w:val="auto"/>
        </w:rPr>
      </w:pPr>
      <w:r>
        <w:rPr>
          <w:rFonts w:ascii="Arial" w:cs="Arial" w:eastAsia="Arial" w:hAnsi="Arial"/>
          <w:sz w:val="18"/>
          <w:szCs w:val="18"/>
          <w:color w:val="auto"/>
        </w:rPr>
        <w:t>Amortization expense for the three months ended November 30, 2021 and 2020 was $4.9 million and $4.6 million, respectively. Amortization expense for the six months ended November 30, 2021 and 2020 was $9.7 million and $9.5 million, respectively.</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Expected future amortization expense related to the intangible assets for each of the following fiscal years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ind w:left="420"/>
              <w:spacing w:after="0"/>
              <w:rPr>
                <w:sz w:val="20"/>
                <w:szCs w:val="20"/>
                <w:color w:val="auto"/>
              </w:rPr>
            </w:pPr>
            <w:r>
              <w:rPr>
                <w:rFonts w:ascii="Arial" w:cs="Arial" w:eastAsia="Arial" w:hAnsi="Arial"/>
                <w:sz w:val="14"/>
                <w:szCs w:val="14"/>
                <w:color w:val="auto"/>
              </w:rPr>
              <w:t>(in thousands)</w:t>
            </w:r>
          </w:p>
        </w:tc>
        <w:tc>
          <w:tcPr>
            <w:tcW w:w="2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Remainder of 2022</w:t>
            </w:r>
          </w:p>
        </w:tc>
        <w:tc>
          <w:tcPr>
            <w:tcW w:w="2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w:t>
            </w:r>
          </w:p>
        </w:tc>
        <w:tc>
          <w:tcPr>
            <w:tcW w:w="0" w:type="dxa"/>
            <w:vAlign w:val="bottom"/>
          </w:tcPr>
          <w:p>
            <w:pPr>
              <w:spacing w:after="0"/>
              <w:rPr>
                <w:sz w:val="1"/>
                <w:szCs w:val="1"/>
                <w:color w:val="auto"/>
              </w:rPr>
            </w:pPr>
          </w:p>
        </w:tc>
      </w:tr>
      <w:tr>
        <w:trPr>
          <w:trHeight w:val="223"/>
        </w:trPr>
        <w:tc>
          <w:tcPr>
            <w:tcW w:w="4580" w:type="dxa"/>
            <w:vAlign w:val="bottom"/>
          </w:tcPr>
          <w:p>
            <w:pPr>
              <w:ind w:left="420"/>
              <w:spacing w:after="0"/>
              <w:rPr>
                <w:sz w:val="20"/>
                <w:szCs w:val="20"/>
                <w:color w:val="auto"/>
              </w:rPr>
            </w:pPr>
            <w:r>
              <w:rPr>
                <w:rFonts w:ascii="Arial" w:cs="Arial" w:eastAsia="Arial" w:hAnsi="Arial"/>
                <w:sz w:val="18"/>
                <w:szCs w:val="18"/>
                <w:color w:val="auto"/>
              </w:rPr>
              <w:t>2023</w:t>
            </w:r>
          </w:p>
        </w:tc>
        <w:tc>
          <w:tcPr>
            <w:tcW w:w="2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19,111</w:t>
            </w: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2024</w:t>
            </w:r>
          </w:p>
        </w:tc>
        <w:tc>
          <w:tcPr>
            <w:tcW w:w="2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223"/>
        </w:trPr>
        <w:tc>
          <w:tcPr>
            <w:tcW w:w="4580" w:type="dxa"/>
            <w:vAlign w:val="bottom"/>
          </w:tcPr>
          <w:p>
            <w:pPr>
              <w:ind w:left="420"/>
              <w:spacing w:after="0"/>
              <w:rPr>
                <w:sz w:val="20"/>
                <w:szCs w:val="20"/>
                <w:color w:val="auto"/>
              </w:rPr>
            </w:pPr>
            <w:r>
              <w:rPr>
                <w:rFonts w:ascii="Arial" w:cs="Arial" w:eastAsia="Arial" w:hAnsi="Arial"/>
                <w:sz w:val="18"/>
                <w:szCs w:val="18"/>
                <w:color w:val="auto"/>
              </w:rPr>
              <w:t>2025</w:t>
            </w:r>
          </w:p>
        </w:tc>
        <w:tc>
          <w:tcPr>
            <w:tcW w:w="2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16,884</w:t>
            </w: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2026</w:t>
            </w:r>
          </w:p>
        </w:tc>
        <w:tc>
          <w:tcPr>
            <w:tcW w:w="2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2027 and thereafter</w:t>
            </w:r>
          </w:p>
        </w:tc>
        <w:tc>
          <w:tcPr>
            <w:tcW w:w="29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85,604</w:t>
            </w:r>
          </w:p>
        </w:tc>
        <w:tc>
          <w:tcPr>
            <w:tcW w:w="0" w:type="dxa"/>
            <w:vAlign w:val="bottom"/>
          </w:tcPr>
          <w:p>
            <w:pPr>
              <w:spacing w:after="0"/>
              <w:rPr>
                <w:sz w:val="1"/>
                <w:szCs w:val="1"/>
                <w:color w:val="auto"/>
              </w:rPr>
            </w:pPr>
          </w:p>
        </w:tc>
      </w:tr>
      <w:tr>
        <w:trPr>
          <w:trHeight w:val="242"/>
        </w:trPr>
        <w:tc>
          <w:tcPr>
            <w:tcW w:w="458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ACCRUED LIABILITIES</w:t>
            </w:r>
          </w:p>
        </w:tc>
        <w:tc>
          <w:tcPr>
            <w:tcW w:w="2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4580" w:type="dxa"/>
            <w:vAlign w:val="bottom"/>
            <w:vMerge w:val="continue"/>
          </w:tcPr>
          <w:p>
            <w:pPr>
              <w:spacing w:after="0"/>
              <w:rPr>
                <w:sz w:val="24"/>
                <w:szCs w:val="24"/>
                <w:color w:val="auto"/>
              </w:rPr>
            </w:pPr>
          </w:p>
        </w:tc>
        <w:tc>
          <w:tcPr>
            <w:tcW w:w="2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580" w:type="dxa"/>
            <w:vAlign w:val="bottom"/>
          </w:tcPr>
          <w:p>
            <w:pPr>
              <w:ind w:left="400"/>
              <w:spacing w:after="0"/>
              <w:rPr>
                <w:sz w:val="20"/>
                <w:szCs w:val="20"/>
                <w:color w:val="auto"/>
              </w:rPr>
            </w:pPr>
            <w:r>
              <w:rPr>
                <w:rFonts w:ascii="Arial" w:cs="Arial" w:eastAsia="Arial" w:hAnsi="Arial"/>
                <w:sz w:val="18"/>
                <w:szCs w:val="18"/>
                <w:color w:val="auto"/>
              </w:rPr>
              <w:t>Accrued liabilities consisted of the following:</w:t>
            </w:r>
          </w:p>
        </w:tc>
        <w:tc>
          <w:tcPr>
            <w:tcW w:w="2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8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(in thousands)</w:t>
            </w:r>
          </w:p>
        </w:tc>
        <w:tc>
          <w:tcPr>
            <w:tcW w:w="29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Nov 30, 2021</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May 31, 2021</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Payroll and related expenses</w:t>
            </w:r>
          </w:p>
        </w:tc>
        <w:tc>
          <w:tcPr>
            <w:tcW w:w="3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13,308</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20,408</w:t>
            </w:r>
          </w:p>
        </w:tc>
        <w:tc>
          <w:tcPr>
            <w:tcW w:w="0" w:type="dxa"/>
            <w:vAlign w:val="bottom"/>
          </w:tcPr>
          <w:p>
            <w:pPr>
              <w:spacing w:after="0"/>
              <w:rPr>
                <w:sz w:val="1"/>
                <w:szCs w:val="1"/>
                <w:color w:val="auto"/>
              </w:rPr>
            </w:pPr>
          </w:p>
        </w:tc>
      </w:tr>
      <w:tr>
        <w:trPr>
          <w:trHeight w:val="223"/>
        </w:trPr>
        <w:tc>
          <w:tcPr>
            <w:tcW w:w="4580" w:type="dxa"/>
            <w:vAlign w:val="bottom"/>
          </w:tcPr>
          <w:p>
            <w:pPr>
              <w:ind w:left="420"/>
              <w:spacing w:after="0"/>
              <w:rPr>
                <w:sz w:val="20"/>
                <w:szCs w:val="20"/>
                <w:color w:val="auto"/>
              </w:rPr>
            </w:pPr>
            <w:r>
              <w:rPr>
                <w:rFonts w:ascii="Arial" w:cs="Arial" w:eastAsia="Arial" w:hAnsi="Arial"/>
                <w:sz w:val="18"/>
                <w:szCs w:val="18"/>
                <w:color w:val="auto"/>
              </w:rPr>
              <w:t>Royalties</w:t>
            </w:r>
          </w:p>
        </w:tc>
        <w:tc>
          <w:tcPr>
            <w:tcW w:w="2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severance</w:t>
            </w:r>
          </w:p>
        </w:tc>
        <w:tc>
          <w:tcPr>
            <w:tcW w:w="2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4580" w:type="dxa"/>
            <w:vAlign w:val="bottom"/>
          </w:tcPr>
          <w:p>
            <w:pPr>
              <w:ind w:left="420"/>
              <w:spacing w:after="0"/>
              <w:rPr>
                <w:sz w:val="20"/>
                <w:szCs w:val="20"/>
                <w:color w:val="auto"/>
              </w:rPr>
            </w:pPr>
            <w:r>
              <w:rPr>
                <w:rFonts w:ascii="Arial" w:cs="Arial" w:eastAsia="Arial" w:hAnsi="Arial"/>
                <w:sz w:val="18"/>
                <w:szCs w:val="18"/>
                <w:color w:val="auto"/>
              </w:rPr>
              <w:t>Sales and franchise taxes</w:t>
            </w:r>
          </w:p>
        </w:tc>
        <w:tc>
          <w:tcPr>
            <w:tcW w:w="2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Outside services</w:t>
            </w:r>
          </w:p>
        </w:tc>
        <w:tc>
          <w:tcPr>
            <w:tcW w:w="2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0" w:type="dxa"/>
            <w:vAlign w:val="bottom"/>
          </w:tcPr>
          <w:p>
            <w:pPr>
              <w:spacing w:after="0"/>
              <w:rPr>
                <w:sz w:val="1"/>
                <w:szCs w:val="1"/>
                <w:color w:val="auto"/>
              </w:rPr>
            </w:pPr>
          </w:p>
        </w:tc>
      </w:tr>
      <w:tr>
        <w:trPr>
          <w:trHeight w:val="223"/>
        </w:trPr>
        <w:tc>
          <w:tcPr>
            <w:tcW w:w="4580" w:type="dxa"/>
            <w:vAlign w:val="bottom"/>
          </w:tcPr>
          <w:p>
            <w:pPr>
              <w:ind w:left="420"/>
              <w:spacing w:after="0"/>
              <w:rPr>
                <w:sz w:val="20"/>
                <w:szCs w:val="20"/>
                <w:color w:val="auto"/>
              </w:rPr>
            </w:pPr>
            <w:r>
              <w:rPr>
                <w:rFonts w:ascii="Arial" w:cs="Arial" w:eastAsia="Arial" w:hAnsi="Arial"/>
                <w:sz w:val="18"/>
                <w:szCs w:val="18"/>
                <w:color w:val="auto"/>
              </w:rPr>
              <w:t>Litigation Matters</w:t>
            </w:r>
          </w:p>
        </w:tc>
        <w:tc>
          <w:tcPr>
            <w:tcW w:w="2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Rebates</w:t>
            </w:r>
          </w:p>
        </w:tc>
        <w:tc>
          <w:tcPr>
            <w:tcW w:w="2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Other</w:t>
            </w:r>
          </w:p>
        </w:tc>
        <w:tc>
          <w:tcPr>
            <w:tcW w:w="29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27,715</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jc w:val="right"/>
              <w:ind w:right="1752"/>
              <w:spacing w:after="0"/>
              <w:rPr>
                <w:sz w:val="20"/>
                <w:szCs w:val="20"/>
                <w:color w:val="auto"/>
              </w:rPr>
            </w:pPr>
            <w:r>
              <w:rPr>
                <w:rFonts w:ascii="Arial" w:cs="Arial" w:eastAsia="Arial" w:hAnsi="Arial"/>
                <w:sz w:val="18"/>
                <w:szCs w:val="18"/>
                <w:color w:val="auto"/>
              </w:rPr>
              <w:t>13</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2"/>
        </w:trPr>
        <w:tc>
          <w:tcPr>
            <w:tcW w:w="45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58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67" w:lineRule="exact"/>
        <w:rPr>
          <w:sz w:val="20"/>
          <w:szCs w:val="20"/>
          <w:color w:val="auto"/>
        </w:rPr>
      </w:pPr>
    </w:p>
    <w:p>
      <w:pPr>
        <w:jc w:val="both"/>
        <w:ind w:right="80" w:firstLine="395"/>
        <w:spacing w:after="0" w:line="252" w:lineRule="auto"/>
        <w:rPr>
          <w:sz w:val="20"/>
          <w:szCs w:val="20"/>
          <w:color w:val="auto"/>
        </w:rPr>
      </w:pPr>
      <w:r>
        <w:rPr>
          <w:rFonts w:ascii="Arial" w:cs="Arial" w:eastAsia="Arial" w:hAnsi="Arial"/>
          <w:sz w:val="18"/>
          <w:szCs w:val="18"/>
          <w:color w:val="auto"/>
        </w:rPr>
        <w:t>On June 3, 2019 the Company repaid all amounts outstanding under its then existing credit agreement and entered into a new Credit Agreement with the lender's party thereto, JPMorgan Chase Bank, N.A., as administrative agent, and Bank of America, N.A. and KeyBank National Association, as co-syndication agents.</w:t>
      </w:r>
    </w:p>
    <w:p>
      <w:pPr>
        <w:spacing w:after="0" w:line="138" w:lineRule="exact"/>
        <w:rPr>
          <w:sz w:val="20"/>
          <w:szCs w:val="20"/>
          <w:color w:val="auto"/>
        </w:rPr>
      </w:pPr>
    </w:p>
    <w:p>
      <w:pPr>
        <w:ind w:right="80" w:firstLine="395"/>
        <w:spacing w:after="0" w:line="291" w:lineRule="auto"/>
        <w:rPr>
          <w:sz w:val="20"/>
          <w:szCs w:val="20"/>
          <w:color w:val="auto"/>
        </w:rPr>
      </w:pPr>
      <w:r>
        <w:rPr>
          <w:rFonts w:ascii="Arial" w:cs="Arial" w:eastAsia="Arial" w:hAnsi="Arial"/>
          <w:sz w:val="16"/>
          <w:szCs w:val="16"/>
          <w:color w:val="auto"/>
        </w:rPr>
        <w:t>The Credit Agreement provides for a $125.0 million secured revolving credit facility (the “Revolving Facility”), which includes an uncommitted expansion feature that allows the Company to increase the total revolving commitments and/or add new tranches of term loans in an aggregate amount not to exceed $75.0 million. The proceeds may be used to refinance certain existing indebtedness of the Company and its subsidiaries, to finance the working capital needs, and for general corporate purposes (including permitted acquisitions), of the Company and its subsidiaries.</w:t>
      </w:r>
    </w:p>
    <w:p>
      <w:pPr>
        <w:spacing w:after="0" w:line="108"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The Credit Agreement has a five-year maturity. Interest on the facility is based, at the Company’s option, on either a base rate of LIBOR or alternate base rate, plus an applicable margin tied to the Company’s total leverage ratio and having ranges between 0.25% and 0.75% for base rate loans and between 1.25% and 1.75% for LIBOR loans. After default, the interest rate may be increased by 2.0%. The facility also carries a commitment fee of 0.20% to 0.25% per annum on the unused portion.</w:t>
      </w:r>
    </w:p>
    <w:p>
      <w:pPr>
        <w:spacing w:after="0" w:line="138" w:lineRule="exact"/>
        <w:rPr>
          <w:sz w:val="20"/>
          <w:szCs w:val="20"/>
          <w:color w:val="auto"/>
        </w:rPr>
      </w:pPr>
    </w:p>
    <w:p>
      <w:pPr>
        <w:ind w:right="100" w:firstLine="395"/>
        <w:spacing w:after="0" w:line="252" w:lineRule="auto"/>
        <w:rPr>
          <w:sz w:val="20"/>
          <w:szCs w:val="20"/>
          <w:color w:val="auto"/>
        </w:rPr>
      </w:pPr>
      <w:r>
        <w:rPr>
          <w:rFonts w:ascii="Arial" w:cs="Arial" w:eastAsia="Arial" w:hAnsi="Arial"/>
          <w:sz w:val="18"/>
          <w:szCs w:val="18"/>
          <w:color w:val="auto"/>
        </w:rPr>
        <w:t>The Company's obligations under the Revolving Facility are unconditionally guaranteed, jointly and severally, by the Company's material direct and indirect domestic subsidiaries (the “Guarantors”). All obligations of the Company and the Guarantors under the Revolving Facility are secured by first priority security interests in substantially all of the assets of the Company and the Guarantors.</w:t>
      </w:r>
    </w:p>
    <w:p>
      <w:pPr>
        <w:spacing w:after="0" w:line="138" w:lineRule="exact"/>
        <w:rPr>
          <w:sz w:val="20"/>
          <w:szCs w:val="20"/>
          <w:color w:val="auto"/>
        </w:rPr>
      </w:pPr>
    </w:p>
    <w:p>
      <w:pPr>
        <w:ind w:right="540" w:firstLine="395"/>
        <w:spacing w:after="0" w:line="261" w:lineRule="auto"/>
        <w:rPr>
          <w:sz w:val="20"/>
          <w:szCs w:val="20"/>
          <w:color w:val="auto"/>
        </w:rPr>
      </w:pPr>
      <w:r>
        <w:rPr>
          <w:rFonts w:ascii="Arial" w:cs="Arial" w:eastAsia="Arial" w:hAnsi="Arial"/>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29" w:lineRule="exact"/>
        <w:rPr>
          <w:sz w:val="20"/>
          <w:szCs w:val="20"/>
          <w:color w:val="auto"/>
        </w:rPr>
      </w:pPr>
    </w:p>
    <w:p>
      <w:pPr>
        <w:ind w:left="640" w:right="620" w:hanging="240"/>
        <w:spacing w:after="0" w:line="261" w:lineRule="auto"/>
        <w:tabs>
          <w:tab w:leader="none" w:pos="636" w:val="left"/>
        </w:tabs>
        <w:numPr>
          <w:ilvl w:val="1"/>
          <w:numId w:val="4"/>
        </w:numPr>
        <w:rPr>
          <w:rFonts w:ascii="Arial" w:cs="Arial" w:eastAsia="Arial" w:hAnsi="Arial"/>
          <w:sz w:val="18"/>
          <w:szCs w:val="18"/>
          <w:color w:val="auto"/>
        </w:rPr>
      </w:pPr>
      <w:r>
        <w:rPr>
          <w:rFonts w:ascii="Arial" w:cs="Arial" w:eastAsia="Arial" w:hAnsi="Arial"/>
          <w:sz w:val="18"/>
          <w:szCs w:val="18"/>
          <w:color w:val="auto"/>
        </w:rPr>
        <w:t>Maximum leverage ratio of consolidated total indebtedness* to consolidated EBITDA* of not greater than 3.00 to 1.00 (during certain periods following material acquisitions the ratio shall be increased to 3.50 to 1.00).</w:t>
      </w:r>
    </w:p>
    <w:p>
      <w:pPr>
        <w:spacing w:after="0" w:line="128" w:lineRule="exact"/>
        <w:rPr>
          <w:rFonts w:ascii="Arial" w:cs="Arial" w:eastAsia="Arial" w:hAnsi="Arial"/>
          <w:sz w:val="18"/>
          <w:szCs w:val="18"/>
          <w:color w:val="auto"/>
        </w:rPr>
      </w:pPr>
    </w:p>
    <w:p>
      <w:pPr>
        <w:ind w:left="640" w:right="240" w:hanging="240"/>
        <w:spacing w:after="0" w:line="324" w:lineRule="auto"/>
        <w:tabs>
          <w:tab w:leader="none" w:pos="636" w:val="left"/>
        </w:tabs>
        <w:numPr>
          <w:ilvl w:val="1"/>
          <w:numId w:val="4"/>
        </w:numPr>
        <w:rPr>
          <w:rFonts w:ascii="Arial" w:cs="Arial" w:eastAsia="Arial" w:hAnsi="Arial"/>
          <w:sz w:val="16"/>
          <w:szCs w:val="16"/>
          <w:color w:val="auto"/>
        </w:rPr>
      </w:pPr>
      <w:r>
        <w:rPr>
          <w:rFonts w:ascii="Arial" w:cs="Arial" w:eastAsia="Arial" w:hAnsi="Arial"/>
          <w:sz w:val="16"/>
          <w:szCs w:val="16"/>
          <w:color w:val="auto"/>
        </w:rPr>
        <w:t>Fixed charge coverage ratio of consolidated EBITDA minus consolidated capital expenditures* to consolidated interest expense* paid or payable in cash plus scheduled principal payments in respect of indebtedness under the Credit Agreement of not less than 1.25 to 1.00.</w:t>
      </w:r>
    </w:p>
    <w:p>
      <w:pPr>
        <w:spacing w:after="0" w:line="76" w:lineRule="exact"/>
        <w:rPr>
          <w:rFonts w:ascii="Arial" w:cs="Arial" w:eastAsia="Arial" w:hAnsi="Arial"/>
          <w:sz w:val="16"/>
          <w:szCs w:val="16"/>
          <w:color w:val="auto"/>
        </w:rPr>
      </w:pPr>
    </w:p>
    <w:p>
      <w:pPr>
        <w:ind w:right="420"/>
        <w:spacing w:after="0" w:line="262" w:lineRule="auto"/>
        <w:rPr>
          <w:rFonts w:ascii="Arial" w:cs="Arial" w:eastAsia="Arial" w:hAnsi="Arial"/>
          <w:sz w:val="16"/>
          <w:szCs w:val="16"/>
          <w:color w:val="auto"/>
        </w:rPr>
      </w:pPr>
      <w:r>
        <w:rPr>
          <w:rFonts w:ascii="Arial" w:cs="Arial" w:eastAsia="Arial" w:hAnsi="Arial"/>
          <w:sz w:val="14"/>
          <w:szCs w:val="14"/>
          <w:color w:val="auto"/>
        </w:rPr>
        <w:t>* The definitions of consolidated total indebtedness, consolidated EBITDA, consolidated capital expenditures and consolidated interest expense are specifically defined in the Credit Agreement included as an exhibit to Form 8-K filed on June 6, 2019.</w:t>
      </w:r>
    </w:p>
    <w:p>
      <w:pPr>
        <w:spacing w:after="0" w:line="128"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As of November 30, 2021, there was $25.0 million outstanding on the Revolving Facility. As of November 30, 2021 and May 31, 2021, the carrying value of long-term debt approximated its fair market value.</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interest rate on the Revolving Facility at November 30, 2021 was 1.34%.</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67" w:lineRule="exact"/>
        <w:rPr>
          <w:sz w:val="20"/>
          <w:szCs w:val="20"/>
          <w:color w:val="auto"/>
        </w:rPr>
      </w:pPr>
    </w:p>
    <w:p>
      <w:pPr>
        <w:ind w:right="60" w:firstLine="395"/>
        <w:spacing w:after="0" w:line="287" w:lineRule="auto"/>
        <w:rPr>
          <w:sz w:val="20"/>
          <w:szCs w:val="20"/>
          <w:color w:val="auto"/>
        </w:rPr>
      </w:pPr>
      <w:r>
        <w:rPr>
          <w:rFonts w:ascii="Arial" w:cs="Arial" w:eastAsia="Arial" w:hAnsi="Arial"/>
          <w:sz w:val="16"/>
          <w:szCs w:val="16"/>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12.3% as of the second quarter of fiscal year 2022, as compared to 16.1% for the same period in fiscal year 2021. In fiscal year 2022,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11" w:lineRule="exact"/>
        <w:rPr>
          <w:sz w:val="20"/>
          <w:szCs w:val="20"/>
          <w:color w:val="auto"/>
        </w:rPr>
      </w:pPr>
    </w:p>
    <w:p>
      <w:pPr>
        <w:ind w:right="360" w:firstLine="395"/>
        <w:spacing w:after="0" w:line="252" w:lineRule="auto"/>
        <w:rPr>
          <w:sz w:val="20"/>
          <w:szCs w:val="20"/>
          <w:color w:val="auto"/>
        </w:rPr>
      </w:pPr>
      <w:r>
        <w:rPr>
          <w:rFonts w:ascii="Arial" w:cs="Arial" w:eastAsia="Arial" w:hAnsi="Arial"/>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138"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November 30, 2021.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167" w:lineRule="exact"/>
        <w:rPr>
          <w:sz w:val="20"/>
          <w:szCs w:val="20"/>
          <w:color w:val="auto"/>
        </w:rPr>
      </w:pPr>
    </w:p>
    <w:p>
      <w:pPr>
        <w:ind w:right="100" w:firstLine="395"/>
        <w:spacing w:after="0" w:line="291" w:lineRule="auto"/>
        <w:rPr>
          <w:sz w:val="20"/>
          <w:szCs w:val="20"/>
          <w:color w:val="auto"/>
        </w:rPr>
      </w:pPr>
      <w:r>
        <w:rPr>
          <w:rFonts w:ascii="Arial" w:cs="Arial" w:eastAsia="Arial" w:hAnsi="Arial"/>
          <w:sz w:val="16"/>
          <w:szCs w:val="16"/>
          <w:color w:val="auto"/>
        </w:rPr>
        <w:t>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As of November 30, 2021, there was a maximum of 1.5 million shares of common stock available for future grant under the 2020 Plan.</w:t>
      </w:r>
    </w:p>
    <w:p>
      <w:pPr>
        <w:spacing w:after="0" w:line="108" w:lineRule="exact"/>
        <w:rPr>
          <w:sz w:val="20"/>
          <w:szCs w:val="20"/>
          <w:color w:val="auto"/>
        </w:rPr>
      </w:pPr>
    </w:p>
    <w:p>
      <w:pPr>
        <w:jc w:val="both"/>
        <w:ind w:right="120" w:firstLine="395"/>
        <w:spacing w:after="0" w:line="252" w:lineRule="auto"/>
        <w:rPr>
          <w:sz w:val="20"/>
          <w:szCs w:val="20"/>
          <w:color w:val="auto"/>
        </w:rPr>
      </w:pPr>
      <w:r>
        <w:rPr>
          <w:rFonts w:ascii="Arial" w:cs="Arial" w:eastAsia="Arial" w:hAnsi="Arial"/>
          <w:sz w:val="18"/>
          <w:szCs w:val="18"/>
          <w:color w:val="auto"/>
        </w:rPr>
        <w:t>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w:t>
      </w:r>
    </w:p>
    <w:p>
      <w:pPr>
        <w:spacing w:after="0" w:line="138" w:lineRule="exact"/>
        <w:rPr>
          <w:sz w:val="20"/>
          <w:szCs w:val="20"/>
          <w:color w:val="auto"/>
        </w:rPr>
      </w:pPr>
    </w:p>
    <w:p>
      <w:pPr>
        <w:ind w:right="580" w:firstLine="395"/>
        <w:spacing w:after="0" w:line="261" w:lineRule="auto"/>
        <w:rPr>
          <w:sz w:val="20"/>
          <w:szCs w:val="20"/>
          <w:color w:val="auto"/>
        </w:rPr>
      </w:pPr>
      <w:r>
        <w:rPr>
          <w:rFonts w:ascii="Arial" w:cs="Arial" w:eastAsia="Arial" w:hAnsi="Arial"/>
          <w:sz w:val="18"/>
          <w:szCs w:val="18"/>
          <w:color w:val="auto"/>
        </w:rPr>
        <w:t>The Company also has an employee stock purchase plan. As of November 30, 2021, there was a maximum of 2.4 million shares of common stock available for future grant under the employee stock purchase plan.</w:t>
      </w:r>
    </w:p>
    <w:p>
      <w:pPr>
        <w:spacing w:after="0" w:line="129" w:lineRule="exact"/>
        <w:rPr>
          <w:sz w:val="20"/>
          <w:szCs w:val="20"/>
          <w:color w:val="auto"/>
        </w:rPr>
      </w:pPr>
    </w:p>
    <w:p>
      <w:pPr>
        <w:ind w:right="60" w:firstLine="395"/>
        <w:spacing w:after="0" w:line="324" w:lineRule="auto"/>
        <w:rPr>
          <w:sz w:val="20"/>
          <w:szCs w:val="20"/>
          <w:color w:val="auto"/>
        </w:rPr>
      </w:pPr>
      <w:r>
        <w:rPr>
          <w:rFonts w:ascii="Arial" w:cs="Arial" w:eastAsia="Arial" w:hAnsi="Arial"/>
          <w:sz w:val="16"/>
          <w:szCs w:val="16"/>
          <w:color w:val="auto"/>
        </w:rPr>
        <w:t>For the three months ended November 30, 2021 and 2020, share-based compensation expense was $3.0 million and $2.4 million, respectively. For the six months ended November 30, 2021 and 2020, share-based compensation expense was $5.4 million and $4.3 million, respectively.</w:t>
      </w:r>
    </w:p>
    <w:p>
      <w:pPr>
        <w:spacing w:after="0" w:line="82" w:lineRule="exact"/>
        <w:rPr>
          <w:sz w:val="20"/>
          <w:szCs w:val="20"/>
          <w:color w:val="auto"/>
        </w:rPr>
      </w:pPr>
    </w:p>
    <w:p>
      <w:pPr>
        <w:ind w:right="40" w:firstLine="395"/>
        <w:spacing w:after="0" w:line="291" w:lineRule="auto"/>
        <w:rPr>
          <w:sz w:val="20"/>
          <w:szCs w:val="20"/>
          <w:color w:val="auto"/>
        </w:rPr>
      </w:pPr>
      <w:r>
        <w:rPr>
          <w:rFonts w:ascii="Arial" w:cs="Arial" w:eastAsia="Arial" w:hAnsi="Arial"/>
          <w:sz w:val="16"/>
          <w:szCs w:val="16"/>
          <w:color w:val="auto"/>
        </w:rPr>
        <w:t>During the six months ended November 30, 2021 and 2020, the Company granted stock options and restricted stock units under the 2020 and 2004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the Company’s common stock on the date of grant and then amortized on a straight-line basis over the requisite service period of the award.</w:t>
      </w:r>
    </w:p>
    <w:p>
      <w:pPr>
        <w:spacing w:after="0" w:line="108" w:lineRule="exact"/>
        <w:rPr>
          <w:sz w:val="20"/>
          <w:szCs w:val="20"/>
          <w:color w:val="auto"/>
        </w:rPr>
      </w:pPr>
    </w:p>
    <w:p>
      <w:pPr>
        <w:ind w:right="20" w:firstLine="395"/>
        <w:spacing w:after="0" w:line="291" w:lineRule="auto"/>
        <w:rPr>
          <w:sz w:val="20"/>
          <w:szCs w:val="20"/>
          <w:color w:val="auto"/>
        </w:rPr>
      </w:pPr>
      <w:r>
        <w:rPr>
          <w:rFonts w:ascii="Arial" w:cs="Arial" w:eastAsia="Arial" w:hAnsi="Arial"/>
          <w:sz w:val="16"/>
          <w:szCs w:val="16"/>
          <w:color w:val="auto"/>
        </w:rPr>
        <w:t>During the six months ended November 30, 2021 and 2020, the Company granted performance share units under the 2020 and 2004 Plan to certain employees. The awards may be earned by achieving performance levels over the requisite service period. The performance criteria are based on achieving certain performance targets and the total shareholder return (“TSR”) of the Company’s common stock relative to the TSR of the common stock of a pre-defined industry peer-group. The fair value of these awards is based on a Monte Carlo simulation model.</w:t>
      </w:r>
    </w:p>
    <w:p>
      <w:pPr>
        <w:spacing w:after="0" w:line="108" w:lineRule="exact"/>
        <w:rPr>
          <w:sz w:val="20"/>
          <w:szCs w:val="20"/>
          <w:color w:val="auto"/>
        </w:rPr>
      </w:pPr>
    </w:p>
    <w:p>
      <w:pPr>
        <w:ind w:right="100" w:firstLine="395"/>
        <w:spacing w:after="0" w:line="252" w:lineRule="auto"/>
        <w:rPr>
          <w:sz w:val="20"/>
          <w:szCs w:val="20"/>
          <w:color w:val="auto"/>
        </w:rPr>
      </w:pPr>
      <w:r>
        <w:rPr>
          <w:rFonts w:ascii="Arial" w:cs="Arial" w:eastAsia="Arial" w:hAnsi="Arial"/>
          <w:sz w:val="18"/>
          <w:szCs w:val="18"/>
          <w:color w:val="auto"/>
        </w:rPr>
        <w:t>As of November 30, 2021, there was $22.1 million of unrecognized compensation expense related to share-based payment arrangements. These costs are expected to be recognized over a weighted-average period of approximately three years. The Company has sufficient shares to satisfy expected share-based payment arrangements.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67"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reconciles basic to diluted weighted-average shares outstanding: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3080" w:type="dxa"/>
            <w:vAlign w:val="bottom"/>
            <w:gridSpan w:val="4"/>
          </w:tcPr>
          <w:p>
            <w:pPr>
              <w:ind w:left="1100"/>
              <w:spacing w:after="0"/>
              <w:rPr>
                <w:sz w:val="20"/>
                <w:szCs w:val="20"/>
                <w:color w:val="auto"/>
              </w:rPr>
            </w:pPr>
            <w:r>
              <w:rPr>
                <w:rFonts w:ascii="Arial" w:cs="Arial" w:eastAsia="Arial" w:hAnsi="Arial"/>
                <w:sz w:val="14"/>
                <w:szCs w:val="14"/>
                <w:color w:val="auto"/>
              </w:rPr>
              <w:t>Three Months Ended</w:t>
            </w:r>
          </w:p>
        </w:tc>
        <w:tc>
          <w:tcPr>
            <w:tcW w:w="2980" w:type="dxa"/>
            <w:vAlign w:val="bottom"/>
            <w:gridSpan w:val="3"/>
          </w:tcPr>
          <w:p>
            <w:pPr>
              <w:jc w:val="right"/>
              <w:ind w:right="676"/>
              <w:spacing w:after="0"/>
              <w:rPr>
                <w:sz w:val="20"/>
                <w:szCs w:val="20"/>
                <w:color w:val="auto"/>
              </w:rPr>
            </w:pPr>
            <w:r>
              <w:rPr>
                <w:rFonts w:ascii="Arial" w:cs="Arial" w:eastAsia="Arial" w:hAnsi="Arial"/>
                <w:sz w:val="14"/>
                <w:szCs w:val="14"/>
                <w:color w:val="auto"/>
              </w:rPr>
              <w:t>Six Months Ended</w:t>
            </w:r>
          </w:p>
        </w:tc>
      </w:tr>
      <w:tr>
        <w:trPr>
          <w:trHeight w:val="182"/>
        </w:trPr>
        <w:tc>
          <w:tcPr>
            <w:tcW w:w="5180" w:type="dxa"/>
            <w:vAlign w:val="bottom"/>
          </w:tcPr>
          <w:p>
            <w:pPr>
              <w:ind w:left="420"/>
              <w:spacing w:after="0"/>
              <w:rPr>
                <w:sz w:val="20"/>
                <w:szCs w:val="20"/>
                <w:color w:val="auto"/>
              </w:rPr>
            </w:pPr>
            <w:r>
              <w:rPr>
                <w:rFonts w:ascii="Arial" w:cs="Arial" w:eastAsia="Arial" w:hAnsi="Arial"/>
                <w:sz w:val="14"/>
                <w:szCs w:val="14"/>
                <w:color w:val="auto"/>
              </w:rPr>
              <w:t>(in thousands)</w:t>
            </w:r>
          </w:p>
        </w:tc>
        <w:tc>
          <w:tcPr>
            <w:tcW w:w="1540" w:type="dxa"/>
            <w:vAlign w:val="bottom"/>
            <w:tcBorders>
              <w:top w:val="single" w:sz="8" w:color="auto"/>
            </w:tcBorders>
            <w:gridSpan w:val="2"/>
          </w:tcPr>
          <w:p>
            <w:pPr>
              <w:ind w:left="540"/>
              <w:spacing w:after="0"/>
              <w:rPr>
                <w:sz w:val="20"/>
                <w:szCs w:val="20"/>
                <w:color w:val="auto"/>
              </w:rPr>
            </w:pPr>
            <w:r>
              <w:rPr>
                <w:rFonts w:ascii="Arial" w:cs="Arial" w:eastAsia="Arial" w:hAnsi="Arial"/>
                <w:sz w:val="14"/>
                <w:szCs w:val="14"/>
                <w:color w:val="auto"/>
              </w:rPr>
              <w:t>Nov 30, 2021</w:t>
            </w:r>
          </w:p>
        </w:tc>
        <w:tc>
          <w:tcPr>
            <w:tcW w:w="1440" w:type="dxa"/>
            <w:vAlign w:val="bottom"/>
            <w:tcBorders>
              <w:top w:val="single" w:sz="8" w:color="auto"/>
            </w:tcBorders>
          </w:tcPr>
          <w:p>
            <w:pPr>
              <w:jc w:val="right"/>
              <w:ind w:right="56"/>
              <w:spacing w:after="0"/>
              <w:rPr>
                <w:sz w:val="20"/>
                <w:szCs w:val="20"/>
                <w:color w:val="auto"/>
              </w:rPr>
            </w:pPr>
            <w:r>
              <w:rPr>
                <w:rFonts w:ascii="Arial" w:cs="Arial" w:eastAsia="Arial" w:hAnsi="Arial"/>
                <w:sz w:val="14"/>
                <w:szCs w:val="14"/>
                <w:color w:val="auto"/>
              </w:rPr>
              <w:t>Nov 30, 2020</w:t>
            </w:r>
          </w:p>
        </w:tc>
        <w:tc>
          <w:tcPr>
            <w:tcW w:w="100" w:type="dxa"/>
            <w:vAlign w:val="bottom"/>
          </w:tcPr>
          <w:p>
            <w:pPr>
              <w:spacing w:after="0"/>
              <w:rPr>
                <w:sz w:val="15"/>
                <w:szCs w:val="15"/>
                <w:color w:val="auto"/>
              </w:rPr>
            </w:pPr>
          </w:p>
        </w:tc>
        <w:tc>
          <w:tcPr>
            <w:tcW w:w="1540" w:type="dxa"/>
            <w:vAlign w:val="bottom"/>
            <w:tcBorders>
              <w:top w:val="single" w:sz="8" w:color="auto"/>
            </w:tcBorders>
            <w:gridSpan w:val="2"/>
          </w:tcPr>
          <w:p>
            <w:pPr>
              <w:ind w:left="540"/>
              <w:spacing w:after="0"/>
              <w:rPr>
                <w:sz w:val="20"/>
                <w:szCs w:val="20"/>
                <w:color w:val="auto"/>
              </w:rPr>
            </w:pPr>
            <w:r>
              <w:rPr>
                <w:rFonts w:ascii="Arial" w:cs="Arial" w:eastAsia="Arial" w:hAnsi="Arial"/>
                <w:sz w:val="14"/>
                <w:szCs w:val="14"/>
                <w:color w:val="auto"/>
              </w:rPr>
              <w:t>Nov 30, 2021</w:t>
            </w:r>
          </w:p>
        </w:tc>
        <w:tc>
          <w:tcPr>
            <w:tcW w:w="1440" w:type="dxa"/>
            <w:vAlign w:val="bottom"/>
            <w:tcBorders>
              <w:top w:val="single" w:sz="8" w:color="auto"/>
            </w:tcBorders>
          </w:tcPr>
          <w:p>
            <w:pPr>
              <w:jc w:val="right"/>
              <w:ind w:right="56"/>
              <w:spacing w:after="0"/>
              <w:rPr>
                <w:sz w:val="20"/>
                <w:szCs w:val="20"/>
                <w:color w:val="auto"/>
              </w:rPr>
            </w:pPr>
            <w:r>
              <w:rPr>
                <w:rFonts w:ascii="Arial" w:cs="Arial" w:eastAsia="Arial" w:hAnsi="Arial"/>
                <w:sz w:val="14"/>
                <w:szCs w:val="14"/>
                <w:color w:val="auto"/>
              </w:rPr>
              <w:t>Nov 30, 2020</w:t>
            </w:r>
          </w:p>
        </w:tc>
      </w:tr>
      <w:tr>
        <w:trPr>
          <w:trHeight w:val="219"/>
        </w:trPr>
        <w:tc>
          <w:tcPr>
            <w:tcW w:w="5180" w:type="dxa"/>
            <w:vAlign w:val="bottom"/>
            <w:tcBorders>
              <w:top w:val="single" w:sz="8" w:color="CCEEFF"/>
            </w:tcBorders>
            <w:shd w:val="clear" w:color="auto" w:fill="CCEEFF"/>
          </w:tcPr>
          <w:p>
            <w:pPr>
              <w:ind w:left="420"/>
              <w:spacing w:after="0" w:line="206" w:lineRule="exact"/>
              <w:rPr>
                <w:sz w:val="20"/>
                <w:szCs w:val="20"/>
                <w:color w:val="auto"/>
              </w:rPr>
            </w:pPr>
            <w:r>
              <w:rPr>
                <w:rFonts w:ascii="Arial" w:cs="Arial" w:eastAsia="Arial" w:hAnsi="Arial"/>
                <w:sz w:val="18"/>
                <w:szCs w:val="18"/>
                <w:color w:val="auto"/>
              </w:rPr>
              <w:t>Basic</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38,242</w:t>
            </w:r>
          </w:p>
        </w:tc>
      </w:tr>
      <w:tr>
        <w:trPr>
          <w:trHeight w:val="223"/>
        </w:trPr>
        <w:tc>
          <w:tcPr>
            <w:tcW w:w="5180" w:type="dxa"/>
            <w:vAlign w:val="bottom"/>
          </w:tcPr>
          <w:p>
            <w:pPr>
              <w:ind w:left="420"/>
              <w:spacing w:after="0"/>
              <w:rPr>
                <w:sz w:val="20"/>
                <w:szCs w:val="20"/>
                <w:color w:val="auto"/>
              </w:rPr>
            </w:pPr>
            <w:r>
              <w:rPr>
                <w:rFonts w:ascii="Arial" w:cs="Arial" w:eastAsia="Arial" w:hAnsi="Arial"/>
                <w:sz w:val="18"/>
                <w:szCs w:val="18"/>
                <w:color w:val="auto"/>
              </w:rPr>
              <w:t>Effect of dilutive securities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5180" w:type="dxa"/>
            <w:vAlign w:val="bottom"/>
            <w:tcBorders>
              <w:top w:val="single" w:sz="8" w:color="CCEEFF"/>
              <w:bottom w:val="single" w:sz="8" w:color="CCEEFF"/>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Diluted</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9"/>
        </w:trPr>
        <w:tc>
          <w:tcPr>
            <w:tcW w:w="5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Securities excluded as their inclusion would be anti-dilutive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167"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color w:val="auto"/>
        </w:rPr>
        <w:t>The Company considers the business to be a single operating segment engaged in the development, manufacture and sale of medical devices for vascular access, peripheral vascular disease and oncology on a global basis. The Company's chief operating decision maker, the President and Chief Executive Officer (CEO), evaluates the various global product portfolios on a net sales basis utilizing various breakouts of the data including Global Business Unit, Med Tech versus Med Device and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geography. Executives reporting to the CEO include those responsible for commercial operations, manufacturing operations, regulatory and quality and certain corporate functions. The CEO evaluates profitability, investment and cash flow metrics on a consolidated global basis due to shared infrastructure and resources.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summarizes net sales by Global Business Unit: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color w:val="auto"/>
              </w:rPr>
              <w:t>Three Months Ended</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Six Months Ended</w:t>
            </w: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4000" w:type="dxa"/>
            <w:vAlign w:val="bottom"/>
            <w:gridSpan w:val="2"/>
          </w:tcPr>
          <w:p>
            <w:pPr>
              <w:ind w:left="420"/>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5"/>
                <w:szCs w:val="15"/>
                <w:color w:val="auto"/>
              </w:rPr>
            </w:pPr>
          </w:p>
        </w:tc>
        <w:tc>
          <w:tcPr>
            <w:tcW w:w="1260" w:type="dxa"/>
            <w:vAlign w:val="bottom"/>
            <w:gridSpan w:val="5"/>
          </w:tcPr>
          <w:p>
            <w:pPr>
              <w:ind w:left="120"/>
              <w:spacing w:after="0"/>
              <w:rPr>
                <w:sz w:val="20"/>
                <w:szCs w:val="20"/>
                <w:color w:val="auto"/>
              </w:rPr>
            </w:pPr>
            <w:r>
              <w:rPr>
                <w:rFonts w:ascii="Arial" w:cs="Arial" w:eastAsia="Arial" w:hAnsi="Arial"/>
                <w:sz w:val="14"/>
                <w:szCs w:val="14"/>
                <w:color w:val="auto"/>
              </w:rPr>
              <w:t>Nov 30, 2021</w:t>
            </w:r>
          </w:p>
        </w:tc>
        <w:tc>
          <w:tcPr>
            <w:tcW w:w="1720" w:type="dxa"/>
            <w:vAlign w:val="bottom"/>
            <w:gridSpan w:val="5"/>
          </w:tcPr>
          <w:p>
            <w:pPr>
              <w:ind w:left="680"/>
              <w:spacing w:after="0"/>
              <w:rPr>
                <w:sz w:val="20"/>
                <w:szCs w:val="20"/>
                <w:color w:val="auto"/>
              </w:rPr>
            </w:pPr>
            <w:r>
              <w:rPr>
                <w:rFonts w:ascii="Arial" w:cs="Arial" w:eastAsia="Arial" w:hAnsi="Arial"/>
                <w:sz w:val="14"/>
                <w:szCs w:val="14"/>
                <w:color w:val="auto"/>
              </w:rPr>
              <w:t>Nov 30, 2020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ind w:left="40"/>
              <w:spacing w:after="0"/>
              <w:rPr>
                <w:sz w:val="20"/>
                <w:szCs w:val="20"/>
                <w:color w:val="auto"/>
              </w:rPr>
            </w:pPr>
            <w:r>
              <w:rPr>
                <w:rFonts w:ascii="Arial" w:cs="Arial" w:eastAsia="Arial" w:hAnsi="Arial"/>
                <w:sz w:val="14"/>
                <w:szCs w:val="14"/>
                <w:color w:val="auto"/>
              </w:rPr>
              <w:t>Nov 30, 2021</w:t>
            </w:r>
          </w:p>
        </w:tc>
        <w:tc>
          <w:tcPr>
            <w:tcW w:w="340" w:type="dxa"/>
            <w:vAlign w:val="bottom"/>
          </w:tcPr>
          <w:p>
            <w:pPr>
              <w:spacing w:after="0"/>
              <w:rPr>
                <w:sz w:val="15"/>
                <w:szCs w:val="15"/>
                <w:color w:val="auto"/>
              </w:rPr>
            </w:pPr>
          </w:p>
        </w:tc>
        <w:tc>
          <w:tcPr>
            <w:tcW w:w="1060" w:type="dxa"/>
            <w:vAlign w:val="bottom"/>
          </w:tcPr>
          <w:p>
            <w:pPr>
              <w:jc w:val="right"/>
              <w:ind w:right="196"/>
              <w:spacing w:after="0"/>
              <w:rPr>
                <w:sz w:val="20"/>
                <w:szCs w:val="20"/>
                <w:color w:val="auto"/>
              </w:rPr>
            </w:pPr>
            <w:r>
              <w:rPr>
                <w:rFonts w:ascii="Arial" w:cs="Arial" w:eastAsia="Arial" w:hAnsi="Arial"/>
                <w:sz w:val="14"/>
                <w:szCs w:val="14"/>
                <w:color w:val="auto"/>
                <w:w w:val="91"/>
              </w:rPr>
              <w:t>Nov 30, 2020</w:t>
            </w:r>
          </w:p>
        </w:tc>
        <w:tc>
          <w:tcPr>
            <w:tcW w:w="40" w:type="dxa"/>
            <w:vAlign w:val="bottom"/>
          </w:tcPr>
          <w:p>
            <w:pPr>
              <w:spacing w:after="0"/>
              <w:rPr>
                <w:sz w:val="15"/>
                <w:szCs w:val="15"/>
                <w:color w:val="auto"/>
              </w:rPr>
            </w:pPr>
          </w:p>
        </w:tc>
      </w:tr>
      <w:tr>
        <w:trPr>
          <w:trHeight w:val="206"/>
        </w:trPr>
        <w:tc>
          <w:tcPr>
            <w:tcW w:w="4000" w:type="dxa"/>
            <w:vAlign w:val="bottom"/>
            <w:tcBorders>
              <w:top w:val="single" w:sz="8" w:color="CCEEFF"/>
            </w:tcBorders>
            <w:gridSpan w:val="2"/>
            <w:shd w:val="clear" w:color="auto" w:fill="CCEEFF"/>
          </w:tcPr>
          <w:p>
            <w:pPr>
              <w:ind w:left="420"/>
              <w:spacing w:after="0" w:line="206" w:lineRule="exact"/>
              <w:rPr>
                <w:sz w:val="20"/>
                <w:szCs w:val="20"/>
                <w:color w:val="auto"/>
              </w:rPr>
            </w:pPr>
            <w:r>
              <w:rPr>
                <w:rFonts w:ascii="Arial" w:cs="Arial" w:eastAsia="Arial" w:hAnsi="Arial"/>
                <w:sz w:val="18"/>
                <w:szCs w:val="18"/>
                <w:color w:val="auto"/>
              </w:rPr>
              <w:t>Net Sales</w:t>
            </w: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4000" w:type="dxa"/>
            <w:vAlign w:val="bottom"/>
            <w:gridSpan w:val="2"/>
          </w:tcPr>
          <w:p>
            <w:pPr>
              <w:ind w:left="740"/>
              <w:spacing w:after="0"/>
              <w:rPr>
                <w:sz w:val="20"/>
                <w:szCs w:val="20"/>
                <w:color w:val="auto"/>
              </w:rPr>
            </w:pPr>
            <w:r>
              <w:rPr>
                <w:rFonts w:ascii="Arial" w:cs="Arial" w:eastAsia="Arial" w:hAnsi="Arial"/>
                <w:sz w:val="18"/>
                <w:szCs w:val="18"/>
                <w:color w:val="auto"/>
              </w:rPr>
              <w:t>Endovascular Therapies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39,660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2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33,900</w:t>
            </w: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77,718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Pr>
          <w:p>
            <w:pPr>
              <w:jc w:val="center"/>
              <w:ind w:left="376"/>
              <w:spacing w:after="0"/>
              <w:rPr>
                <w:sz w:val="20"/>
                <w:szCs w:val="20"/>
                <w:color w:val="auto"/>
              </w:rPr>
            </w:pPr>
            <w:r>
              <w:rPr>
                <w:rFonts w:ascii="Arial" w:cs="Arial" w:eastAsia="Arial" w:hAnsi="Arial"/>
                <w:sz w:val="18"/>
                <w:szCs w:val="18"/>
                <w:color w:val="auto"/>
                <w:w w:val="87"/>
              </w:rPr>
              <w:t>63,757</w:t>
            </w:r>
          </w:p>
        </w:tc>
        <w:tc>
          <w:tcPr>
            <w:tcW w:w="40" w:type="dxa"/>
            <w:vAlign w:val="bottom"/>
          </w:tcPr>
          <w:p>
            <w:pPr>
              <w:spacing w:after="0"/>
              <w:rPr>
                <w:sz w:val="19"/>
                <w:szCs w:val="19"/>
                <w:color w:val="auto"/>
              </w:rPr>
            </w:pPr>
          </w:p>
        </w:tc>
      </w:tr>
      <w:tr>
        <w:trPr>
          <w:trHeight w:val="224"/>
        </w:trPr>
        <w:tc>
          <w:tcPr>
            <w:tcW w:w="4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Vascular Access</w:t>
            </w:r>
          </w:p>
        </w:tc>
        <w:tc>
          <w:tcPr>
            <w:tcW w:w="5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376"/>
              <w:spacing w:after="0"/>
              <w:rPr>
                <w:sz w:val="20"/>
                <w:szCs w:val="20"/>
                <w:color w:val="auto"/>
              </w:rPr>
            </w:pPr>
            <w:r>
              <w:rPr>
                <w:rFonts w:ascii="Arial" w:cs="Arial" w:eastAsia="Arial" w:hAnsi="Arial"/>
                <w:sz w:val="18"/>
                <w:szCs w:val="18"/>
                <w:color w:val="auto"/>
                <w:w w:val="87"/>
              </w:rPr>
              <w:t>52,035</w:t>
            </w:r>
          </w:p>
        </w:tc>
        <w:tc>
          <w:tcPr>
            <w:tcW w:w="40" w:type="dxa"/>
            <w:vAlign w:val="bottom"/>
          </w:tcPr>
          <w:p>
            <w:pPr>
              <w:spacing w:after="0"/>
              <w:rPr>
                <w:sz w:val="19"/>
                <w:szCs w:val="19"/>
                <w:color w:val="auto"/>
              </w:rPr>
            </w:pPr>
          </w:p>
        </w:tc>
      </w:tr>
      <w:tr>
        <w:trPr>
          <w:trHeight w:val="223"/>
        </w:trPr>
        <w:tc>
          <w:tcPr>
            <w:tcW w:w="400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Oncology</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13,550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14,940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76"/>
              <w:spacing w:after="0"/>
              <w:rPr>
                <w:sz w:val="20"/>
                <w:szCs w:val="20"/>
                <w:color w:val="auto"/>
              </w:rPr>
            </w:pPr>
            <w:r>
              <w:rPr>
                <w:rFonts w:ascii="Arial" w:cs="Arial" w:eastAsia="Arial" w:hAnsi="Arial"/>
                <w:sz w:val="18"/>
                <w:szCs w:val="18"/>
                <w:color w:val="auto"/>
                <w:w w:val="87"/>
              </w:rPr>
              <w:t>27,194</w:t>
            </w:r>
          </w:p>
        </w:tc>
        <w:tc>
          <w:tcPr>
            <w:tcW w:w="40" w:type="dxa"/>
            <w:vAlign w:val="bottom"/>
          </w:tcPr>
          <w:p>
            <w:pPr>
              <w:spacing w:after="0"/>
              <w:rPr>
                <w:sz w:val="19"/>
                <w:szCs w:val="19"/>
                <w:color w:val="auto"/>
              </w:rPr>
            </w:pPr>
          </w:p>
        </w:tc>
      </w:tr>
      <w:tr>
        <w:trPr>
          <w:trHeight w:val="237"/>
        </w:trPr>
        <w:tc>
          <w:tcPr>
            <w:tcW w:w="4000" w:type="dxa"/>
            <w:vAlign w:val="bottom"/>
            <w:tcBorders>
              <w:bottom w:val="single" w:sz="8" w:color="CCEEFF"/>
            </w:tcBorders>
            <w:gridSpan w:val="2"/>
            <w:shd w:val="clear" w:color="auto" w:fill="CCEEFF"/>
          </w:tcPr>
          <w:p>
            <w:pPr>
              <w:jc w:val="center"/>
              <w:ind w:right="1560"/>
              <w:spacing w:after="0" w:line="203" w:lineRule="exact"/>
              <w:rPr>
                <w:sz w:val="20"/>
                <w:szCs w:val="20"/>
                <w:color w:val="auto"/>
              </w:rPr>
            </w:pPr>
            <w:r>
              <w:rPr>
                <w:rFonts w:ascii="Arial" w:cs="Arial" w:eastAsia="Arial" w:hAnsi="Arial"/>
                <w:sz w:val="18"/>
                <w:szCs w:val="18"/>
                <w:color w:val="auto"/>
                <w:w w:val="89"/>
              </w:rPr>
              <w:t>Total</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78,280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72,770</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142,986</w:t>
            </w:r>
          </w:p>
        </w:tc>
        <w:tc>
          <w:tcPr>
            <w:tcW w:w="40" w:type="dxa"/>
            <w:vAlign w:val="bottom"/>
          </w:tcPr>
          <w:p>
            <w:pPr>
              <w:spacing w:after="0"/>
              <w:rPr>
                <w:sz w:val="20"/>
                <w:szCs w:val="20"/>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5800" w:type="dxa"/>
            <w:vAlign w:val="bottom"/>
            <w:gridSpan w:val="8"/>
          </w:tcPr>
          <w:p>
            <w:pPr>
              <w:ind w:left="400"/>
              <w:spacing w:after="0"/>
              <w:rPr>
                <w:sz w:val="20"/>
                <w:szCs w:val="20"/>
                <w:color w:val="auto"/>
              </w:rPr>
            </w:pPr>
            <w:r>
              <w:rPr>
                <w:rFonts w:ascii="Arial" w:cs="Arial" w:eastAsia="Arial" w:hAnsi="Arial"/>
                <w:sz w:val="18"/>
                <w:szCs w:val="18"/>
                <w:color w:val="auto"/>
                <w:w w:val="96"/>
              </w:rPr>
              <w:t>The table below summarizes net sales by Med Tech and Med Device: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2"/>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color w:val="auto"/>
              </w:rPr>
              <w:t>Three Months Ended</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836"/>
              <w:spacing w:after="0"/>
              <w:rPr>
                <w:sz w:val="20"/>
                <w:szCs w:val="20"/>
                <w:color w:val="auto"/>
              </w:rPr>
            </w:pPr>
            <w:r>
              <w:rPr>
                <w:rFonts w:ascii="Arial" w:cs="Arial" w:eastAsia="Arial" w:hAnsi="Arial"/>
                <w:sz w:val="14"/>
                <w:szCs w:val="14"/>
                <w:color w:val="auto"/>
              </w:rPr>
              <w:t>Six Months Ended</w:t>
            </w:r>
          </w:p>
        </w:tc>
        <w:tc>
          <w:tcPr>
            <w:tcW w:w="40" w:type="dxa"/>
            <w:vAlign w:val="bottom"/>
            <w:tcBorders>
              <w:bottom w:val="single" w:sz="8" w:color="auto"/>
            </w:tcBorders>
          </w:tcPr>
          <w:p>
            <w:pPr>
              <w:spacing w:after="0"/>
              <w:rPr>
                <w:sz w:val="24"/>
                <w:szCs w:val="24"/>
                <w:color w:val="auto"/>
              </w:rPr>
            </w:pPr>
          </w:p>
        </w:tc>
      </w:tr>
      <w:tr>
        <w:trPr>
          <w:trHeight w:val="182"/>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20" w:type="dxa"/>
            <w:vAlign w:val="bottom"/>
            <w:gridSpan w:val="6"/>
          </w:tcPr>
          <w:p>
            <w:pPr>
              <w:jc w:val="center"/>
              <w:ind w:right="100"/>
              <w:spacing w:after="0"/>
              <w:rPr>
                <w:sz w:val="20"/>
                <w:szCs w:val="20"/>
                <w:color w:val="auto"/>
              </w:rPr>
            </w:pPr>
            <w:r>
              <w:rPr>
                <w:rFonts w:ascii="Arial" w:cs="Arial" w:eastAsia="Arial" w:hAnsi="Arial"/>
                <w:sz w:val="14"/>
                <w:szCs w:val="14"/>
                <w:color w:val="auto"/>
                <w:w w:val="93"/>
              </w:rPr>
              <w:t>Nov 30, 2021</w:t>
            </w:r>
          </w:p>
        </w:tc>
        <w:tc>
          <w:tcPr>
            <w:tcW w:w="160" w:type="dxa"/>
            <w:vAlign w:val="bottom"/>
          </w:tcPr>
          <w:p>
            <w:pPr>
              <w:spacing w:after="0"/>
              <w:rPr>
                <w:sz w:val="15"/>
                <w:szCs w:val="15"/>
                <w:color w:val="auto"/>
              </w:rPr>
            </w:pPr>
          </w:p>
        </w:tc>
        <w:tc>
          <w:tcPr>
            <w:tcW w:w="1280" w:type="dxa"/>
            <w:vAlign w:val="bottom"/>
            <w:gridSpan w:val="5"/>
          </w:tcPr>
          <w:p>
            <w:pPr>
              <w:jc w:val="right"/>
              <w:ind w:right="232"/>
              <w:spacing w:after="0"/>
              <w:rPr>
                <w:sz w:val="20"/>
                <w:szCs w:val="20"/>
                <w:color w:val="auto"/>
              </w:rPr>
            </w:pPr>
            <w:r>
              <w:rPr>
                <w:rFonts w:ascii="Arial" w:cs="Arial" w:eastAsia="Arial" w:hAnsi="Arial"/>
                <w:sz w:val="14"/>
                <w:szCs w:val="14"/>
                <w:color w:val="auto"/>
              </w:rPr>
              <w:t>Nov 30, 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4"/>
          </w:tcPr>
          <w:p>
            <w:pPr>
              <w:ind w:left="120"/>
              <w:spacing w:after="0"/>
              <w:rPr>
                <w:sz w:val="20"/>
                <w:szCs w:val="20"/>
                <w:color w:val="auto"/>
              </w:rPr>
            </w:pPr>
            <w:r>
              <w:rPr>
                <w:rFonts w:ascii="Arial" w:cs="Arial" w:eastAsia="Arial" w:hAnsi="Arial"/>
                <w:sz w:val="14"/>
                <w:szCs w:val="14"/>
                <w:color w:val="auto"/>
              </w:rPr>
              <w:t>Nov 30, 2021</w:t>
            </w:r>
          </w:p>
        </w:tc>
        <w:tc>
          <w:tcPr>
            <w:tcW w:w="340" w:type="dxa"/>
            <w:vAlign w:val="bottom"/>
          </w:tcPr>
          <w:p>
            <w:pPr>
              <w:spacing w:after="0"/>
              <w:rPr>
                <w:sz w:val="15"/>
                <w:szCs w:val="15"/>
                <w:color w:val="auto"/>
              </w:rPr>
            </w:pPr>
          </w:p>
        </w:tc>
        <w:tc>
          <w:tcPr>
            <w:tcW w:w="1060" w:type="dxa"/>
            <w:vAlign w:val="bottom"/>
          </w:tcPr>
          <w:p>
            <w:pPr>
              <w:jc w:val="right"/>
              <w:ind w:right="216"/>
              <w:spacing w:after="0"/>
              <w:rPr>
                <w:sz w:val="20"/>
                <w:szCs w:val="20"/>
                <w:color w:val="auto"/>
              </w:rPr>
            </w:pPr>
            <w:r>
              <w:rPr>
                <w:rFonts w:ascii="Arial" w:cs="Arial" w:eastAsia="Arial" w:hAnsi="Arial"/>
                <w:sz w:val="14"/>
                <w:szCs w:val="14"/>
                <w:color w:val="auto"/>
                <w:w w:val="88"/>
              </w:rPr>
              <w:t>Nov 30, 2020</w:t>
            </w:r>
          </w:p>
        </w:tc>
        <w:tc>
          <w:tcPr>
            <w:tcW w:w="40" w:type="dxa"/>
            <w:vAlign w:val="bottom"/>
          </w:tcPr>
          <w:p>
            <w:pPr>
              <w:spacing w:after="0"/>
              <w:rPr>
                <w:sz w:val="15"/>
                <w:szCs w:val="15"/>
                <w:color w:val="auto"/>
              </w:rPr>
            </w:pPr>
          </w:p>
        </w:tc>
      </w:tr>
      <w:tr>
        <w:trPr>
          <w:trHeight w:val="206"/>
        </w:trPr>
        <w:tc>
          <w:tcPr>
            <w:tcW w:w="4000" w:type="dxa"/>
            <w:vAlign w:val="bottom"/>
            <w:tcBorders>
              <w:top w:val="single" w:sz="8" w:color="CCEEFF"/>
            </w:tcBorders>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Net Sales</w:t>
            </w: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r>
      <w:tr>
        <w:trPr>
          <w:trHeight w:val="223"/>
        </w:trPr>
        <w:tc>
          <w:tcPr>
            <w:tcW w:w="4000" w:type="dxa"/>
            <w:vAlign w:val="bottom"/>
            <w:gridSpan w:val="2"/>
          </w:tcPr>
          <w:p>
            <w:pPr>
              <w:ind w:left="340"/>
              <w:spacing w:after="0"/>
              <w:rPr>
                <w:sz w:val="20"/>
                <w:szCs w:val="20"/>
                <w:color w:val="auto"/>
              </w:rPr>
            </w:pPr>
            <w:r>
              <w:rPr>
                <w:rFonts w:ascii="Arial" w:cs="Arial" w:eastAsia="Arial" w:hAnsi="Arial"/>
                <w:sz w:val="18"/>
                <w:szCs w:val="18"/>
                <w:color w:val="auto"/>
              </w:rPr>
              <w:t>Med Tech</w:t>
            </w:r>
          </w:p>
        </w:tc>
        <w:tc>
          <w:tcPr>
            <w:tcW w:w="540" w:type="dxa"/>
            <w:vAlign w:val="bottom"/>
          </w:tcPr>
          <w:p>
            <w:pPr>
              <w:spacing w:after="0"/>
              <w:rPr>
                <w:sz w:val="19"/>
                <w:szCs w:val="19"/>
                <w:color w:val="auto"/>
              </w:rPr>
            </w:pPr>
          </w:p>
        </w:tc>
        <w:tc>
          <w:tcPr>
            <w:tcW w:w="10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13,849</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36,504</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24,335</w:t>
            </w:r>
          </w:p>
        </w:tc>
        <w:tc>
          <w:tcPr>
            <w:tcW w:w="40" w:type="dxa"/>
            <w:vAlign w:val="bottom"/>
          </w:tcPr>
          <w:p>
            <w:pPr>
              <w:spacing w:after="0"/>
              <w:rPr>
                <w:sz w:val="19"/>
                <w:szCs w:val="19"/>
                <w:color w:val="auto"/>
              </w:rPr>
            </w:pPr>
          </w:p>
        </w:tc>
      </w:tr>
      <w:tr>
        <w:trPr>
          <w:trHeight w:val="224"/>
        </w:trPr>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Med Device</w:t>
            </w: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58,921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118,747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356"/>
              <w:spacing w:after="0"/>
              <w:rPr>
                <w:sz w:val="20"/>
                <w:szCs w:val="20"/>
                <w:color w:val="auto"/>
              </w:rPr>
            </w:pPr>
            <w:r>
              <w:rPr>
                <w:rFonts w:ascii="Arial" w:cs="Arial" w:eastAsia="Arial" w:hAnsi="Arial"/>
                <w:sz w:val="18"/>
                <w:szCs w:val="18"/>
                <w:color w:val="auto"/>
                <w:w w:val="89"/>
              </w:rPr>
              <w:t>118,651</w:t>
            </w:r>
          </w:p>
        </w:tc>
        <w:tc>
          <w:tcPr>
            <w:tcW w:w="40" w:type="dxa"/>
            <w:vAlign w:val="bottom"/>
            <w:tcBorders>
              <w:bottom w:val="single" w:sz="8" w:color="auto"/>
            </w:tcBorders>
            <w:shd w:val="clear" w:color="auto" w:fill="CCEEFF"/>
          </w:tcPr>
          <w:p>
            <w:pPr>
              <w:spacing w:after="0"/>
              <w:rPr>
                <w:sz w:val="19"/>
                <w:szCs w:val="19"/>
                <w:color w:val="auto"/>
              </w:rPr>
            </w:pPr>
          </w:p>
        </w:tc>
      </w:tr>
      <w:tr>
        <w:trPr>
          <w:trHeight w:val="217"/>
        </w:trPr>
        <w:tc>
          <w:tcPr>
            <w:tcW w:w="4000" w:type="dxa"/>
            <w:vAlign w:val="bottom"/>
            <w:gridSpan w:val="2"/>
          </w:tcPr>
          <w:p>
            <w:pPr>
              <w:ind w:left="660"/>
              <w:spacing w:after="0" w:line="203" w:lineRule="exact"/>
              <w:rPr>
                <w:sz w:val="20"/>
                <w:szCs w:val="20"/>
                <w:color w:val="auto"/>
              </w:rPr>
            </w:pPr>
            <w:r>
              <w:rPr>
                <w:rFonts w:ascii="Arial" w:cs="Arial" w:eastAsia="Arial" w:hAnsi="Arial"/>
                <w:sz w:val="18"/>
                <w:szCs w:val="18"/>
                <w:color w:val="auto"/>
              </w:rPr>
              <w:t>Total</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Borders>
              <w:bottom w:val="single" w:sz="8" w:color="auto"/>
            </w:tcBorders>
          </w:tcPr>
          <w:p>
            <w:pPr>
              <w:jc w:val="right"/>
              <w:ind w:right="245"/>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72,770</w:t>
            </w:r>
          </w:p>
        </w:tc>
        <w:tc>
          <w:tcPr>
            <w:tcW w:w="10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155,251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w w:val="89"/>
              </w:rPr>
              <w:t>142,986</w:t>
            </w:r>
          </w:p>
        </w:tc>
        <w:tc>
          <w:tcPr>
            <w:tcW w:w="40" w:type="dxa"/>
            <w:vAlign w:val="bottom"/>
            <w:tcBorders>
              <w:bottom w:val="single" w:sz="8" w:color="auto"/>
            </w:tcBorders>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440"/>
        </w:trPr>
        <w:tc>
          <w:tcPr>
            <w:tcW w:w="7520" w:type="dxa"/>
            <w:vAlign w:val="bottom"/>
            <w:gridSpan w:val="13"/>
          </w:tcPr>
          <w:p>
            <w:pPr>
              <w:ind w:left="440"/>
              <w:spacing w:after="0"/>
              <w:rPr>
                <w:sz w:val="20"/>
                <w:szCs w:val="20"/>
                <w:color w:val="auto"/>
              </w:rPr>
            </w:pPr>
            <w:r>
              <w:rPr>
                <w:rFonts w:ascii="Arial" w:cs="Arial" w:eastAsia="Arial" w:hAnsi="Arial"/>
                <w:sz w:val="18"/>
                <w:szCs w:val="18"/>
                <w:color w:val="auto"/>
                <w:w w:val="92"/>
              </w:rPr>
              <w:t>The table below summarizes net sales by geographic area based on external customer location:</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3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color w:val="auto"/>
                <w:w w:val="91"/>
              </w:rPr>
              <w:t>Three Months Ended</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ind w:right="956"/>
              <w:spacing w:after="0"/>
              <w:rPr>
                <w:sz w:val="20"/>
                <w:szCs w:val="20"/>
                <w:color w:val="auto"/>
              </w:rPr>
            </w:pPr>
            <w:r>
              <w:rPr>
                <w:rFonts w:ascii="Arial" w:cs="Arial" w:eastAsia="Arial" w:hAnsi="Arial"/>
                <w:sz w:val="14"/>
                <w:szCs w:val="14"/>
                <w:color w:val="auto"/>
              </w:rPr>
              <w:t>Six Months Ended</w:t>
            </w:r>
          </w:p>
        </w:tc>
        <w:tc>
          <w:tcPr>
            <w:tcW w:w="40" w:type="dxa"/>
            <w:vAlign w:val="bottom"/>
            <w:tcBorders>
              <w:bottom w:val="single" w:sz="8" w:color="auto"/>
            </w:tcBorders>
          </w:tcPr>
          <w:p>
            <w:pPr>
              <w:spacing w:after="0"/>
              <w:rPr>
                <w:sz w:val="17"/>
                <w:szCs w:val="17"/>
                <w:color w:val="auto"/>
              </w:rPr>
            </w:pPr>
          </w:p>
        </w:tc>
      </w:tr>
      <w:tr>
        <w:trPr>
          <w:trHeight w:val="180"/>
        </w:trPr>
        <w:tc>
          <w:tcPr>
            <w:tcW w:w="3880" w:type="dxa"/>
            <w:vAlign w:val="bottom"/>
          </w:tcPr>
          <w:p>
            <w:pPr>
              <w:ind w:left="46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gridSpan w:val="5"/>
          </w:tcPr>
          <w:p>
            <w:pPr>
              <w:ind w:left="40"/>
              <w:spacing w:after="0"/>
              <w:rPr>
                <w:sz w:val="20"/>
                <w:szCs w:val="20"/>
                <w:color w:val="auto"/>
              </w:rPr>
            </w:pPr>
            <w:r>
              <w:rPr>
                <w:rFonts w:ascii="Arial" w:cs="Arial" w:eastAsia="Arial" w:hAnsi="Arial"/>
                <w:sz w:val="14"/>
                <w:szCs w:val="14"/>
                <w:color w:val="auto"/>
              </w:rPr>
              <w:t>Nov 30, 2021</w:t>
            </w:r>
          </w:p>
        </w:tc>
        <w:tc>
          <w:tcPr>
            <w:tcW w:w="1680" w:type="dxa"/>
            <w:vAlign w:val="bottom"/>
            <w:gridSpan w:val="4"/>
          </w:tcPr>
          <w:p>
            <w:pPr>
              <w:jc w:val="right"/>
              <w:ind w:right="194"/>
              <w:spacing w:after="0"/>
              <w:rPr>
                <w:sz w:val="20"/>
                <w:szCs w:val="20"/>
                <w:color w:val="auto"/>
              </w:rPr>
            </w:pPr>
            <w:r>
              <w:rPr>
                <w:rFonts w:ascii="Arial" w:cs="Arial" w:eastAsia="Arial" w:hAnsi="Arial"/>
                <w:sz w:val="14"/>
                <w:szCs w:val="14"/>
                <w:color w:val="auto"/>
              </w:rPr>
              <w:t>Nov 30, 2020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ind w:left="40"/>
              <w:spacing w:after="0"/>
              <w:rPr>
                <w:sz w:val="20"/>
                <w:szCs w:val="20"/>
                <w:color w:val="auto"/>
              </w:rPr>
            </w:pPr>
            <w:r>
              <w:rPr>
                <w:rFonts w:ascii="Arial" w:cs="Arial" w:eastAsia="Arial" w:hAnsi="Arial"/>
                <w:sz w:val="14"/>
                <w:szCs w:val="14"/>
                <w:color w:val="auto"/>
              </w:rPr>
              <w:t>Nov 30, 2021</w:t>
            </w:r>
          </w:p>
        </w:tc>
        <w:tc>
          <w:tcPr>
            <w:tcW w:w="340" w:type="dxa"/>
            <w:vAlign w:val="bottom"/>
          </w:tcPr>
          <w:p>
            <w:pPr>
              <w:spacing w:after="0"/>
              <w:rPr>
                <w:sz w:val="15"/>
                <w:szCs w:val="15"/>
                <w:color w:val="auto"/>
              </w:rPr>
            </w:pPr>
          </w:p>
        </w:tc>
        <w:tc>
          <w:tcPr>
            <w:tcW w:w="1060" w:type="dxa"/>
            <w:vAlign w:val="bottom"/>
          </w:tcPr>
          <w:p>
            <w:pPr>
              <w:jc w:val="right"/>
              <w:ind w:right="156"/>
              <w:spacing w:after="0"/>
              <w:rPr>
                <w:sz w:val="20"/>
                <w:szCs w:val="20"/>
                <w:color w:val="auto"/>
              </w:rPr>
            </w:pPr>
            <w:r>
              <w:rPr>
                <w:rFonts w:ascii="Arial" w:cs="Arial" w:eastAsia="Arial" w:hAnsi="Arial"/>
                <w:sz w:val="14"/>
                <w:szCs w:val="14"/>
                <w:color w:val="auto"/>
                <w:w w:val="96"/>
              </w:rPr>
              <w:t>Nov 30, 2020</w:t>
            </w:r>
          </w:p>
        </w:tc>
        <w:tc>
          <w:tcPr>
            <w:tcW w:w="40" w:type="dxa"/>
            <w:vAlign w:val="bottom"/>
          </w:tcPr>
          <w:p>
            <w:pPr>
              <w:spacing w:after="0"/>
              <w:rPr>
                <w:sz w:val="15"/>
                <w:szCs w:val="15"/>
                <w:color w:val="auto"/>
              </w:rPr>
            </w:pPr>
          </w:p>
        </w:tc>
      </w:tr>
      <w:tr>
        <w:trPr>
          <w:trHeight w:val="206"/>
        </w:trPr>
        <w:tc>
          <w:tcPr>
            <w:tcW w:w="3880" w:type="dxa"/>
            <w:vAlign w:val="bottom"/>
            <w:tcBorders>
              <w:top w:val="single" w:sz="8" w:color="CCEEFF"/>
            </w:tcBorders>
            <w:shd w:val="clear" w:color="auto" w:fill="CCEEFF"/>
          </w:tcPr>
          <w:p>
            <w:pPr>
              <w:ind w:left="460"/>
              <w:spacing w:after="0" w:line="206" w:lineRule="exact"/>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r>
      <w:tr>
        <w:trPr>
          <w:trHeight w:val="223"/>
        </w:trPr>
        <w:tc>
          <w:tcPr>
            <w:tcW w:w="4000" w:type="dxa"/>
            <w:vAlign w:val="bottom"/>
            <w:gridSpan w:val="2"/>
          </w:tcPr>
          <w:p>
            <w:pPr>
              <w:jc w:val="center"/>
              <w:ind w:right="1500"/>
              <w:spacing w:after="0"/>
              <w:rPr>
                <w:sz w:val="20"/>
                <w:szCs w:val="20"/>
                <w:color w:val="auto"/>
              </w:rPr>
            </w:pPr>
            <w:r>
              <w:rPr>
                <w:rFonts w:ascii="Arial" w:cs="Arial" w:eastAsia="Arial" w:hAnsi="Arial"/>
                <w:sz w:val="18"/>
                <w:szCs w:val="18"/>
                <w:color w:val="auto"/>
                <w:w w:val="86"/>
              </w:rPr>
              <w:t>United States</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65,350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60,684</w:t>
            </w: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129,814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center"/>
              <w:ind w:left="356"/>
              <w:spacing w:after="0"/>
              <w:rPr>
                <w:sz w:val="20"/>
                <w:szCs w:val="20"/>
                <w:color w:val="auto"/>
              </w:rPr>
            </w:pPr>
            <w:r>
              <w:rPr>
                <w:rFonts w:ascii="Arial" w:cs="Arial" w:eastAsia="Arial" w:hAnsi="Arial"/>
                <w:sz w:val="18"/>
                <w:szCs w:val="18"/>
                <w:color w:val="auto"/>
                <w:w w:val="89"/>
              </w:rPr>
              <w:t>114,792</w:t>
            </w:r>
          </w:p>
        </w:tc>
        <w:tc>
          <w:tcPr>
            <w:tcW w:w="40" w:type="dxa"/>
            <w:vAlign w:val="bottom"/>
          </w:tcPr>
          <w:p>
            <w:pPr>
              <w:spacing w:after="0"/>
              <w:rPr>
                <w:sz w:val="19"/>
                <w:szCs w:val="19"/>
                <w:color w:val="auto"/>
              </w:rPr>
            </w:pPr>
          </w:p>
        </w:tc>
      </w:tr>
      <w:tr>
        <w:trPr>
          <w:trHeight w:val="224"/>
        </w:trPr>
        <w:tc>
          <w:tcPr>
            <w:tcW w:w="3880" w:type="dxa"/>
            <w:vAlign w:val="bottom"/>
            <w:shd w:val="clear" w:color="auto" w:fill="CCEEFF"/>
          </w:tcPr>
          <w:p>
            <w:pPr>
              <w:jc w:val="center"/>
              <w:ind w:right="1355"/>
              <w:spacing w:after="0"/>
              <w:rPr>
                <w:sz w:val="20"/>
                <w:szCs w:val="20"/>
                <w:color w:val="auto"/>
              </w:rPr>
            </w:pPr>
            <w:r>
              <w:rPr>
                <w:rFonts w:ascii="Arial" w:cs="Arial" w:eastAsia="Arial" w:hAnsi="Arial"/>
                <w:sz w:val="18"/>
                <w:szCs w:val="18"/>
                <w:color w:val="auto"/>
                <w:w w:val="88"/>
              </w:rPr>
              <w:t>International</w:t>
            </w: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12,930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12,086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28,194</w:t>
            </w:r>
          </w:p>
        </w:tc>
        <w:tc>
          <w:tcPr>
            <w:tcW w:w="40" w:type="dxa"/>
            <w:vAlign w:val="bottom"/>
            <w:tcBorders>
              <w:bottom w:val="single" w:sz="8" w:color="auto"/>
            </w:tcBorders>
            <w:shd w:val="clear" w:color="auto" w:fill="CCEEFF"/>
          </w:tcPr>
          <w:p>
            <w:pPr>
              <w:spacing w:after="0"/>
              <w:rPr>
                <w:sz w:val="19"/>
                <w:szCs w:val="19"/>
                <w:color w:val="auto"/>
              </w:rPr>
            </w:pPr>
          </w:p>
        </w:tc>
      </w:tr>
      <w:tr>
        <w:trPr>
          <w:trHeight w:val="217"/>
        </w:trPr>
        <w:tc>
          <w:tcPr>
            <w:tcW w:w="3880" w:type="dxa"/>
            <w:vAlign w:val="bottom"/>
          </w:tcPr>
          <w:p>
            <w:pPr>
              <w:ind w:left="1080"/>
              <w:spacing w:after="0" w:line="203"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78,280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72,770</w:t>
            </w:r>
          </w:p>
        </w:tc>
        <w:tc>
          <w:tcPr>
            <w:tcW w:w="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155,251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center"/>
              <w:ind w:left="356"/>
              <w:spacing w:after="0"/>
              <w:rPr>
                <w:sz w:val="20"/>
                <w:szCs w:val="20"/>
                <w:color w:val="auto"/>
              </w:rPr>
            </w:pPr>
            <w:r>
              <w:rPr>
                <w:rFonts w:ascii="Arial" w:cs="Arial" w:eastAsia="Arial" w:hAnsi="Arial"/>
                <w:sz w:val="18"/>
                <w:szCs w:val="18"/>
                <w:color w:val="auto"/>
                <w:w w:val="89"/>
              </w:rPr>
              <w:t>142,986</w:t>
            </w:r>
          </w:p>
        </w:tc>
        <w:tc>
          <w:tcPr>
            <w:tcW w:w="4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w:t>
      </w:r>
    </w:p>
    <w:p>
      <w:pPr>
        <w:spacing w:after="0" w:line="167" w:lineRule="exact"/>
        <w:rPr>
          <w:sz w:val="20"/>
          <w:szCs w:val="20"/>
          <w:color w:val="auto"/>
        </w:rPr>
      </w:pPr>
    </w:p>
    <w:p>
      <w:pPr>
        <w:ind w:right="360" w:firstLine="395"/>
        <w:spacing w:after="0" w:line="287" w:lineRule="auto"/>
        <w:rPr>
          <w:sz w:val="20"/>
          <w:szCs w:val="20"/>
          <w:color w:val="auto"/>
        </w:rPr>
      </w:pPr>
      <w:r>
        <w:rPr>
          <w:rFonts w:ascii="Arial" w:cs="Arial" w:eastAsia="Arial" w:hAnsi="Arial"/>
          <w:sz w:val="16"/>
          <w:szCs w:val="16"/>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11" w:lineRule="exact"/>
        <w:rPr>
          <w:sz w:val="20"/>
          <w:szCs w:val="20"/>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161" w:lineRule="exact"/>
        <w:rPr>
          <w:rFonts w:ascii="Arial" w:cs="Arial" w:eastAsia="Arial" w:hAnsi="Arial"/>
          <w:sz w:val="18"/>
          <w:szCs w:val="18"/>
          <w:color w:val="auto"/>
        </w:rPr>
      </w:pPr>
    </w:p>
    <w:p>
      <w:pPr>
        <w:ind w:left="640" w:right="180" w:hanging="319"/>
        <w:spacing w:after="0" w:line="261" w:lineRule="auto"/>
        <w:tabs>
          <w:tab w:leader="none" w:pos="636"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28"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29" w:lineRule="exact"/>
        <w:rPr>
          <w:sz w:val="20"/>
          <w:szCs w:val="20"/>
          <w:color w:val="auto"/>
        </w:rPr>
      </w:pPr>
    </w:p>
    <w:p>
      <w:pPr>
        <w:ind w:firstLine="395"/>
        <w:spacing w:after="0" w:line="299" w:lineRule="auto"/>
        <w:rPr>
          <w:sz w:val="20"/>
          <w:szCs w:val="20"/>
          <w:color w:val="auto"/>
        </w:rPr>
      </w:pPr>
      <w:r>
        <w:rPr>
          <w:rFonts w:ascii="Arial" w:cs="Arial" w:eastAsia="Arial" w:hAnsi="Arial"/>
          <w:sz w:val="16"/>
          <w:szCs w:val="16"/>
          <w:color w:val="auto"/>
        </w:rPr>
        <w:t>The Company's financial instruments include cash and cash equivalents,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contingent consideration liabilities.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60" w:type="dxa"/>
            <w:vAlign w:val="bottom"/>
            <w:gridSpan w:val="6"/>
            <w:vMerge w:val="restart"/>
          </w:tcPr>
          <w:p>
            <w:pPr>
              <w:ind w:left="60"/>
              <w:spacing w:after="0"/>
              <w:rPr>
                <w:sz w:val="20"/>
                <w:szCs w:val="20"/>
                <w:color w:val="auto"/>
              </w:rPr>
            </w:pPr>
            <w:r>
              <w:rPr>
                <w:rFonts w:ascii="Arial" w:cs="Arial" w:eastAsia="Arial" w:hAnsi="Arial"/>
                <w:sz w:val="14"/>
                <w:szCs w:val="14"/>
                <w:color w:val="auto"/>
                <w:w w:val="89"/>
              </w:rPr>
              <w:t>Fair Value Measurements using inputs considered as: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4"/>
                <w:szCs w:val="14"/>
                <w:color w:val="auto"/>
              </w:rPr>
              <w:t>Fair Value at Nov 30,</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0" w:type="dxa"/>
            <w:vAlign w:val="bottom"/>
          </w:tcPr>
          <w:p>
            <w:pPr>
              <w:spacing w:after="0"/>
              <w:rPr>
                <w:sz w:val="15"/>
                <w:szCs w:val="15"/>
                <w:color w:val="auto"/>
              </w:rPr>
            </w:pPr>
          </w:p>
        </w:tc>
        <w:tc>
          <w:tcPr>
            <w:tcW w:w="36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Level 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color w:val="auto"/>
              </w:rPr>
              <w:t>Level 2</w:t>
            </w:r>
          </w:p>
        </w:tc>
        <w:tc>
          <w:tcPr>
            <w:tcW w:w="820" w:type="dxa"/>
            <w:vAlign w:val="bottom"/>
          </w:tcPr>
          <w:p>
            <w:pPr>
              <w:spacing w:after="0"/>
              <w:rPr>
                <w:sz w:val="15"/>
                <w:szCs w:val="15"/>
                <w:color w:val="auto"/>
              </w:rPr>
            </w:pPr>
          </w:p>
        </w:tc>
        <w:tc>
          <w:tcPr>
            <w:tcW w:w="920" w:type="dxa"/>
            <w:vAlign w:val="bottom"/>
            <w:gridSpan w:val="2"/>
          </w:tcPr>
          <w:p>
            <w:pPr>
              <w:jc w:val="right"/>
              <w:ind w:right="390"/>
              <w:spacing w:after="0"/>
              <w:rPr>
                <w:sz w:val="20"/>
                <w:szCs w:val="20"/>
                <w:color w:val="auto"/>
              </w:rPr>
            </w:pPr>
            <w:r>
              <w:rPr>
                <w:rFonts w:ascii="Arial" w:cs="Arial" w:eastAsia="Arial" w:hAnsi="Arial"/>
                <w:sz w:val="14"/>
                <w:szCs w:val="14"/>
                <w:color w:val="auto"/>
                <w:w w:val="97"/>
              </w:rPr>
              <w:t>Level 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0" w:type="dxa"/>
            <w:vAlign w:val="bottom"/>
            <w:shd w:val="clear" w:color="auto" w:fill="CCEEFF"/>
          </w:tcPr>
          <w:p>
            <w:pPr>
              <w:spacing w:after="0"/>
              <w:rPr>
                <w:sz w:val="16"/>
                <w:szCs w:val="16"/>
                <w:color w:val="auto"/>
              </w:rPr>
            </w:pPr>
          </w:p>
        </w:tc>
        <w:tc>
          <w:tcPr>
            <w:tcW w:w="3920" w:type="dxa"/>
            <w:vAlign w:val="bottom"/>
            <w:gridSpan w:val="3"/>
            <w:shd w:val="clear" w:color="auto" w:fill="CCEEFF"/>
          </w:tcPr>
          <w:p>
            <w:pPr>
              <w:spacing w:after="0" w:line="187" w:lineRule="exact"/>
              <w:rPr>
                <w:sz w:val="20"/>
                <w:szCs w:val="20"/>
                <w:color w:val="auto"/>
              </w:rPr>
            </w:pPr>
            <w:r>
              <w:rPr>
                <w:rFonts w:ascii="Arial" w:cs="Arial" w:eastAsia="Arial" w:hAnsi="Arial"/>
                <w:sz w:val="18"/>
                <w:szCs w:val="18"/>
                <w:color w:val="auto"/>
              </w:rPr>
              <w:t>Financial Liabilities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20" w:type="dxa"/>
            <w:vAlign w:val="bottom"/>
            <w:shd w:val="clear" w:color="auto" w:fill="CCEEFF"/>
          </w:tcPr>
          <w:p>
            <w:pPr>
              <w:spacing w:after="0"/>
              <w:rPr>
                <w:sz w:val="3"/>
                <w:szCs w:val="3"/>
                <w:color w:val="auto"/>
              </w:rPr>
            </w:pPr>
          </w:p>
        </w:tc>
        <w:tc>
          <w:tcPr>
            <w:tcW w:w="1400" w:type="dxa"/>
            <w:vAlign w:val="bottom"/>
            <w:shd w:val="clear" w:color="auto" w:fill="000000"/>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2"/>
              </w:rPr>
              <w:t>Contingent consideration for acquisition earn outs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9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16,540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gridSpan w:val="2"/>
            <w:shd w:val="clear" w:color="auto" w:fill="CCEEFF"/>
          </w:tcPr>
          <w:p>
            <w:pPr>
              <w:ind w:left="520"/>
              <w:spacing w:after="0" w:line="203" w:lineRule="exact"/>
              <w:rPr>
                <w:sz w:val="20"/>
                <w:szCs w:val="20"/>
                <w:color w:val="auto"/>
              </w:rPr>
            </w:pPr>
            <w:r>
              <w:rPr>
                <w:rFonts w:ascii="Arial" w:cs="Arial" w:eastAsia="Arial" w:hAnsi="Arial"/>
                <w:sz w:val="18"/>
                <w:szCs w:val="18"/>
                <w:color w:val="auto"/>
              </w:rPr>
              <w:t>Total Financial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16,540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60" w:type="dxa"/>
            <w:vAlign w:val="bottom"/>
            <w:gridSpan w:val="6"/>
            <w:vMerge w:val="restart"/>
          </w:tcPr>
          <w:p>
            <w:pPr>
              <w:ind w:left="60"/>
              <w:spacing w:after="0"/>
              <w:rPr>
                <w:sz w:val="20"/>
                <w:szCs w:val="20"/>
                <w:color w:val="auto"/>
              </w:rPr>
            </w:pPr>
            <w:r>
              <w:rPr>
                <w:rFonts w:ascii="Arial" w:cs="Arial" w:eastAsia="Arial" w:hAnsi="Arial"/>
                <w:sz w:val="14"/>
                <w:szCs w:val="14"/>
                <w:color w:val="auto"/>
                <w:w w:val="89"/>
              </w:rPr>
              <w:t>Fair Value Measurements using inputs considered as: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4"/>
                <w:szCs w:val="14"/>
                <w:color w:val="auto"/>
              </w:rPr>
              <w:t>Fair Value at May 31,</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0" w:type="dxa"/>
            <w:vAlign w:val="bottom"/>
          </w:tcPr>
          <w:p>
            <w:pPr>
              <w:spacing w:after="0"/>
              <w:rPr>
                <w:sz w:val="15"/>
                <w:szCs w:val="15"/>
                <w:color w:val="auto"/>
              </w:rPr>
            </w:pPr>
          </w:p>
        </w:tc>
        <w:tc>
          <w:tcPr>
            <w:tcW w:w="36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Level 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color w:val="auto"/>
              </w:rPr>
              <w:t>Level 2</w:t>
            </w:r>
          </w:p>
        </w:tc>
        <w:tc>
          <w:tcPr>
            <w:tcW w:w="820" w:type="dxa"/>
            <w:vAlign w:val="bottom"/>
          </w:tcPr>
          <w:p>
            <w:pPr>
              <w:spacing w:after="0"/>
              <w:rPr>
                <w:sz w:val="15"/>
                <w:szCs w:val="15"/>
                <w:color w:val="auto"/>
              </w:rPr>
            </w:pPr>
          </w:p>
        </w:tc>
        <w:tc>
          <w:tcPr>
            <w:tcW w:w="920" w:type="dxa"/>
            <w:vAlign w:val="bottom"/>
            <w:gridSpan w:val="2"/>
          </w:tcPr>
          <w:p>
            <w:pPr>
              <w:jc w:val="right"/>
              <w:ind w:right="390"/>
              <w:spacing w:after="0"/>
              <w:rPr>
                <w:sz w:val="20"/>
                <w:szCs w:val="20"/>
                <w:color w:val="auto"/>
              </w:rPr>
            </w:pPr>
            <w:r>
              <w:rPr>
                <w:rFonts w:ascii="Arial" w:cs="Arial" w:eastAsia="Arial" w:hAnsi="Arial"/>
                <w:sz w:val="14"/>
                <w:szCs w:val="14"/>
                <w:color w:val="auto"/>
                <w:w w:val="97"/>
              </w:rPr>
              <w:t>Level 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0" w:type="dxa"/>
            <w:vAlign w:val="bottom"/>
            <w:shd w:val="clear" w:color="auto" w:fill="CCEEFF"/>
          </w:tcPr>
          <w:p>
            <w:pPr>
              <w:spacing w:after="0"/>
              <w:rPr>
                <w:sz w:val="16"/>
                <w:szCs w:val="16"/>
                <w:color w:val="auto"/>
              </w:rPr>
            </w:pPr>
          </w:p>
        </w:tc>
        <w:tc>
          <w:tcPr>
            <w:tcW w:w="3920" w:type="dxa"/>
            <w:vAlign w:val="bottom"/>
            <w:gridSpan w:val="3"/>
            <w:shd w:val="clear" w:color="auto" w:fill="CCEEFF"/>
          </w:tcPr>
          <w:p>
            <w:pPr>
              <w:spacing w:after="0" w:line="187" w:lineRule="exact"/>
              <w:rPr>
                <w:sz w:val="20"/>
                <w:szCs w:val="20"/>
                <w:color w:val="auto"/>
              </w:rPr>
            </w:pPr>
            <w:r>
              <w:rPr>
                <w:rFonts w:ascii="Arial" w:cs="Arial" w:eastAsia="Arial" w:hAnsi="Arial"/>
                <w:sz w:val="18"/>
                <w:szCs w:val="18"/>
                <w:color w:val="auto"/>
              </w:rPr>
              <w:t>Financial Liabilities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20" w:type="dxa"/>
            <w:vAlign w:val="bottom"/>
            <w:shd w:val="clear" w:color="auto" w:fill="CCEEFF"/>
          </w:tcPr>
          <w:p>
            <w:pPr>
              <w:spacing w:after="0"/>
              <w:rPr>
                <w:sz w:val="3"/>
                <w:szCs w:val="3"/>
                <w:color w:val="auto"/>
              </w:rPr>
            </w:pPr>
          </w:p>
        </w:tc>
        <w:tc>
          <w:tcPr>
            <w:tcW w:w="1400" w:type="dxa"/>
            <w:vAlign w:val="bottom"/>
            <w:shd w:val="clear" w:color="auto" w:fill="000000"/>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2"/>
              </w:rPr>
              <w:t>Contingent consideration for acquisition earn outs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9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15,741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gridSpan w:val="2"/>
            <w:shd w:val="clear" w:color="auto" w:fill="CCEEFF"/>
          </w:tcPr>
          <w:p>
            <w:pPr>
              <w:ind w:left="520"/>
              <w:spacing w:after="0" w:line="203" w:lineRule="exact"/>
              <w:rPr>
                <w:sz w:val="20"/>
                <w:szCs w:val="20"/>
                <w:color w:val="auto"/>
              </w:rPr>
            </w:pPr>
            <w:r>
              <w:rPr>
                <w:rFonts w:ascii="Arial" w:cs="Arial" w:eastAsia="Arial" w:hAnsi="Arial"/>
                <w:sz w:val="18"/>
                <w:szCs w:val="18"/>
                <w:color w:val="auto"/>
              </w:rPr>
              <w:t>Total Financial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400" w:type="dxa"/>
            <w:vAlign w:val="bottom"/>
            <w:gridSpan w:val="14"/>
          </w:tcPr>
          <w:p>
            <w:pPr>
              <w:ind w:left="400"/>
              <w:spacing w:after="0"/>
              <w:rPr>
                <w:sz w:val="20"/>
                <w:szCs w:val="20"/>
                <w:color w:val="auto"/>
              </w:rPr>
            </w:pPr>
            <w:r>
              <w:rPr>
                <w:rFonts w:ascii="Arial" w:cs="Arial" w:eastAsia="Arial" w:hAnsi="Arial"/>
                <w:sz w:val="18"/>
                <w:szCs w:val="18"/>
                <w:color w:val="auto"/>
                <w:w w:val="96"/>
              </w:rPr>
              <w:t>There were no transfers between Level 1, 2 and 3 for the three and six months ended November 30, 2021 and 2020.</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580" w:type="dxa"/>
            <w:vAlign w:val="bottom"/>
            <w:gridSpan w:val="8"/>
          </w:tcPr>
          <w:p>
            <w:pPr>
              <w:ind w:left="400"/>
              <w:spacing w:after="0"/>
              <w:rPr>
                <w:sz w:val="20"/>
                <w:szCs w:val="20"/>
                <w:color w:val="auto"/>
              </w:rPr>
            </w:pPr>
            <w:r>
              <w:rPr>
                <w:rFonts w:ascii="Arial" w:cs="Arial" w:eastAsia="Arial" w:hAnsi="Arial"/>
                <w:sz w:val="18"/>
                <w:szCs w:val="18"/>
                <w:color w:val="auto"/>
                <w:w w:val="89"/>
              </w:rPr>
              <w:t>The table below presents the changes in fair value components of Level 3 instruments: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4"/>
                <w:szCs w:val="14"/>
                <w:color w:val="auto"/>
                <w:w w:val="91"/>
              </w:rPr>
              <w:t>Three Months Ended Nov 30,</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77"/>
              <w:spacing w:after="0"/>
              <w:rPr>
                <w:sz w:val="20"/>
                <w:szCs w:val="20"/>
                <w:color w:val="auto"/>
              </w:rPr>
            </w:pPr>
            <w:r>
              <w:rPr>
                <w:rFonts w:ascii="Arial" w:cs="Arial" w:eastAsia="Arial" w:hAnsi="Arial"/>
                <w:sz w:val="14"/>
                <w:szCs w:val="14"/>
                <w:color w:val="auto"/>
                <w:w w:val="89"/>
              </w:rPr>
              <w:t>2021</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80" w:type="dxa"/>
            <w:vAlign w:val="bottom"/>
            <w:gridSpan w:val="6"/>
          </w:tcPr>
          <w:p>
            <w:pPr>
              <w:jc w:val="center"/>
              <w:spacing w:after="0" w:line="127" w:lineRule="exact"/>
              <w:rPr>
                <w:sz w:val="20"/>
                <w:szCs w:val="20"/>
                <w:color w:val="auto"/>
              </w:rPr>
            </w:pPr>
            <w:r>
              <w:rPr>
                <w:rFonts w:ascii="Arial" w:cs="Arial" w:eastAsia="Arial" w:hAnsi="Arial"/>
                <w:sz w:val="14"/>
                <w:szCs w:val="14"/>
                <w:color w:val="auto"/>
                <w:w w:val="90"/>
              </w:rPr>
              <w:t>Fair Value Measurements Using</w:t>
            </w:r>
          </w:p>
        </w:tc>
        <w:tc>
          <w:tcPr>
            <w:tcW w:w="0" w:type="dxa"/>
            <w:vAlign w:val="bottom"/>
          </w:tcPr>
          <w:p>
            <w:pPr>
              <w:spacing w:after="0"/>
              <w:rPr>
                <w:sz w:val="1"/>
                <w:szCs w:val="1"/>
                <w:color w:val="auto"/>
              </w:rPr>
            </w:pPr>
          </w:p>
        </w:tc>
      </w:tr>
      <w:tr>
        <w:trPr>
          <w:trHeight w:val="132"/>
        </w:trPr>
        <w:tc>
          <w:tcPr>
            <w:tcW w:w="4340" w:type="dxa"/>
            <w:vAlign w:val="bottom"/>
            <w:gridSpan w:val="4"/>
            <w:vMerge w:val="restart"/>
          </w:tcPr>
          <w:p>
            <w:pPr>
              <w:ind w:left="20"/>
              <w:spacing w:after="0"/>
              <w:rPr>
                <w:sz w:val="20"/>
                <w:szCs w:val="20"/>
                <w:color w:val="auto"/>
              </w:rPr>
            </w:pPr>
            <w:r>
              <w:rPr>
                <w:rFonts w:ascii="Arial" w:cs="Arial" w:eastAsia="Arial" w:hAnsi="Arial"/>
                <w:sz w:val="14"/>
                <w:szCs w:val="14"/>
                <w:color w:val="auto"/>
              </w:rPr>
              <w:t>(in thousands)</w:t>
            </w: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80" w:type="dxa"/>
            <w:vAlign w:val="bottom"/>
            <w:gridSpan w:val="6"/>
          </w:tcPr>
          <w:p>
            <w:pPr>
              <w:jc w:val="center"/>
              <w:spacing w:after="0" w:line="132" w:lineRule="exact"/>
              <w:rPr>
                <w:sz w:val="20"/>
                <w:szCs w:val="20"/>
                <w:color w:val="auto"/>
              </w:rPr>
            </w:pPr>
            <w:r>
              <w:rPr>
                <w:rFonts w:ascii="Arial" w:cs="Arial" w:eastAsia="Arial" w:hAnsi="Arial"/>
                <w:sz w:val="14"/>
                <w:szCs w:val="14"/>
                <w:color w:val="auto"/>
                <w:w w:val="92"/>
              </w:rPr>
              <w:t>Significant Unobservable Inputs</w:t>
            </w:r>
          </w:p>
        </w:tc>
        <w:tc>
          <w:tcPr>
            <w:tcW w:w="0" w:type="dxa"/>
            <w:vAlign w:val="bottom"/>
          </w:tcPr>
          <w:p>
            <w:pPr>
              <w:spacing w:after="0"/>
              <w:rPr>
                <w:sz w:val="1"/>
                <w:szCs w:val="1"/>
                <w:color w:val="auto"/>
              </w:rPr>
            </w:pPr>
          </w:p>
        </w:tc>
      </w:tr>
      <w:tr>
        <w:trPr>
          <w:trHeight w:val="182"/>
        </w:trPr>
        <w:tc>
          <w:tcPr>
            <w:tcW w:w="4340" w:type="dxa"/>
            <w:vAlign w:val="bottom"/>
            <w:gridSpan w:val="4"/>
            <w:vMerge w:val="continue"/>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gridSpan w:val="2"/>
          </w:tcPr>
          <w:p>
            <w:pPr>
              <w:jc w:val="center"/>
              <w:ind w:right="700"/>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26"/>
        </w:trPr>
        <w:tc>
          <w:tcPr>
            <w:tcW w:w="43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Balance, August 31, 2021</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gridSpan w:val="4"/>
          </w:tcPr>
          <w:p>
            <w:pPr>
              <w:ind w:left="20"/>
              <w:spacing w:after="0"/>
              <w:rPr>
                <w:sz w:val="20"/>
                <w:szCs w:val="20"/>
                <w:color w:val="auto"/>
              </w:rPr>
            </w:pPr>
            <w:r>
              <w:rPr>
                <w:rFonts w:ascii="Arial" w:cs="Arial" w:eastAsia="Arial" w:hAnsi="Arial"/>
                <w:sz w:val="18"/>
                <w:szCs w:val="18"/>
                <w:color w:val="auto"/>
              </w:rPr>
              <w:t>Total gains or losses (realized/unrealized):</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40" w:type="dxa"/>
            <w:vAlign w:val="bottom"/>
            <w:gridSpan w:val="4"/>
            <w:shd w:val="clear" w:color="auto" w:fill="CCEEFF"/>
          </w:tcPr>
          <w:p>
            <w:pPr>
              <w:ind w:left="340"/>
              <w:spacing w:after="0" w:line="224" w:lineRule="exact"/>
              <w:rPr>
                <w:sz w:val="20"/>
                <w:szCs w:val="20"/>
                <w:color w:val="auto"/>
              </w:rPr>
            </w:pPr>
            <w:r>
              <w:rPr>
                <w:rFonts w:ascii="Arial" w:cs="Arial" w:eastAsia="Arial" w:hAnsi="Arial"/>
                <w:sz w:val="18"/>
                <w:szCs w:val="18"/>
                <w:color w:val="auto"/>
                <w:w w:val="90"/>
              </w:rPr>
              <w:t xml:space="preserve">Change in present value of contingent consideration </w:t>
            </w:r>
            <w:r>
              <w:rPr>
                <w:rFonts w:ascii="Arial" w:cs="Arial" w:eastAsia="Arial" w:hAnsi="Arial"/>
                <w:sz w:val="22"/>
                <w:szCs w:val="22"/>
                <w:color w:val="auto"/>
                <w:w w:val="90"/>
                <w:vertAlign w:val="superscript"/>
              </w:rPr>
              <w:t>(1)</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Currency gain from remeasurement</w:t>
            </w:r>
          </w:p>
        </w:tc>
        <w:tc>
          <w:tcPr>
            <w:tcW w:w="10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340" w:type="dxa"/>
            <w:vAlign w:val="bottom"/>
            <w:gridSpan w:val="4"/>
            <w:shd w:val="clear" w:color="auto" w:fill="CCEEFF"/>
          </w:tcPr>
          <w:p>
            <w:pPr>
              <w:ind w:left="20"/>
              <w:spacing w:after="0" w:line="203" w:lineRule="exact"/>
              <w:rPr>
                <w:sz w:val="20"/>
                <w:szCs w:val="20"/>
                <w:color w:val="auto"/>
              </w:rPr>
            </w:pPr>
            <w:r>
              <w:rPr>
                <w:rFonts w:ascii="Arial" w:cs="Arial" w:eastAsia="Arial" w:hAnsi="Arial"/>
                <w:sz w:val="18"/>
                <w:szCs w:val="18"/>
                <w:color w:val="auto"/>
              </w:rPr>
              <w:t>Balance, November 30, 2021</w:t>
            </w:r>
          </w:p>
        </w:tc>
        <w:tc>
          <w:tcPr>
            <w:tcW w:w="10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auto"/>
              <w:bottom w:val="single" w:sz="8" w:color="auto"/>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w w:val="91"/>
              </w:rPr>
              <w:t>Six Months Ended Nov 30, 2021</w:t>
            </w:r>
          </w:p>
        </w:tc>
        <w:tc>
          <w:tcPr>
            <w:tcW w:w="0" w:type="dxa"/>
            <w:vAlign w:val="bottom"/>
          </w:tcPr>
          <w:p>
            <w:pPr>
              <w:spacing w:after="0"/>
              <w:rPr>
                <w:sz w:val="1"/>
                <w:szCs w:val="1"/>
                <w:color w:val="auto"/>
              </w:rPr>
            </w:pPr>
          </w:p>
        </w:tc>
      </w:tr>
      <w:tr>
        <w:trPr>
          <w:trHeight w:val="130"/>
        </w:trPr>
        <w:tc>
          <w:tcPr>
            <w:tcW w:w="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80" w:type="dxa"/>
            <w:vAlign w:val="bottom"/>
            <w:gridSpan w:val="6"/>
          </w:tcPr>
          <w:p>
            <w:pPr>
              <w:jc w:val="center"/>
              <w:spacing w:after="0" w:line="130" w:lineRule="exact"/>
              <w:rPr>
                <w:sz w:val="20"/>
                <w:szCs w:val="20"/>
                <w:color w:val="auto"/>
              </w:rPr>
            </w:pPr>
            <w:r>
              <w:rPr>
                <w:rFonts w:ascii="Arial" w:cs="Arial" w:eastAsia="Arial" w:hAnsi="Arial"/>
                <w:sz w:val="14"/>
                <w:szCs w:val="14"/>
                <w:color w:val="auto"/>
                <w:w w:val="90"/>
              </w:rPr>
              <w:t>Fair Value Measurements Using</w:t>
            </w:r>
          </w:p>
        </w:tc>
        <w:tc>
          <w:tcPr>
            <w:tcW w:w="0" w:type="dxa"/>
            <w:vAlign w:val="bottom"/>
          </w:tcPr>
          <w:p>
            <w:pPr>
              <w:spacing w:after="0"/>
              <w:rPr>
                <w:sz w:val="1"/>
                <w:szCs w:val="1"/>
                <w:color w:val="auto"/>
              </w:rPr>
            </w:pPr>
          </w:p>
        </w:tc>
      </w:tr>
      <w:tr>
        <w:trPr>
          <w:trHeight w:val="132"/>
        </w:trPr>
        <w:tc>
          <w:tcPr>
            <w:tcW w:w="4340" w:type="dxa"/>
            <w:vAlign w:val="bottom"/>
            <w:gridSpan w:val="4"/>
            <w:vMerge w:val="restart"/>
          </w:tcPr>
          <w:p>
            <w:pPr>
              <w:ind w:left="20"/>
              <w:spacing w:after="0"/>
              <w:rPr>
                <w:sz w:val="20"/>
                <w:szCs w:val="20"/>
                <w:color w:val="auto"/>
              </w:rPr>
            </w:pPr>
            <w:r>
              <w:rPr>
                <w:rFonts w:ascii="Arial" w:cs="Arial" w:eastAsia="Arial" w:hAnsi="Arial"/>
                <w:sz w:val="14"/>
                <w:szCs w:val="14"/>
                <w:color w:val="auto"/>
              </w:rPr>
              <w:t>(in thousands)</w:t>
            </w: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80" w:type="dxa"/>
            <w:vAlign w:val="bottom"/>
            <w:gridSpan w:val="6"/>
          </w:tcPr>
          <w:p>
            <w:pPr>
              <w:jc w:val="center"/>
              <w:spacing w:after="0" w:line="132" w:lineRule="exact"/>
              <w:rPr>
                <w:sz w:val="20"/>
                <w:szCs w:val="20"/>
                <w:color w:val="auto"/>
              </w:rPr>
            </w:pPr>
            <w:r>
              <w:rPr>
                <w:rFonts w:ascii="Arial" w:cs="Arial" w:eastAsia="Arial" w:hAnsi="Arial"/>
                <w:sz w:val="14"/>
                <w:szCs w:val="14"/>
                <w:color w:val="auto"/>
                <w:w w:val="92"/>
              </w:rPr>
              <w:t>Significant Unobservable Inputs</w:t>
            </w:r>
          </w:p>
        </w:tc>
        <w:tc>
          <w:tcPr>
            <w:tcW w:w="0" w:type="dxa"/>
            <w:vAlign w:val="bottom"/>
          </w:tcPr>
          <w:p>
            <w:pPr>
              <w:spacing w:after="0"/>
              <w:rPr>
                <w:sz w:val="1"/>
                <w:szCs w:val="1"/>
                <w:color w:val="auto"/>
              </w:rPr>
            </w:pPr>
          </w:p>
        </w:tc>
      </w:tr>
      <w:tr>
        <w:trPr>
          <w:trHeight w:val="182"/>
        </w:trPr>
        <w:tc>
          <w:tcPr>
            <w:tcW w:w="4340" w:type="dxa"/>
            <w:vAlign w:val="bottom"/>
            <w:tcBorders>
              <w:bottom w:val="single" w:sz="8" w:color="CCEEFF"/>
            </w:tcBorders>
            <w:gridSpan w:val="4"/>
            <w:vMerge w:val="continue"/>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700"/>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19"/>
        </w:trPr>
        <w:tc>
          <w:tcPr>
            <w:tcW w:w="4340" w:type="dxa"/>
            <w:vAlign w:val="bottom"/>
            <w:gridSpan w:val="4"/>
            <w:shd w:val="clear" w:color="auto" w:fill="CCEEFF"/>
          </w:tcPr>
          <w:p>
            <w:pPr>
              <w:ind w:left="20"/>
              <w:spacing w:after="0" w:line="206" w:lineRule="exact"/>
              <w:rPr>
                <w:sz w:val="20"/>
                <w:szCs w:val="20"/>
                <w:color w:val="auto"/>
              </w:rPr>
            </w:pPr>
            <w:r>
              <w:rPr>
                <w:rFonts w:ascii="Arial" w:cs="Arial" w:eastAsia="Arial" w:hAnsi="Arial"/>
                <w:sz w:val="18"/>
                <w:szCs w:val="18"/>
                <w:color w:val="auto"/>
              </w:rPr>
              <w:t>Balance, May 31, 2021</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gridSpan w:val="4"/>
          </w:tcPr>
          <w:p>
            <w:pPr>
              <w:ind w:left="20"/>
              <w:spacing w:after="0"/>
              <w:rPr>
                <w:sz w:val="20"/>
                <w:szCs w:val="20"/>
                <w:color w:val="auto"/>
              </w:rPr>
            </w:pPr>
            <w:r>
              <w:rPr>
                <w:rFonts w:ascii="Arial" w:cs="Arial" w:eastAsia="Arial" w:hAnsi="Arial"/>
                <w:sz w:val="18"/>
                <w:szCs w:val="18"/>
                <w:color w:val="auto"/>
              </w:rPr>
              <w:t>Total gains or losses (realized/unrealized):</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40" w:type="dxa"/>
            <w:vAlign w:val="bottom"/>
            <w:gridSpan w:val="4"/>
            <w:shd w:val="clear" w:color="auto" w:fill="CCEEFF"/>
          </w:tcPr>
          <w:p>
            <w:pPr>
              <w:ind w:left="340"/>
              <w:spacing w:after="0" w:line="224" w:lineRule="exact"/>
              <w:rPr>
                <w:sz w:val="20"/>
                <w:szCs w:val="20"/>
                <w:color w:val="auto"/>
              </w:rPr>
            </w:pPr>
            <w:r>
              <w:rPr>
                <w:rFonts w:ascii="Arial" w:cs="Arial" w:eastAsia="Arial" w:hAnsi="Arial"/>
                <w:sz w:val="18"/>
                <w:szCs w:val="18"/>
                <w:color w:val="auto"/>
                <w:w w:val="90"/>
              </w:rPr>
              <w:t xml:space="preserve">Change in present value of contingent consideration </w:t>
            </w:r>
            <w:r>
              <w:rPr>
                <w:rFonts w:ascii="Arial" w:cs="Arial" w:eastAsia="Arial" w:hAnsi="Arial"/>
                <w:sz w:val="22"/>
                <w:szCs w:val="22"/>
                <w:color w:val="auto"/>
                <w:w w:val="90"/>
                <w:vertAlign w:val="superscript"/>
              </w:rPr>
              <w:t>(1)</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Currency gain from remeasurement</w:t>
            </w:r>
          </w:p>
        </w:tc>
        <w:tc>
          <w:tcPr>
            <w:tcW w:w="10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340" w:type="dxa"/>
            <w:vAlign w:val="bottom"/>
            <w:gridSpan w:val="4"/>
            <w:shd w:val="clear" w:color="auto" w:fill="CCEEFF"/>
          </w:tcPr>
          <w:p>
            <w:pPr>
              <w:ind w:left="20"/>
              <w:spacing w:after="0" w:line="203" w:lineRule="exact"/>
              <w:rPr>
                <w:sz w:val="20"/>
                <w:szCs w:val="20"/>
                <w:color w:val="auto"/>
              </w:rPr>
            </w:pPr>
            <w:r>
              <w:rPr>
                <w:rFonts w:ascii="Arial" w:cs="Arial" w:eastAsia="Arial" w:hAnsi="Arial"/>
                <w:sz w:val="18"/>
                <w:szCs w:val="18"/>
                <w:color w:val="auto"/>
              </w:rPr>
              <w:t>Balance, November 30, 2021</w:t>
            </w:r>
          </w:p>
        </w:tc>
        <w:tc>
          <w:tcPr>
            <w:tcW w:w="10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420" w:firstLine="5"/>
        <w:spacing w:after="0" w:line="262" w:lineRule="auto"/>
        <w:tabs>
          <w:tab w:leader="none" w:pos="224"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Contingent Liability for Acquisition Earn Outs</w:t>
      </w:r>
    </w:p>
    <w:p>
      <w:pPr>
        <w:spacing w:after="0" w:line="167" w:lineRule="exact"/>
        <w:rPr>
          <w:sz w:val="20"/>
          <w:szCs w:val="20"/>
          <w:color w:val="auto"/>
        </w:rPr>
      </w:pPr>
    </w:p>
    <w:p>
      <w:pPr>
        <w:ind w:right="180" w:firstLine="395"/>
        <w:spacing w:after="0" w:line="284" w:lineRule="auto"/>
        <w:rPr>
          <w:sz w:val="20"/>
          <w:szCs w:val="20"/>
          <w:color w:val="auto"/>
        </w:rPr>
      </w:pPr>
      <w:r>
        <w:rPr>
          <w:rFonts w:ascii="Arial" w:cs="Arial" w:eastAsia="Arial" w:hAnsi="Arial"/>
          <w:sz w:val="16"/>
          <w:szCs w:val="16"/>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right="140" w:firstLine="395"/>
        <w:spacing w:after="0" w:line="291" w:lineRule="auto"/>
        <w:rPr>
          <w:sz w:val="20"/>
          <w:szCs w:val="20"/>
          <w:color w:val="auto"/>
        </w:rPr>
      </w:pPr>
      <w:r>
        <w:rPr>
          <w:rFonts w:ascii="Arial" w:cs="Arial" w:eastAsia="Arial" w:hAnsi="Arial"/>
          <w:sz w:val="16"/>
          <w:szCs w:val="16"/>
          <w:color w:val="auto"/>
        </w:rPr>
        <w:t>The Company measures the initial liability and remeasures the liability on a recurring basis using Level 3 inputs as defined under authoritative guidance for fair value measurements, which is determined using a discounted cash flow model applied to projected net sales, using probabilities of achieving projected net sales and projected payment dates. Projected net sales are based on internal projections and extensive analysis of the target market and the sales potential. Increases or decreases in any valuation inputs in isolation may result in a significantly lower or higher fair value measurement in the future.</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recurring Level 3 fair value measurements of the contingent consideration liabilities include the following significant unobservable inputs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November 30,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(in thousands)</w:t>
            </w: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Fair Value</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color w:val="auto"/>
                <w:w w:val="89"/>
              </w:rPr>
              <w:t>Valuation Technique</w:t>
            </w:r>
          </w:p>
        </w:tc>
        <w:tc>
          <w:tcPr>
            <w:tcW w:w="100" w:type="dxa"/>
            <w:vAlign w:val="bottom"/>
            <w:tcBorders>
              <w:bottom w:val="single" w:sz="8" w:color="CCEEFF"/>
            </w:tcBorders>
          </w:tcPr>
          <w:p>
            <w:pPr>
              <w:spacing w:after="0"/>
              <w:rPr>
                <w:sz w:val="16"/>
                <w:szCs w:val="16"/>
                <w:color w:val="auto"/>
              </w:rPr>
            </w:pPr>
          </w:p>
        </w:tc>
        <w:tc>
          <w:tcPr>
            <w:tcW w:w="2980" w:type="dxa"/>
            <w:vAlign w:val="bottom"/>
            <w:tcBorders>
              <w:bottom w:val="single" w:sz="8" w:color="auto"/>
            </w:tcBorders>
          </w:tcPr>
          <w:p>
            <w:pPr>
              <w:jc w:val="center"/>
              <w:ind w:left="317"/>
              <w:spacing w:after="0"/>
              <w:rPr>
                <w:sz w:val="20"/>
                <w:szCs w:val="20"/>
                <w:color w:val="auto"/>
              </w:rPr>
            </w:pPr>
            <w:r>
              <w:rPr>
                <w:rFonts w:ascii="Arial" w:cs="Arial" w:eastAsia="Arial" w:hAnsi="Arial"/>
                <w:sz w:val="14"/>
                <w:szCs w:val="14"/>
                <w:color w:val="auto"/>
                <w:w w:val="90"/>
              </w:rPr>
              <w:t>Unobservable Input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Range</w:t>
            </w:r>
          </w:p>
        </w:tc>
      </w:tr>
      <w:tr>
        <w:trPr>
          <w:trHeight w:val="222"/>
        </w:trPr>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 based payments</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16,540</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left="201"/>
              <w:spacing w:after="0"/>
              <w:rPr>
                <w:sz w:val="20"/>
                <w:szCs w:val="20"/>
                <w:color w:val="auto"/>
              </w:rPr>
            </w:pPr>
            <w:r>
              <w:rPr>
                <w:rFonts w:ascii="Arial" w:cs="Arial" w:eastAsia="Arial" w:hAnsi="Arial"/>
                <w:sz w:val="18"/>
                <w:szCs w:val="18"/>
                <w:color w:val="auto"/>
                <w:w w:val="89"/>
              </w:rPr>
              <w:t>Discounted cash flow</w:t>
            </w:r>
          </w:p>
        </w:tc>
        <w:tc>
          <w:tcPr>
            <w:tcW w:w="3100" w:type="dxa"/>
            <w:vAlign w:val="bottom"/>
            <w:gridSpan w:val="2"/>
            <w:shd w:val="clear" w:color="auto" w:fill="CCEEFF"/>
          </w:tcPr>
          <w:p>
            <w:pPr>
              <w:jc w:val="center"/>
              <w:ind w:left="197"/>
              <w:spacing w:after="0"/>
              <w:rPr>
                <w:sz w:val="20"/>
                <w:szCs w:val="20"/>
                <w:color w:val="auto"/>
              </w:rPr>
            </w:pPr>
            <w:r>
              <w:rPr>
                <w:rFonts w:ascii="Arial" w:cs="Arial" w:eastAsia="Arial" w:hAnsi="Arial"/>
                <w:sz w:val="18"/>
                <w:szCs w:val="18"/>
                <w:color w:val="auto"/>
                <w:w w:val="88"/>
              </w:rPr>
              <w:t>Discount rate</w:t>
            </w:r>
          </w:p>
        </w:tc>
        <w:tc>
          <w:tcPr>
            <w:tcW w:w="1360" w:type="dxa"/>
            <w:vAlign w:val="bottom"/>
            <w:shd w:val="clear" w:color="auto" w:fill="CCEEFF"/>
          </w:tcPr>
          <w:p>
            <w:pPr>
              <w:jc w:val="center"/>
              <w:ind w:left="297"/>
              <w:spacing w:after="0"/>
              <w:rPr>
                <w:sz w:val="20"/>
                <w:szCs w:val="20"/>
                <w:color w:val="auto"/>
              </w:rPr>
            </w:pPr>
            <w:r>
              <w:rPr>
                <w:rFonts w:ascii="Arial" w:cs="Arial" w:eastAsia="Arial" w:hAnsi="Arial"/>
                <w:sz w:val="18"/>
                <w:szCs w:val="18"/>
                <w:color w:val="auto"/>
                <w:w w:val="84"/>
              </w:rPr>
              <w:t>5%</w:t>
            </w:r>
          </w:p>
        </w:tc>
      </w:tr>
      <w:tr>
        <w:trPr>
          <w:trHeight w:val="223"/>
        </w:trPr>
        <w:tc>
          <w:tcPr>
            <w:tcW w:w="2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jc w:val="center"/>
              <w:ind w:left="197"/>
              <w:spacing w:after="0"/>
              <w:rPr>
                <w:sz w:val="20"/>
                <w:szCs w:val="20"/>
                <w:color w:val="auto"/>
              </w:rPr>
            </w:pPr>
            <w:r>
              <w:rPr>
                <w:rFonts w:ascii="Arial" w:cs="Arial" w:eastAsia="Arial" w:hAnsi="Arial"/>
                <w:sz w:val="18"/>
                <w:szCs w:val="18"/>
                <w:color w:val="auto"/>
                <w:w w:val="90"/>
              </w:rPr>
              <w:t>Probability of payment</w:t>
            </w:r>
          </w:p>
        </w:tc>
        <w:tc>
          <w:tcPr>
            <w:tcW w:w="1360" w:type="dxa"/>
            <w:vAlign w:val="bottom"/>
          </w:tcPr>
          <w:p>
            <w:pPr>
              <w:jc w:val="center"/>
              <w:ind w:left="297"/>
              <w:spacing w:after="0"/>
              <w:rPr>
                <w:sz w:val="20"/>
                <w:szCs w:val="20"/>
                <w:color w:val="auto"/>
              </w:rPr>
            </w:pPr>
            <w:r>
              <w:rPr>
                <w:rFonts w:ascii="Arial" w:cs="Arial" w:eastAsia="Arial" w:hAnsi="Arial"/>
                <w:sz w:val="18"/>
                <w:szCs w:val="18"/>
                <w:color w:val="auto"/>
                <w:w w:val="87"/>
              </w:rPr>
              <w:t>66% - 100%</w:t>
            </w:r>
          </w:p>
        </w:tc>
      </w:tr>
      <w:tr>
        <w:trPr>
          <w:trHeight w:val="224"/>
        </w:trPr>
        <w:tc>
          <w:tcPr>
            <w:tcW w:w="2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jc w:val="center"/>
              <w:ind w:left="197"/>
              <w:spacing w:after="0"/>
              <w:rPr>
                <w:sz w:val="20"/>
                <w:szCs w:val="20"/>
                <w:color w:val="auto"/>
              </w:rPr>
            </w:pPr>
            <w:r>
              <w:rPr>
                <w:rFonts w:ascii="Arial" w:cs="Arial" w:eastAsia="Arial" w:hAnsi="Arial"/>
                <w:sz w:val="18"/>
                <w:szCs w:val="18"/>
                <w:color w:val="auto"/>
                <w:w w:val="88"/>
              </w:rPr>
              <w:t>Projected fiscal year of payment</w:t>
            </w:r>
          </w:p>
        </w:tc>
        <w:tc>
          <w:tcPr>
            <w:tcW w:w="1360" w:type="dxa"/>
            <w:vAlign w:val="bottom"/>
          </w:tcPr>
          <w:p>
            <w:pPr>
              <w:jc w:val="center"/>
              <w:ind w:left="297"/>
              <w:spacing w:after="0"/>
              <w:rPr>
                <w:sz w:val="20"/>
                <w:szCs w:val="20"/>
                <w:color w:val="auto"/>
              </w:rPr>
            </w:pPr>
            <w:r>
              <w:rPr>
                <w:rFonts w:ascii="Arial" w:cs="Arial" w:eastAsia="Arial" w:hAnsi="Arial"/>
                <w:sz w:val="18"/>
                <w:szCs w:val="18"/>
                <w:color w:val="auto"/>
                <w:w w:val="89"/>
              </w:rPr>
              <w:t>2023 - 2025</w:t>
            </w:r>
          </w:p>
        </w:tc>
      </w:tr>
    </w:tbl>
    <w:p>
      <w:pPr>
        <w:spacing w:after="0" w:line="238" w:lineRule="exact"/>
        <w:rPr>
          <w:sz w:val="20"/>
          <w:szCs w:val="20"/>
          <w:color w:val="auto"/>
        </w:rPr>
      </w:pPr>
    </w:p>
    <w:p>
      <w:pPr>
        <w:ind w:right="680" w:firstLine="395"/>
        <w:spacing w:after="0" w:line="327" w:lineRule="auto"/>
        <w:rPr>
          <w:sz w:val="20"/>
          <w:szCs w:val="20"/>
          <w:color w:val="auto"/>
        </w:rPr>
      </w:pPr>
      <w:r>
        <w:rPr>
          <w:rFonts w:ascii="Arial" w:cs="Arial" w:eastAsia="Arial" w:hAnsi="Arial"/>
          <w:sz w:val="15"/>
          <w:szCs w:val="15"/>
          <w:color w:val="auto"/>
        </w:rPr>
        <w:t>At November 30, 2021, the amount of undiscounted future contingent consideration that the Company expects to pay as a result of all completed acquisitions is approximately $20.0 million. The milestones, including revenue projections and technical milestones associated with the contingent consideration must be reached in future periods ranging from fiscal years 2022 to 2029 in order for the associated consideration to be paid.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167" w:lineRule="exact"/>
        <w:rPr>
          <w:sz w:val="20"/>
          <w:szCs w:val="20"/>
          <w:color w:val="auto"/>
        </w:rPr>
      </w:pPr>
    </w:p>
    <w:p>
      <w:pPr>
        <w:ind w:right="240" w:firstLine="395"/>
        <w:spacing w:after="0" w:line="261" w:lineRule="auto"/>
        <w:rPr>
          <w:sz w:val="20"/>
          <w:szCs w:val="20"/>
          <w:color w:val="auto"/>
        </w:rPr>
      </w:pPr>
      <w:r>
        <w:rPr>
          <w:rFonts w:ascii="Arial" w:cs="Arial" w:eastAsia="Arial" w:hAnsi="Arial"/>
          <w:sz w:val="18"/>
          <w:szCs w:val="18"/>
          <w:color w:val="auto"/>
        </w:rPr>
        <w:t>The Company determines if an arrangement is a lease at inception of the contract. The Company has operating leases for buildings, primarily for office space, R&amp;D, manufacturing and warehousing.</w:t>
      </w:r>
    </w:p>
    <w:p>
      <w:pPr>
        <w:spacing w:after="0" w:line="129" w:lineRule="exact"/>
        <w:rPr>
          <w:sz w:val="20"/>
          <w:szCs w:val="20"/>
          <w:color w:val="auto"/>
        </w:rPr>
      </w:pPr>
    </w:p>
    <w:p>
      <w:pPr>
        <w:ind w:right="260" w:firstLine="395"/>
        <w:spacing w:after="0" w:line="250" w:lineRule="auto"/>
        <w:rPr>
          <w:sz w:val="20"/>
          <w:szCs w:val="20"/>
          <w:color w:val="auto"/>
        </w:rPr>
      </w:pPr>
      <w:r>
        <w:rPr>
          <w:rFonts w:ascii="Arial" w:cs="Arial" w:eastAsia="Arial" w:hAnsi="Arial"/>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supplemental balance sheet information related to leases: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ind w:left="420"/>
              <w:spacing w:after="0"/>
              <w:rPr>
                <w:sz w:val="20"/>
                <w:szCs w:val="20"/>
                <w:color w:val="auto"/>
              </w:rPr>
            </w:pPr>
            <w:r>
              <w:rPr>
                <w:rFonts w:ascii="Arial" w:cs="Arial" w:eastAsia="Arial" w:hAnsi="Arial"/>
                <w:sz w:val="14"/>
                <w:szCs w:val="14"/>
                <w:color w:val="auto"/>
              </w:rPr>
              <w:t>(in thousands)</w:t>
            </w:r>
          </w:p>
        </w:tc>
        <w:tc>
          <w:tcPr>
            <w:tcW w:w="2480" w:type="dxa"/>
            <w:vAlign w:val="bottom"/>
            <w:gridSpan w:val="2"/>
          </w:tcPr>
          <w:p>
            <w:pPr>
              <w:ind w:left="720"/>
              <w:spacing w:after="0"/>
              <w:rPr>
                <w:sz w:val="20"/>
                <w:szCs w:val="20"/>
                <w:color w:val="auto"/>
              </w:rPr>
            </w:pPr>
            <w:r>
              <w:rPr>
                <w:rFonts w:ascii="Arial" w:cs="Arial" w:eastAsia="Arial" w:hAnsi="Arial"/>
                <w:sz w:val="14"/>
                <w:szCs w:val="14"/>
                <w:color w:val="auto"/>
              </w:rPr>
              <w:t>Balance Sheet Location</w:t>
            </w:r>
          </w:p>
        </w:tc>
        <w:tc>
          <w:tcPr>
            <w:tcW w:w="6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Nov 30, 2021</w:t>
            </w:r>
          </w:p>
        </w:tc>
        <w:tc>
          <w:tcPr>
            <w:tcW w:w="600" w:type="dxa"/>
            <w:vAlign w:val="bottom"/>
          </w:tcPr>
          <w:p>
            <w:pPr>
              <w:spacing w:after="0"/>
              <w:rPr>
                <w:sz w:val="16"/>
                <w:szCs w:val="16"/>
                <w:color w:val="auto"/>
              </w:rPr>
            </w:pPr>
          </w:p>
        </w:tc>
        <w:tc>
          <w:tcPr>
            <w:tcW w:w="1180" w:type="dxa"/>
            <w:vAlign w:val="bottom"/>
          </w:tcPr>
          <w:p>
            <w:pPr>
              <w:jc w:val="right"/>
              <w:ind w:right="216"/>
              <w:spacing w:after="0"/>
              <w:rPr>
                <w:sz w:val="20"/>
                <w:szCs w:val="20"/>
                <w:color w:val="auto"/>
              </w:rPr>
            </w:pPr>
            <w:r>
              <w:rPr>
                <w:rFonts w:ascii="Arial" w:cs="Arial" w:eastAsia="Arial" w:hAnsi="Arial"/>
                <w:sz w:val="14"/>
                <w:szCs w:val="14"/>
                <w:color w:val="auto"/>
              </w:rPr>
              <w:t>May 31, 2021</w:t>
            </w:r>
          </w:p>
        </w:tc>
      </w:tr>
      <w:tr>
        <w:trPr>
          <w:trHeight w:val="209"/>
        </w:trPr>
        <w:tc>
          <w:tcPr>
            <w:tcW w:w="510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Assets</w:t>
            </w:r>
          </w:p>
        </w:tc>
        <w:tc>
          <w:tcPr>
            <w:tcW w:w="2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3"/>
        </w:trPr>
        <w:tc>
          <w:tcPr>
            <w:tcW w:w="5100" w:type="dxa"/>
            <w:vAlign w:val="bottom"/>
          </w:tcPr>
          <w:p>
            <w:pPr>
              <w:ind w:left="620"/>
              <w:spacing w:after="0"/>
              <w:rPr>
                <w:sz w:val="20"/>
                <w:szCs w:val="20"/>
                <w:color w:val="auto"/>
              </w:rPr>
            </w:pPr>
            <w:r>
              <w:rPr>
                <w:rFonts w:ascii="Arial" w:cs="Arial" w:eastAsia="Arial" w:hAnsi="Arial"/>
                <w:sz w:val="18"/>
                <w:szCs w:val="18"/>
                <w:color w:val="auto"/>
              </w:rPr>
              <w:t>Operating lease ROU asset</w:t>
            </w:r>
          </w:p>
        </w:tc>
        <w:tc>
          <w:tcPr>
            <w:tcW w:w="2480" w:type="dxa"/>
            <w:vAlign w:val="bottom"/>
            <w:gridSpan w:val="2"/>
          </w:tcPr>
          <w:p>
            <w:pPr>
              <w:ind w:left="400"/>
              <w:spacing w:after="0"/>
              <w:rPr>
                <w:sz w:val="20"/>
                <w:szCs w:val="20"/>
                <w:color w:val="auto"/>
              </w:rPr>
            </w:pPr>
            <w:r>
              <w:rPr>
                <w:rFonts w:ascii="Arial" w:cs="Arial" w:eastAsia="Arial" w:hAnsi="Arial"/>
                <w:sz w:val="18"/>
                <w:szCs w:val="18"/>
                <w:color w:val="auto"/>
              </w:rPr>
              <w:t>Other assets</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8,159</w:t>
            </w:r>
          </w:p>
        </w:tc>
        <w:tc>
          <w:tcPr>
            <w:tcW w:w="1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9,382</w:t>
            </w:r>
          </w:p>
        </w:tc>
      </w:tr>
      <w:tr>
        <w:trPr>
          <w:trHeight w:val="224"/>
        </w:trPr>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w:t>
            </w:r>
          </w:p>
        </w:tc>
        <w:tc>
          <w:tcPr>
            <w:tcW w:w="2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5100" w:type="dxa"/>
            <w:vAlign w:val="bottom"/>
          </w:tcPr>
          <w:p>
            <w:pPr>
              <w:ind w:left="620"/>
              <w:spacing w:after="0"/>
              <w:rPr>
                <w:sz w:val="20"/>
                <w:szCs w:val="20"/>
                <w:color w:val="auto"/>
              </w:rPr>
            </w:pPr>
            <w:r>
              <w:rPr>
                <w:rFonts w:ascii="Arial" w:cs="Arial" w:eastAsia="Arial" w:hAnsi="Arial"/>
                <w:sz w:val="18"/>
                <w:szCs w:val="18"/>
                <w:color w:val="auto"/>
              </w:rPr>
              <w:t>Current operating lease liabilities</w:t>
            </w:r>
          </w:p>
        </w:tc>
        <w:tc>
          <w:tcPr>
            <w:tcW w:w="2480" w:type="dxa"/>
            <w:vAlign w:val="bottom"/>
            <w:gridSpan w:val="2"/>
          </w:tcPr>
          <w:p>
            <w:pPr>
              <w:ind w:left="400"/>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2,415</w:t>
            </w:r>
          </w:p>
        </w:tc>
      </w:tr>
      <w:tr>
        <w:trPr>
          <w:trHeight w:val="224"/>
        </w:trPr>
        <w:tc>
          <w:tcPr>
            <w:tcW w:w="5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Non-current operating lease liabilities</w:t>
            </w:r>
          </w:p>
        </w:tc>
        <w:tc>
          <w:tcPr>
            <w:tcW w:w="2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long-term liabilities</w:t>
            </w:r>
          </w:p>
        </w:tc>
        <w:tc>
          <w:tcPr>
            <w:tcW w:w="6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7,319</w:t>
            </w:r>
          </w:p>
        </w:tc>
      </w:tr>
      <w:tr>
        <w:trPr>
          <w:trHeight w:val="217"/>
        </w:trPr>
        <w:tc>
          <w:tcPr>
            <w:tcW w:w="5100" w:type="dxa"/>
            <w:vAlign w:val="bottom"/>
          </w:tcPr>
          <w:p>
            <w:pPr>
              <w:ind w:left="420"/>
              <w:spacing w:after="0" w:line="203" w:lineRule="exact"/>
              <w:rPr>
                <w:sz w:val="20"/>
                <w:szCs w:val="20"/>
                <w:color w:val="auto"/>
              </w:rPr>
            </w:pPr>
            <w:r>
              <w:rPr>
                <w:rFonts w:ascii="Arial" w:cs="Arial" w:eastAsia="Arial" w:hAnsi="Arial"/>
                <w:sz w:val="18"/>
                <w:szCs w:val="18"/>
                <w:color w:val="auto"/>
              </w:rPr>
              <w:t>Total lease liabilities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8,484</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9,734</w:t>
            </w:r>
          </w:p>
        </w:tc>
      </w:tr>
      <w:tr>
        <w:trPr>
          <w:trHeight w:val="20"/>
        </w:trPr>
        <w:tc>
          <w:tcPr>
            <w:tcW w:w="5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Nov 30, 2021</w:t>
            </w:r>
          </w:p>
        </w:tc>
        <w:tc>
          <w:tcPr>
            <w:tcW w:w="360" w:type="dxa"/>
            <w:vAlign w:val="bottom"/>
            <w:tcBorders>
              <w:bottom w:val="single" w:sz="8" w:color="auto"/>
            </w:tcBorders>
          </w:tcPr>
          <w:p>
            <w:pPr>
              <w:spacing w:after="0"/>
              <w:rPr>
                <w:sz w:val="16"/>
                <w:szCs w:val="16"/>
                <w:color w:val="auto"/>
              </w:rPr>
            </w:pPr>
          </w:p>
        </w:tc>
      </w:tr>
      <w:tr>
        <w:trPr>
          <w:trHeight w:val="222"/>
        </w:trPr>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remaining term (in years)</w:t>
            </w: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3.68</w:t>
            </w:r>
          </w:p>
        </w:tc>
      </w:tr>
      <w:tr>
        <w:trPr>
          <w:trHeight w:val="223"/>
        </w:trPr>
        <w:tc>
          <w:tcPr>
            <w:tcW w:w="9300" w:type="dxa"/>
            <w:vAlign w:val="bottom"/>
          </w:tcPr>
          <w:p>
            <w:pPr>
              <w:ind w:left="420"/>
              <w:spacing w:after="0"/>
              <w:rPr>
                <w:sz w:val="20"/>
                <w:szCs w:val="20"/>
                <w:color w:val="auto"/>
              </w:rPr>
            </w:pPr>
            <w:r>
              <w:rPr>
                <w:rFonts w:ascii="Arial" w:cs="Arial" w:eastAsia="Arial" w:hAnsi="Arial"/>
                <w:sz w:val="18"/>
                <w:szCs w:val="18"/>
                <w:color w:val="auto"/>
              </w:rPr>
              <w:t>Weighted average discount rate</w:t>
            </w:r>
          </w:p>
        </w:tc>
        <w:tc>
          <w:tcPr>
            <w:tcW w:w="1580" w:type="dxa"/>
            <w:vAlign w:val="bottom"/>
          </w:tcPr>
          <w:p>
            <w:pPr>
              <w:jc w:val="right"/>
              <w:ind w:right="161"/>
              <w:spacing w:after="0"/>
              <w:rPr>
                <w:sz w:val="20"/>
                <w:szCs w:val="20"/>
                <w:color w:val="auto"/>
              </w:rPr>
            </w:pPr>
            <w:r>
              <w:rPr>
                <w:rFonts w:ascii="Arial" w:cs="Arial" w:eastAsia="Arial" w:hAnsi="Arial"/>
                <w:sz w:val="18"/>
                <w:szCs w:val="18"/>
                <w:color w:val="auto"/>
              </w:rPr>
              <w:t>3.8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maturities of the lease liabilities for each of the following fiscal years is: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2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(in thousands)</w:t>
            </w:r>
          </w:p>
        </w:tc>
        <w:tc>
          <w:tcPr>
            <w:tcW w:w="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Nov 30, 2021</w:t>
            </w:r>
          </w:p>
        </w:tc>
      </w:tr>
      <w:tr>
        <w:trPr>
          <w:trHeight w:val="222"/>
        </w:trPr>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Remainder of 2022</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r>
      <w:tr>
        <w:trPr>
          <w:trHeight w:val="223"/>
        </w:trPr>
        <w:tc>
          <w:tcPr>
            <w:tcW w:w="9420" w:type="dxa"/>
            <w:vAlign w:val="bottom"/>
          </w:tcPr>
          <w:p>
            <w:pPr>
              <w:ind w:left="420"/>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2,773</w:t>
            </w:r>
          </w:p>
        </w:tc>
      </w:tr>
      <w:tr>
        <w:trPr>
          <w:trHeight w:val="224"/>
        </w:trPr>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2024</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r>
      <w:tr>
        <w:trPr>
          <w:trHeight w:val="223"/>
        </w:trPr>
        <w:tc>
          <w:tcPr>
            <w:tcW w:w="9420" w:type="dxa"/>
            <w:vAlign w:val="bottom"/>
          </w:tcPr>
          <w:p>
            <w:pPr>
              <w:ind w:left="420"/>
              <w:spacing w:after="0"/>
              <w:rPr>
                <w:sz w:val="20"/>
                <w:szCs w:val="20"/>
                <w:color w:val="auto"/>
              </w:rPr>
            </w:pPr>
            <w:r>
              <w:rPr>
                <w:rFonts w:ascii="Arial" w:cs="Arial" w:eastAsia="Arial" w:hAnsi="Arial"/>
                <w:sz w:val="18"/>
                <w:szCs w:val="18"/>
                <w:color w:val="auto"/>
              </w:rPr>
              <w:t>2025</w:t>
            </w:r>
          </w:p>
        </w:tc>
        <w:tc>
          <w:tcPr>
            <w:tcW w:w="6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1,440</w:t>
            </w:r>
          </w:p>
        </w:tc>
      </w:tr>
      <w:tr>
        <w:trPr>
          <w:trHeight w:val="224"/>
        </w:trPr>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2026</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r>
      <w:tr>
        <w:trPr>
          <w:trHeight w:val="223"/>
        </w:trPr>
        <w:tc>
          <w:tcPr>
            <w:tcW w:w="94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2027 and thereafter</w:t>
            </w: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17"/>
        </w:trPr>
        <w:tc>
          <w:tcPr>
            <w:tcW w:w="942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Total lease payments</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w:t>
            </w:r>
          </w:p>
        </w:tc>
      </w:tr>
      <w:tr>
        <w:trPr>
          <w:trHeight w:val="223"/>
        </w:trPr>
        <w:tc>
          <w:tcPr>
            <w:tcW w:w="94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Less: Imputed Interest</w:t>
            </w: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r>
      <w:tr>
        <w:trPr>
          <w:trHeight w:val="217"/>
        </w:trPr>
        <w:tc>
          <w:tcPr>
            <w:tcW w:w="942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Total lease obligations</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r>
      <w:tr>
        <w:trPr>
          <w:trHeight w:val="223"/>
        </w:trPr>
        <w:tc>
          <w:tcPr>
            <w:tcW w:w="94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Less: Current portion of lease obligations</w:t>
            </w: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w:t>
            </w:r>
          </w:p>
        </w:tc>
      </w:tr>
      <w:tr>
        <w:trPr>
          <w:trHeight w:val="242"/>
        </w:trPr>
        <w:tc>
          <w:tcPr>
            <w:tcW w:w="9420" w:type="dxa"/>
            <w:vAlign w:val="bottom"/>
            <w:tcBorders>
              <w:bottom w:val="single" w:sz="8" w:color="CCEEFF"/>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Long-term lease obligations</w:t>
            </w: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20" w:firstLine="395"/>
        <w:spacing w:after="0" w:line="250" w:lineRule="auto"/>
        <w:rPr>
          <w:sz w:val="20"/>
          <w:szCs w:val="20"/>
          <w:color w:val="auto"/>
        </w:rPr>
      </w:pPr>
      <w:r>
        <w:rPr>
          <w:rFonts w:ascii="Arial" w:cs="Arial" w:eastAsia="Arial" w:hAnsi="Arial"/>
          <w:sz w:val="18"/>
          <w:szCs w:val="18"/>
          <w:color w:val="auto"/>
        </w:rPr>
        <w:t>During the three months ended November 30, 2021 and 2020, the Company recognized $0.7 million and $0.7 million of operating lease expense, respectively, which includes immaterial short-term leases. During the six months ended November 30, 2021 and 2020, the Company recognized $1.4 million and $1.6 million of operating lease expense, respectively, which includes immaterial short-term leases. The expenses on the Consolidated Statement of Operations were classified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0" w:type="dxa"/>
            <w:vAlign w:val="bottom"/>
            <w:gridSpan w:val="5"/>
          </w:tcPr>
          <w:p>
            <w:pPr>
              <w:ind w:left="760"/>
              <w:spacing w:after="0"/>
              <w:rPr>
                <w:sz w:val="20"/>
                <w:szCs w:val="20"/>
                <w:color w:val="auto"/>
              </w:rPr>
            </w:pPr>
            <w:r>
              <w:rPr>
                <w:rFonts w:ascii="Arial" w:cs="Arial" w:eastAsia="Arial" w:hAnsi="Arial"/>
                <w:sz w:val="14"/>
                <w:szCs w:val="14"/>
                <w:color w:val="auto"/>
              </w:rPr>
              <w:t>Three Months Ended</w:t>
            </w:r>
          </w:p>
        </w:tc>
        <w:tc>
          <w:tcPr>
            <w:tcW w:w="58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1040" w:type="dxa"/>
            <w:vAlign w:val="bottom"/>
          </w:tcPr>
          <w:p>
            <w:pPr>
              <w:spacing w:after="0"/>
              <w:rPr>
                <w:sz w:val="15"/>
                <w:szCs w:val="15"/>
                <w:color w:val="auto"/>
              </w:rPr>
            </w:pPr>
          </w:p>
        </w:tc>
      </w:tr>
      <w:tr>
        <w:trPr>
          <w:trHeight w:val="182"/>
        </w:trPr>
        <w:tc>
          <w:tcPr>
            <w:tcW w:w="4160" w:type="dxa"/>
            <w:vAlign w:val="bottom"/>
          </w:tcPr>
          <w:p>
            <w:pPr>
              <w:ind w:left="420"/>
              <w:spacing w:after="0"/>
              <w:rPr>
                <w:sz w:val="20"/>
                <w:szCs w:val="20"/>
                <w:color w:val="auto"/>
              </w:rPr>
            </w:pPr>
            <w:r>
              <w:rPr>
                <w:rFonts w:ascii="Arial" w:cs="Arial" w:eastAsia="Arial" w:hAnsi="Arial"/>
                <w:sz w:val="14"/>
                <w:szCs w:val="14"/>
                <w:color w:val="auto"/>
              </w:rPr>
              <w:t>(in thousands)</w:t>
            </w:r>
          </w:p>
        </w:tc>
        <w:tc>
          <w:tcPr>
            <w:tcW w:w="5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Nov 30, 2021</w:t>
            </w:r>
          </w:p>
        </w:tc>
        <w:tc>
          <w:tcPr>
            <w:tcW w:w="5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color w:val="auto"/>
                <w:w w:val="98"/>
              </w:rPr>
              <w:t>Nov 30, 2020</w:t>
            </w: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Nov 30, 2021</w:t>
            </w:r>
          </w:p>
        </w:tc>
        <w:tc>
          <w:tcPr>
            <w:tcW w:w="6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color w:val="auto"/>
                <w:w w:val="88"/>
              </w:rPr>
              <w:t>Nov 30, 2020</w:t>
            </w:r>
          </w:p>
        </w:tc>
      </w:tr>
      <w:tr>
        <w:trPr>
          <w:trHeight w:val="219"/>
        </w:trPr>
        <w:tc>
          <w:tcPr>
            <w:tcW w:w="4160" w:type="dxa"/>
            <w:vAlign w:val="bottom"/>
            <w:tcBorders>
              <w:top w:val="single" w:sz="8" w:color="CCEEFF"/>
            </w:tcBorders>
            <w:shd w:val="clear" w:color="auto" w:fill="CCEEFF"/>
          </w:tcPr>
          <w:p>
            <w:pPr>
              <w:ind w:left="420"/>
              <w:spacing w:after="0" w:line="206" w:lineRule="exact"/>
              <w:rPr>
                <w:sz w:val="20"/>
                <w:szCs w:val="20"/>
                <w:color w:val="auto"/>
              </w:rPr>
            </w:pPr>
            <w:r>
              <w:rPr>
                <w:rFonts w:ascii="Arial" w:cs="Arial" w:eastAsia="Arial" w:hAnsi="Arial"/>
                <w:sz w:val="18"/>
                <w:szCs w:val="18"/>
                <w:color w:val="auto"/>
              </w:rPr>
              <w:t>Cost of sales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23"/>
        </w:trPr>
        <w:tc>
          <w:tcPr>
            <w:tcW w:w="41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24"/>
        </w:trPr>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41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General and administrative</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r>
      <w:tr>
        <w:trPr>
          <w:trHeight w:val="242"/>
        </w:trPr>
        <w:tc>
          <w:tcPr>
            <w:tcW w:w="4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supplemental cash flow and other information related to leases for the six months ended: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Pr>
          <w:p>
            <w:pPr>
              <w:ind w:left="420"/>
              <w:spacing w:after="0"/>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Nov 30, 2021</w:t>
            </w:r>
          </w:p>
        </w:tc>
        <w:tc>
          <w:tcPr>
            <w:tcW w:w="600" w:type="dxa"/>
            <w:vAlign w:val="bottom"/>
          </w:tcPr>
          <w:p>
            <w:pPr>
              <w:spacing w:after="0"/>
              <w:rPr>
                <w:sz w:val="16"/>
                <w:szCs w:val="16"/>
                <w:color w:val="auto"/>
              </w:rPr>
            </w:pPr>
          </w:p>
        </w:tc>
        <w:tc>
          <w:tcPr>
            <w:tcW w:w="1180" w:type="dxa"/>
            <w:vAlign w:val="bottom"/>
          </w:tcPr>
          <w:p>
            <w:pPr>
              <w:jc w:val="right"/>
              <w:ind w:right="238"/>
              <w:spacing w:after="0"/>
              <w:rPr>
                <w:sz w:val="20"/>
                <w:szCs w:val="20"/>
                <w:color w:val="auto"/>
              </w:rPr>
            </w:pPr>
            <w:r>
              <w:rPr>
                <w:rFonts w:ascii="Arial" w:cs="Arial" w:eastAsia="Arial" w:hAnsi="Arial"/>
                <w:sz w:val="14"/>
                <w:szCs w:val="14"/>
                <w:color w:val="auto"/>
              </w:rPr>
              <w:t>Nov 30, 2020</w:t>
            </w:r>
          </w:p>
        </w:tc>
      </w:tr>
      <w:tr>
        <w:trPr>
          <w:trHeight w:val="209"/>
        </w:trPr>
        <w:tc>
          <w:tcPr>
            <w:tcW w:w="75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3"/>
        </w:trPr>
        <w:tc>
          <w:tcPr>
            <w:tcW w:w="7560" w:type="dxa"/>
            <w:vAlign w:val="bottom"/>
          </w:tcPr>
          <w:p>
            <w:pPr>
              <w:ind w:left="620"/>
              <w:spacing w:after="0"/>
              <w:rPr>
                <w:sz w:val="20"/>
                <w:szCs w:val="20"/>
                <w:color w:val="auto"/>
              </w:rPr>
            </w:pPr>
            <w:r>
              <w:rPr>
                <w:rFonts w:ascii="Arial" w:cs="Arial" w:eastAsia="Arial" w:hAnsi="Arial"/>
                <w:sz w:val="18"/>
                <w:szCs w:val="18"/>
                <w:color w:val="auto"/>
              </w:rPr>
              <w:t>Operating cash flows from operating leases</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1,360</w:t>
            </w:r>
          </w:p>
        </w:tc>
      </w:tr>
      <w:tr>
        <w:trPr>
          <w:trHeight w:val="224"/>
        </w:trPr>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ROU assets obtained in exchange for lease liabilities</w:t>
            </w: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7560" w:type="dxa"/>
            <w:vAlign w:val="bottom"/>
          </w:tcPr>
          <w:p>
            <w:pPr>
              <w:ind w:left="620"/>
              <w:spacing w:after="0"/>
              <w:rPr>
                <w:sz w:val="20"/>
                <w:szCs w:val="20"/>
                <w:color w:val="auto"/>
              </w:rPr>
            </w:pPr>
            <w:r>
              <w:rPr>
                <w:rFonts w:ascii="Arial" w:cs="Arial" w:eastAsia="Arial" w:hAnsi="Arial"/>
                <w:sz w:val="18"/>
                <w:szCs w:val="18"/>
                <w:color w:val="auto"/>
              </w:rPr>
              <w:t>Operating leases</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487</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7600" w:firstLine="5"/>
        <w:spacing w:after="0" w:line="430" w:lineRule="auto"/>
        <w:tabs>
          <w:tab w:leader="none" w:pos="263"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Proceedings</w:t>
      </w:r>
    </w:p>
    <w:p>
      <w:pPr>
        <w:spacing w:after="0" w:line="1" w:lineRule="exact"/>
        <w:rPr>
          <w:sz w:val="20"/>
          <w:szCs w:val="20"/>
          <w:color w:val="auto"/>
        </w:rPr>
      </w:pPr>
    </w:p>
    <w:p>
      <w:pPr>
        <w:ind w:right="100" w:firstLine="395"/>
        <w:spacing w:after="0" w:line="291" w:lineRule="auto"/>
        <w:rPr>
          <w:sz w:val="20"/>
          <w:szCs w:val="20"/>
          <w:color w:val="auto"/>
        </w:rPr>
      </w:pPr>
      <w:r>
        <w:rPr>
          <w:rFonts w:ascii="Arial" w:cs="Arial" w:eastAsia="Arial" w:hAnsi="Arial"/>
          <w:sz w:val="16"/>
          <w:szCs w:val="16"/>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 Bard, Inc. v. AngioDynamics, Inc.</w:t>
      </w:r>
    </w:p>
    <w:p>
      <w:pPr>
        <w:spacing w:after="0" w:line="167" w:lineRule="exact"/>
        <w:rPr>
          <w:sz w:val="20"/>
          <w:szCs w:val="20"/>
          <w:color w:val="auto"/>
        </w:rPr>
      </w:pPr>
    </w:p>
    <w:p>
      <w:pPr>
        <w:ind w:right="40" w:firstLine="395"/>
        <w:spacing w:after="0" w:line="282"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the Company's implantable port products infringe on three U.S. patents held by Bard (US Patent Nos. 7,785,302 (“’302 Patent”), 7,959,615 (“’615 Patent”) and 7,947,022 (“’022 Patent”)). The case was stayed pending reexamination in the US Patent and Trademark Office ("USPTO"). Following the reexamination proceedings, and the parties’ related appeals to the Federal Circuit which resulted in further proceedings at the USPTO, certain claims of the ‘615 Patent were held invalid, while the remaining claims of the ‘615 Patent and the other two patents were upheld over the prior art references considered in the reexamination proceedings. Thereafter, the case was transferred from the District of Utah to the United States District Court for the District of Delaware ("District of Delaware"). A scheduling order was entered on March 23, 2021. On July 22, 2021, in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another case against a different defendant the District of Utah invalidated multiple claims of the ‘302, ‘022, and ‘615 Patents under 35 USC §101, including claims asserted against the Company. Following the Utah court’s decision, the Company filed a Motion for Judgment on the Pleadings based on collateral estoppel on August 9, 2021. Bard filed its opposition brief on September 2, 2021 and the Company filed a reply on September 9, 2021. Following a hearing on the Motion for Judgment on the Pleadings on December 21, 2021, the District of Delaware stayed the case pending the Federal Circuit's resolution of Bard's appeal from the Utah Decision. Previously, the Company had filed a Motion for Leave to Amend its Answer and Counterclaims on April 14, 2021. This motion sought to add counterclaims for infringement of U.S. Patent Nos. 9,168,365; 9,895,523; and 10,632,295, as well as a counterclaim of inequitable conduct. On November 5, 2021, the Company notified the District of Delaware that the Utah decision was certified for appeal to the Court of Appeals for the Federal Circuit. Contemporaneously, the Company withdrew its Motion for Leave to Amend its Answer and Counterclaims without prejudice to refile. Bard filed its Opening Appellate Brief in its appeal at the Federal Circuit on December 8, 2021.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21"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color w:val="auto"/>
        </w:rPr>
        <w:t>On March 10, 2015, Bard and Bard Peripheral Vascular filed suit in the District of Delaware claiming certain of the Company's implantable port products infringe on three U.S. patents held by Bard (US Patent Nos. 8,475,417, 8,545,460, 8,805,478). The case proceeded through trial which began on March 4, 2019. At the close of Bard’s case, the Court granted the Company's oral motion for judgment as a matter of law as well as its motions for summary judgment on the grounds that the asserted patents are invalid, ineligible, not infringed and not willfully infringed. On May 10, 2019, the Company filed a motion for attorney fees and non-taxable expenses under 35 USC Sec. 285. Bard appealed the judgment to the Federal Circuit and on November 10, 2020, the Federal Circuit reversed the judgment in part with respect to Section 101 (subject matter eligibility), and vacated and remanded the trial court’s invalidity and non-infringement judgments. The Company filed a combined Petition for rehearing and rehearing en banc on December 10, 2020, which was denied on January 15, 2021. The Federal Circuit issued its mandate on January 22, 2021. On March 15, 2021, the District of Delaware entered an order requiring the parties to submit status reports and denied as moot the Company’s motion for attorney’s fees and expenses. The parties agreed to schedule trial the week of May 9, 2022, and the trial has been docketed on the Court's calendar.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08"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On March 8, 2021, Bard filed suit in the District of Delaware asserting certain of the Company’s port products (including certain related infusion sets) infringe U.S. Patent Nos. 8,025,639, 9,603,992 (“’992”) and 9,603,993 (“’993”). On May 20, 2021, the Company filed a Motion to Dismiss Bard’s claims with respect to the ’992 and ’993 patents. On July 22, 2021, the Company submitted the Utah court’s decision invalidating claims of the related ‘302, ‘022, and ‘615 Patents as supplemental authority in support of its Motion to Dismiss. The parties agreed to submit supplemental briefing to address the Utah court’s decision. Bard submitted its brief on August 12, 2021, and the Company submitted its reply on September 2, 2021. On December 21, 2021, the District of Delaware stayed the case pending the Federal Circuit's resolution of Bard's appeal of the Utah decision invalidating multiple claims the ‘302, ‘022, and ‘615 patents under 35 USC §101. The Company maintains its belief that Bard’s claims of the related are without merit. The Company has not recorded an expense related to the outcome of this litigation because it is not yet possible to determine if a potential loss is probable nor reasonably estimable.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AngioDynamics, Inc. v. C.R. Bard, Inc.</w:t>
      </w:r>
    </w:p>
    <w:p>
      <w:pPr>
        <w:spacing w:after="0" w:line="167" w:lineRule="exact"/>
        <w:rPr>
          <w:sz w:val="20"/>
          <w:szCs w:val="20"/>
          <w:color w:val="auto"/>
        </w:rPr>
      </w:pPr>
    </w:p>
    <w:p>
      <w:pPr>
        <w:ind w:right="20" w:firstLine="395"/>
        <w:spacing w:after="0" w:line="282" w:lineRule="auto"/>
        <w:rPr>
          <w:sz w:val="20"/>
          <w:szCs w:val="20"/>
          <w:color w:val="auto"/>
        </w:rPr>
      </w:pPr>
      <w:r>
        <w:rPr>
          <w:rFonts w:ascii="Arial" w:cs="Arial" w:eastAsia="Arial" w:hAnsi="Arial"/>
          <w:sz w:val="16"/>
          <w:szCs w:val="16"/>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Bard made a motion for summary judgment which was denied in its entirety in a decision issued by the Court on May 5, 2021. Bard also raised a series of challenges targeted at one of AngioDynamics’ expert witnesses, which the Court denied in part and granted in part in decisions on May 5, 2021 and June 11, 2021. Discovery is largely complete, and trial is scheduled to commence on July 5, 2022.</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ACQUISITION, RESTRUCTURING, AND OTHER ITEMS, NET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Restructuring and Other Items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Acquisition, restructuring and other items, net, consisted of:</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0" w:type="dxa"/>
            <w:vAlign w:val="bottom"/>
            <w:gridSpan w:val="5"/>
          </w:tcPr>
          <w:p>
            <w:pPr>
              <w:ind w:left="760"/>
              <w:spacing w:after="0"/>
              <w:rPr>
                <w:sz w:val="20"/>
                <w:szCs w:val="20"/>
                <w:color w:val="auto"/>
              </w:rPr>
            </w:pPr>
            <w:r>
              <w:rPr>
                <w:rFonts w:ascii="Arial" w:cs="Arial" w:eastAsia="Arial" w:hAnsi="Arial"/>
                <w:sz w:val="14"/>
                <w:szCs w:val="14"/>
                <w:color w:val="auto"/>
              </w:rPr>
              <w:t>Three Months Ended</w:t>
            </w:r>
          </w:p>
        </w:tc>
        <w:tc>
          <w:tcPr>
            <w:tcW w:w="580" w:type="dxa"/>
            <w:vAlign w:val="bottom"/>
          </w:tcPr>
          <w:p>
            <w:pPr>
              <w:spacing w:after="0"/>
              <w:rPr>
                <w:sz w:val="15"/>
                <w:szCs w:val="15"/>
                <w:color w:val="auto"/>
              </w:rPr>
            </w:pPr>
          </w:p>
        </w:tc>
        <w:tc>
          <w:tcPr>
            <w:tcW w:w="2900" w:type="dxa"/>
            <w:vAlign w:val="bottom"/>
            <w:gridSpan w:val="4"/>
          </w:tcPr>
          <w:p>
            <w:pPr>
              <w:jc w:val="right"/>
              <w:ind w:right="934"/>
              <w:spacing w:after="0"/>
              <w:rPr>
                <w:sz w:val="20"/>
                <w:szCs w:val="20"/>
                <w:color w:val="auto"/>
              </w:rPr>
            </w:pPr>
            <w:r>
              <w:rPr>
                <w:rFonts w:ascii="Arial" w:cs="Arial" w:eastAsia="Arial" w:hAnsi="Arial"/>
                <w:sz w:val="14"/>
                <w:szCs w:val="14"/>
                <w:color w:val="auto"/>
              </w:rPr>
              <w:t>Six Months Ended</w:t>
            </w:r>
          </w:p>
        </w:tc>
      </w:tr>
      <w:tr>
        <w:trPr>
          <w:trHeight w:val="182"/>
        </w:trPr>
        <w:tc>
          <w:tcPr>
            <w:tcW w:w="4180" w:type="dxa"/>
            <w:vAlign w:val="bottom"/>
          </w:tcPr>
          <w:p>
            <w:pPr>
              <w:ind w:left="420"/>
              <w:spacing w:after="0"/>
              <w:rPr>
                <w:sz w:val="20"/>
                <w:szCs w:val="20"/>
                <w:color w:val="auto"/>
              </w:rPr>
            </w:pPr>
            <w:r>
              <w:rPr>
                <w:rFonts w:ascii="Arial" w:cs="Arial" w:eastAsia="Arial" w:hAnsi="Arial"/>
                <w:sz w:val="14"/>
                <w:szCs w:val="14"/>
                <w:color w:val="auto"/>
              </w:rPr>
              <w:t>(in thousands)</w:t>
            </w:r>
          </w:p>
        </w:tc>
        <w:tc>
          <w:tcPr>
            <w:tcW w:w="5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Nov 30, 2021</w:t>
            </w:r>
          </w:p>
        </w:tc>
        <w:tc>
          <w:tcPr>
            <w:tcW w:w="5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color w:val="auto"/>
                <w:w w:val="98"/>
              </w:rPr>
              <w:t>Nov 30, 2020</w:t>
            </w: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Nov 30, 2021</w:t>
            </w:r>
          </w:p>
        </w:tc>
        <w:tc>
          <w:tcPr>
            <w:tcW w:w="5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color w:val="auto"/>
              </w:rPr>
              <w:t>Nov 30, 2020</w:t>
            </w:r>
          </w:p>
        </w:tc>
      </w:tr>
      <w:tr>
        <w:trPr>
          <w:trHeight w:val="219"/>
        </w:trPr>
        <w:tc>
          <w:tcPr>
            <w:tcW w:w="4180" w:type="dxa"/>
            <w:vAlign w:val="bottom"/>
            <w:tcBorders>
              <w:top w:val="single" w:sz="8" w:color="CCEEFF"/>
            </w:tcBorders>
            <w:shd w:val="clear" w:color="auto" w:fill="CCEEFF"/>
          </w:tcPr>
          <w:p>
            <w:pPr>
              <w:ind w:left="420"/>
              <w:spacing w:after="0" w:line="220" w:lineRule="exact"/>
              <w:rPr>
                <w:sz w:val="20"/>
                <w:szCs w:val="20"/>
                <w:color w:val="auto"/>
              </w:rPr>
            </w:pPr>
            <w:r>
              <w:rPr>
                <w:rFonts w:ascii="Arial" w:cs="Arial" w:eastAsia="Arial" w:hAnsi="Arial"/>
                <w:sz w:val="18"/>
                <w:szCs w:val="18"/>
                <w:color w:val="auto"/>
              </w:rPr>
              <w:t xml:space="preserve">Legal </w:t>
            </w:r>
            <w:r>
              <w:rPr>
                <w:rFonts w:ascii="Arial" w:cs="Arial" w:eastAsia="Arial" w:hAnsi="Arial"/>
                <w:sz w:val="22"/>
                <w:szCs w:val="22"/>
                <w:color w:val="auto"/>
                <w:vertAlign w:val="superscript"/>
              </w:rPr>
              <w:t>(1)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r>
      <w:tr>
        <w:trPr>
          <w:trHeight w:val="224"/>
        </w:trPr>
        <w:tc>
          <w:tcPr>
            <w:tcW w:w="4180" w:type="dxa"/>
            <w:vAlign w:val="bottom"/>
          </w:tcPr>
          <w:p>
            <w:pPr>
              <w:ind w:left="420"/>
              <w:spacing w:after="0" w:line="224" w:lineRule="exact"/>
              <w:rPr>
                <w:sz w:val="20"/>
                <w:szCs w:val="20"/>
                <w:color w:val="auto"/>
              </w:rPr>
            </w:pPr>
            <w:r>
              <w:rPr>
                <w:rFonts w:ascii="Arial" w:cs="Arial" w:eastAsia="Arial" w:hAnsi="Arial"/>
                <w:sz w:val="18"/>
                <w:szCs w:val="18"/>
                <w:color w:val="auto"/>
              </w:rPr>
              <w:t xml:space="preserve">Mergers and acquisitions </w:t>
            </w:r>
            <w:r>
              <w:rPr>
                <w:rFonts w:ascii="Arial" w:cs="Arial" w:eastAsia="Arial" w:hAnsi="Arial"/>
                <w:sz w:val="22"/>
                <w:szCs w:val="22"/>
                <w:color w:val="auto"/>
                <w:vertAlign w:val="superscript"/>
              </w:rPr>
              <w:t>(2)</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4"/>
        </w:trPr>
        <w:tc>
          <w:tcPr>
            <w:tcW w:w="418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 xml:space="preserve">Transition service agreement </w:t>
            </w:r>
            <w:r>
              <w:rPr>
                <w:rFonts w:ascii="Arial" w:cs="Arial" w:eastAsia="Arial" w:hAnsi="Arial"/>
                <w:sz w:val="22"/>
                <w:szCs w:val="22"/>
                <w:color w:val="auto"/>
                <w:vertAlign w:val="superscript"/>
              </w:rPr>
              <w:t>(3)</w:t>
            </w: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24"/>
        </w:trPr>
        <w:tc>
          <w:tcPr>
            <w:tcW w:w="4180" w:type="dxa"/>
            <w:vAlign w:val="bottom"/>
          </w:tcPr>
          <w:p>
            <w:pPr>
              <w:ind w:left="420"/>
              <w:spacing w:after="0" w:line="224" w:lineRule="exact"/>
              <w:rPr>
                <w:sz w:val="20"/>
                <w:szCs w:val="20"/>
                <w:color w:val="auto"/>
              </w:rPr>
            </w:pPr>
            <w:r>
              <w:rPr>
                <w:rFonts w:ascii="Arial" w:cs="Arial" w:eastAsia="Arial" w:hAnsi="Arial"/>
                <w:sz w:val="18"/>
                <w:szCs w:val="18"/>
                <w:color w:val="auto"/>
              </w:rPr>
              <w:t xml:space="preserve">Divestiture </w:t>
            </w:r>
            <w:r>
              <w:rPr>
                <w:rFonts w:ascii="Arial" w:cs="Arial" w:eastAsia="Arial" w:hAnsi="Arial"/>
                <w:sz w:val="22"/>
                <w:szCs w:val="22"/>
                <w:color w:val="auto"/>
                <w:vertAlign w:val="superscript"/>
              </w:rPr>
              <w:t>(4)</w:t>
            </w:r>
          </w:p>
        </w:tc>
        <w:tc>
          <w:tcPr>
            <w:tcW w:w="5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24"/>
        </w:trPr>
        <w:tc>
          <w:tcPr>
            <w:tcW w:w="418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 xml:space="preserve">Manufacturing relocation </w:t>
            </w:r>
            <w:r>
              <w:rPr>
                <w:rFonts w:ascii="Arial" w:cs="Arial" w:eastAsia="Arial" w:hAnsi="Arial"/>
                <w:sz w:val="22"/>
                <w:szCs w:val="22"/>
                <w:color w:val="auto"/>
                <w:vertAlign w:val="superscript"/>
              </w:rPr>
              <w:t>(5)</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r>
      <w:tr>
        <w:trPr>
          <w:trHeight w:val="242"/>
        </w:trPr>
        <w:tc>
          <w:tcPr>
            <w:tcW w:w="4180" w:type="dxa"/>
            <w:vAlign w:val="bottom"/>
            <w:tcBorders>
              <w:bottom w:val="single" w:sz="8" w:color="CCEEFF"/>
            </w:tcBorders>
            <w:shd w:val="clear" w:color="auto" w:fill="CCEEFF"/>
          </w:tcPr>
          <w:p>
            <w:pPr>
              <w:ind w:left="740"/>
              <w:spacing w:after="0" w:line="203" w:lineRule="exact"/>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20" w:hanging="215"/>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Legal expenses related to litigation that is outside the normal course of business.</w:t>
      </w:r>
    </w:p>
    <w:p>
      <w:pPr>
        <w:spacing w:after="0" w:line="14" w:lineRule="exact"/>
        <w:rPr>
          <w:rFonts w:ascii="Arial" w:cs="Arial" w:eastAsia="Arial" w:hAnsi="Arial"/>
          <w:sz w:val="16"/>
          <w:szCs w:val="16"/>
          <w:color w:val="auto"/>
        </w:rPr>
      </w:pPr>
    </w:p>
    <w:p>
      <w:pPr>
        <w:ind w:left="220" w:hanging="215"/>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Mergers and acquisitions expense related to legal and due diligence.</w:t>
      </w:r>
    </w:p>
    <w:p>
      <w:pPr>
        <w:ind w:left="220" w:hanging="215"/>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Transition services agreement that was entered into as a result of the sale of the Fluid Management business.</w:t>
      </w:r>
    </w:p>
    <w:p>
      <w:pPr>
        <w:ind w:left="220" w:hanging="215"/>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Divestiture expenses incurred to transition manufacturing from Glens Falls, NY to Queensbury, NY.</w:t>
      </w:r>
    </w:p>
    <w:p>
      <w:pPr>
        <w:ind w:left="220" w:hanging="215"/>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Expenses to relocate certain manufacturing lines from Queensbury, NY to Costa Rica.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INCOME</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Changes in each component of accumulated other comprehensive income, net of tax, are as follows: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Three Months</w:t>
            </w:r>
          </w:p>
        </w:tc>
        <w:tc>
          <w:tcPr>
            <w:tcW w:w="0" w:type="dxa"/>
            <w:vAlign w:val="bottom"/>
          </w:tcPr>
          <w:p>
            <w:pPr>
              <w:spacing w:after="0"/>
              <w:rPr>
                <w:sz w:val="1"/>
                <w:szCs w:val="1"/>
                <w:color w:val="auto"/>
              </w:rPr>
            </w:pPr>
          </w:p>
        </w:tc>
      </w:tr>
      <w:tr>
        <w:trPr>
          <w:trHeight w:val="132"/>
        </w:trPr>
        <w:tc>
          <w:tcPr>
            <w:tcW w:w="4900" w:type="dxa"/>
            <w:vAlign w:val="bottom"/>
          </w:tcPr>
          <w:p>
            <w:pPr>
              <w:spacing w:after="0"/>
              <w:rPr>
                <w:sz w:val="11"/>
                <w:szCs w:val="11"/>
                <w:color w:val="auto"/>
              </w:rPr>
            </w:pPr>
          </w:p>
        </w:tc>
        <w:tc>
          <w:tcPr>
            <w:tcW w:w="1040" w:type="dxa"/>
            <w:vAlign w:val="bottom"/>
          </w:tcPr>
          <w:p>
            <w:pPr>
              <w:jc w:val="center"/>
              <w:spacing w:after="0" w:line="132" w:lineRule="exact"/>
              <w:rPr>
                <w:sz w:val="20"/>
                <w:szCs w:val="20"/>
                <w:color w:val="auto"/>
              </w:rPr>
            </w:pPr>
            <w:r>
              <w:rPr>
                <w:rFonts w:ascii="Arial" w:cs="Arial" w:eastAsia="Arial" w:hAnsi="Arial"/>
                <w:sz w:val="14"/>
                <w:szCs w:val="14"/>
                <w:color w:val="auto"/>
                <w:w w:val="90"/>
              </w:rPr>
              <w:t>Ended Nov 30,</w:t>
            </w:r>
          </w:p>
        </w:tc>
        <w:tc>
          <w:tcPr>
            <w:tcW w:w="0" w:type="dxa"/>
            <w:vAlign w:val="bottom"/>
          </w:tcPr>
          <w:p>
            <w:pPr>
              <w:spacing w:after="0"/>
              <w:rPr>
                <w:sz w:val="1"/>
                <w:szCs w:val="1"/>
                <w:color w:val="auto"/>
              </w:rPr>
            </w:pPr>
          </w:p>
        </w:tc>
      </w:tr>
      <w:tr>
        <w:trPr>
          <w:trHeight w:val="182"/>
        </w:trPr>
        <w:tc>
          <w:tcPr>
            <w:tcW w:w="49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27"/>
        </w:trPr>
        <w:tc>
          <w:tcPr>
            <w:tcW w:w="4900" w:type="dxa"/>
            <w:vAlign w:val="bottom"/>
          </w:tcPr>
          <w:p>
            <w:pPr>
              <w:spacing w:after="0"/>
              <w:rPr>
                <w:sz w:val="11"/>
                <w:szCs w:val="11"/>
                <w:color w:val="auto"/>
              </w:rPr>
            </w:pPr>
          </w:p>
        </w:tc>
        <w:tc>
          <w:tcPr>
            <w:tcW w:w="1040" w:type="dxa"/>
            <w:vAlign w:val="bottom"/>
          </w:tcPr>
          <w:p>
            <w:pPr>
              <w:jc w:val="center"/>
              <w:spacing w:after="0" w:line="127" w:lineRule="exact"/>
              <w:rPr>
                <w:sz w:val="20"/>
                <w:szCs w:val="20"/>
                <w:color w:val="auto"/>
              </w:rPr>
            </w:pPr>
            <w:r>
              <w:rPr>
                <w:rFonts w:ascii="Arial" w:cs="Arial" w:eastAsia="Arial" w:hAnsi="Arial"/>
                <w:sz w:val="14"/>
                <w:szCs w:val="14"/>
                <w:color w:val="auto"/>
                <w:w w:val="91"/>
              </w:rPr>
              <w:t>Foreign currency</w:t>
            </w:r>
          </w:p>
        </w:tc>
        <w:tc>
          <w:tcPr>
            <w:tcW w:w="0" w:type="dxa"/>
            <w:vAlign w:val="bottom"/>
          </w:tcPr>
          <w:p>
            <w:pPr>
              <w:spacing w:after="0"/>
              <w:rPr>
                <w:sz w:val="1"/>
                <w:szCs w:val="1"/>
                <w:color w:val="auto"/>
              </w:rPr>
            </w:pPr>
          </w:p>
        </w:tc>
      </w:tr>
      <w:tr>
        <w:trPr>
          <w:trHeight w:val="132"/>
        </w:trPr>
        <w:tc>
          <w:tcPr>
            <w:tcW w:w="49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040" w:type="dxa"/>
            <w:vAlign w:val="bottom"/>
          </w:tcPr>
          <w:p>
            <w:pPr>
              <w:jc w:val="center"/>
              <w:spacing w:after="0" w:line="132" w:lineRule="exact"/>
              <w:rPr>
                <w:sz w:val="20"/>
                <w:szCs w:val="20"/>
                <w:color w:val="auto"/>
              </w:rPr>
            </w:pPr>
            <w:r>
              <w:rPr>
                <w:rFonts w:ascii="Arial" w:cs="Arial" w:eastAsia="Arial" w:hAnsi="Arial"/>
                <w:sz w:val="14"/>
                <w:szCs w:val="14"/>
                <w:color w:val="auto"/>
                <w:w w:val="92"/>
              </w:rPr>
              <w:t>translation</w:t>
            </w:r>
          </w:p>
        </w:tc>
        <w:tc>
          <w:tcPr>
            <w:tcW w:w="0" w:type="dxa"/>
            <w:vAlign w:val="bottom"/>
          </w:tcPr>
          <w:p>
            <w:pPr>
              <w:spacing w:after="0"/>
              <w:rPr>
                <w:sz w:val="1"/>
                <w:szCs w:val="1"/>
                <w:color w:val="auto"/>
              </w:rPr>
            </w:pPr>
          </w:p>
        </w:tc>
      </w:tr>
      <w:tr>
        <w:trPr>
          <w:trHeight w:val="179"/>
        </w:trPr>
        <w:tc>
          <w:tcPr>
            <w:tcW w:w="4900" w:type="dxa"/>
            <w:vAlign w:val="bottom"/>
            <w:vMerge w:val="continue"/>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8"/>
              </w:rPr>
              <w:t>income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August 31, 2021</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r>
      <w:tr>
        <w:trPr>
          <w:trHeight w:val="223"/>
        </w:trPr>
        <w:tc>
          <w:tcPr>
            <w:tcW w:w="4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income, net of tax</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r>
      <w:tr>
        <w:trPr>
          <w:trHeight w:val="217"/>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other comprehensive income</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17"/>
        </w:trPr>
        <w:tc>
          <w:tcPr>
            <w:tcW w:w="4920" w:type="dxa"/>
            <w:vAlign w:val="bottom"/>
          </w:tcPr>
          <w:p>
            <w:pPr>
              <w:ind w:left="20"/>
              <w:spacing w:after="0"/>
              <w:rPr>
                <w:sz w:val="20"/>
                <w:szCs w:val="20"/>
                <w:color w:val="auto"/>
              </w:rPr>
            </w:pPr>
            <w:r>
              <w:rPr>
                <w:rFonts w:ascii="Arial" w:cs="Arial" w:eastAsia="Arial" w:hAnsi="Arial"/>
                <w:sz w:val="18"/>
                <w:szCs w:val="18"/>
                <w:color w:val="auto"/>
              </w:rPr>
              <w:t>Balance at November 30, 2021</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4,562</w:t>
            </w: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8960" w:type="dxa"/>
            <w:vAlign w:val="bottom"/>
          </w:tcPr>
          <w:p>
            <w:pPr>
              <w:spacing w:after="0"/>
              <w:rPr>
                <w:sz w:val="16"/>
                <w:szCs w:val="16"/>
                <w:color w:val="auto"/>
              </w:rPr>
            </w:pPr>
          </w:p>
        </w:tc>
        <w:tc>
          <w:tcPr>
            <w:tcW w:w="198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color w:val="auto"/>
                <w:w w:val="92"/>
              </w:rPr>
              <w:t>Six Months Ended Nov 30,</w:t>
            </w:r>
          </w:p>
        </w:tc>
        <w:tc>
          <w:tcPr>
            <w:tcW w:w="0" w:type="dxa"/>
            <w:vAlign w:val="bottom"/>
          </w:tcPr>
          <w:p>
            <w:pPr>
              <w:spacing w:after="0"/>
              <w:rPr>
                <w:sz w:val="1"/>
                <w:szCs w:val="1"/>
                <w:color w:val="auto"/>
              </w:rPr>
            </w:pPr>
          </w:p>
        </w:tc>
      </w:tr>
      <w:tr>
        <w:trPr>
          <w:trHeight w:val="130"/>
        </w:trPr>
        <w:tc>
          <w:tcPr>
            <w:tcW w:w="8960" w:type="dxa"/>
            <w:vAlign w:val="bottom"/>
            <w:vMerge w:val="restart"/>
          </w:tcPr>
          <w:p>
            <w:pPr>
              <w:ind w:left="420"/>
              <w:spacing w:after="0"/>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1"/>
                <w:szCs w:val="11"/>
                <w:color w:val="auto"/>
              </w:rPr>
            </w:pPr>
          </w:p>
        </w:tc>
        <w:tc>
          <w:tcPr>
            <w:tcW w:w="1460" w:type="dxa"/>
            <w:vAlign w:val="bottom"/>
          </w:tcPr>
          <w:p>
            <w:pPr>
              <w:jc w:val="right"/>
              <w:spacing w:after="0" w:line="130" w:lineRule="exact"/>
              <w:rPr>
                <w:sz w:val="20"/>
                <w:szCs w:val="20"/>
                <w:color w:val="auto"/>
              </w:rPr>
            </w:pPr>
            <w:r>
              <w:rPr>
                <w:rFonts w:ascii="Arial" w:cs="Arial" w:eastAsia="Arial" w:hAnsi="Arial"/>
                <w:sz w:val="14"/>
                <w:szCs w:val="14"/>
                <w:color w:val="auto"/>
                <w:w w:val="91"/>
              </w:rPr>
              <w:t>Foreign currency translati</w:t>
            </w:r>
          </w:p>
        </w:tc>
        <w:tc>
          <w:tcPr>
            <w:tcW w:w="0" w:type="dxa"/>
            <w:vAlign w:val="bottom"/>
          </w:tcPr>
          <w:p>
            <w:pPr>
              <w:spacing w:after="0"/>
              <w:rPr>
                <w:sz w:val="1"/>
                <w:szCs w:val="1"/>
                <w:color w:val="auto"/>
              </w:rPr>
            </w:pPr>
          </w:p>
        </w:tc>
      </w:tr>
      <w:tr>
        <w:trPr>
          <w:trHeight w:val="182"/>
        </w:trPr>
        <w:tc>
          <w:tcPr>
            <w:tcW w:w="896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219"/>
        </w:trPr>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at May 31, 2021</w:t>
            </w:r>
          </w:p>
        </w:tc>
        <w:tc>
          <w:tcPr>
            <w:tcW w:w="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9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Other comprehensive income, net of tax</w:t>
            </w:r>
          </w:p>
        </w:tc>
        <w:tc>
          <w:tcPr>
            <w:tcW w:w="5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other comprehensive income</w:t>
            </w:r>
          </w:p>
        </w:tc>
        <w:tc>
          <w:tcPr>
            <w:tcW w:w="5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8960" w:type="dxa"/>
            <w:vAlign w:val="bottom"/>
          </w:tcPr>
          <w:p>
            <w:pPr>
              <w:ind w:left="420"/>
              <w:spacing w:after="0"/>
              <w:rPr>
                <w:sz w:val="20"/>
                <w:szCs w:val="20"/>
                <w:color w:val="auto"/>
              </w:rPr>
            </w:pPr>
            <w:r>
              <w:rPr>
                <w:rFonts w:ascii="Arial" w:cs="Arial" w:eastAsia="Arial" w:hAnsi="Arial"/>
                <w:sz w:val="18"/>
                <w:szCs w:val="18"/>
                <w:color w:val="auto"/>
              </w:rPr>
              <w:t>Balance at November 30, 2021</w:t>
            </w:r>
          </w:p>
        </w:tc>
        <w:tc>
          <w:tcPr>
            <w:tcW w:w="5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right="6380" w:hanging="15"/>
        <w:spacing w:after="0" w:line="570" w:lineRule="auto"/>
        <w:tabs>
          <w:tab w:leader="none" w:pos="265"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RECENTLY ISSUED ACCOUNTING PRONOUNCEMENTS Recently Issued Accounting Pronouncements - Adopted</w:t>
      </w:r>
    </w:p>
    <w:p>
      <w:pPr>
        <w:ind w:left="320"/>
        <w:spacing w:after="0"/>
        <w:rPr>
          <w:rFonts w:ascii="Arial" w:cs="Arial" w:eastAsia="Arial" w:hAnsi="Arial"/>
          <w:sz w:val="16"/>
          <w:szCs w:val="16"/>
          <w:b w:val="1"/>
          <w:bCs w:val="1"/>
          <w:color w:val="auto"/>
        </w:rPr>
      </w:pPr>
      <w:r>
        <w:rPr>
          <w:rFonts w:ascii="Arial" w:cs="Arial" w:eastAsia="Arial" w:hAnsi="Arial"/>
          <w:sz w:val="18"/>
          <w:szCs w:val="18"/>
          <w:color w:val="auto"/>
        </w:rPr>
        <w:t>There are no recently issued accounting pronouncements that have been adopted.</w:t>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 - Not Yet Applicable or Adopted</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38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Standard</w:t>
            </w:r>
          </w:p>
        </w:tc>
        <w:tc>
          <w:tcPr>
            <w:tcW w:w="382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Description</w:t>
            </w: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Effective Date</w:t>
            </w:r>
          </w:p>
        </w:tc>
        <w:tc>
          <w:tcPr>
            <w:tcW w:w="37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Effect on the Consolidated Financial Statements</w:t>
            </w:r>
          </w:p>
        </w:tc>
      </w:tr>
      <w:tr>
        <w:trPr>
          <w:trHeight w:val="166"/>
        </w:trPr>
        <w:tc>
          <w:tcPr>
            <w:tcW w:w="2380" w:type="dxa"/>
            <w:vAlign w:val="bottom"/>
            <w:tcBorders>
              <w:right w:val="single" w:sz="8" w:color="auto"/>
            </w:tcBorders>
          </w:tcPr>
          <w:p>
            <w:pPr>
              <w:ind w:left="20"/>
              <w:spacing w:after="0" w:line="166" w:lineRule="exact"/>
              <w:rPr>
                <w:sz w:val="20"/>
                <w:szCs w:val="20"/>
                <w:color w:val="auto"/>
              </w:rPr>
            </w:pPr>
            <w:r>
              <w:rPr>
                <w:rFonts w:ascii="Arial" w:cs="Arial" w:eastAsia="Arial" w:hAnsi="Arial"/>
                <w:sz w:val="18"/>
                <w:szCs w:val="18"/>
                <w:color w:val="auto"/>
              </w:rPr>
              <w:t xml:space="preserve">ASU 2021-08, </w:t>
            </w:r>
            <w:r>
              <w:rPr>
                <w:rFonts w:ascii="Arial" w:cs="Arial" w:eastAsia="Arial" w:hAnsi="Arial"/>
                <w:sz w:val="18"/>
                <w:szCs w:val="18"/>
                <w:i w:val="1"/>
                <w:iCs w:val="1"/>
                <w:color w:val="auto"/>
              </w:rPr>
              <w:t>Business</w:t>
            </w:r>
          </w:p>
        </w:tc>
        <w:tc>
          <w:tcPr>
            <w:tcW w:w="3820" w:type="dxa"/>
            <w:vAlign w:val="bottom"/>
            <w:tcBorders>
              <w:right w:val="single" w:sz="8" w:color="auto"/>
            </w:tcBorders>
          </w:tcPr>
          <w:p>
            <w:pPr>
              <w:spacing w:after="0" w:line="166" w:lineRule="exact"/>
              <w:rPr>
                <w:sz w:val="20"/>
                <w:szCs w:val="20"/>
                <w:color w:val="auto"/>
              </w:rPr>
            </w:pPr>
            <w:r>
              <w:rPr>
                <w:rFonts w:ascii="Arial" w:cs="Arial" w:eastAsia="Arial" w:hAnsi="Arial"/>
                <w:sz w:val="18"/>
                <w:szCs w:val="18"/>
                <w:color w:val="auto"/>
              </w:rPr>
              <w:t>This ASU improves the accounting for acquired</w:t>
            </w:r>
          </w:p>
        </w:tc>
        <w:tc>
          <w:tcPr>
            <w:tcW w:w="1240" w:type="dxa"/>
            <w:vAlign w:val="bottom"/>
            <w:tcBorders>
              <w:right w:val="single" w:sz="8" w:color="auto"/>
            </w:tcBorders>
          </w:tcPr>
          <w:p>
            <w:pPr>
              <w:ind w:left="160"/>
              <w:spacing w:after="0" w:line="166" w:lineRule="exact"/>
              <w:rPr>
                <w:sz w:val="20"/>
                <w:szCs w:val="20"/>
                <w:color w:val="auto"/>
              </w:rPr>
            </w:pPr>
            <w:r>
              <w:rPr>
                <w:rFonts w:ascii="Arial" w:cs="Arial" w:eastAsia="Arial" w:hAnsi="Arial"/>
                <w:sz w:val="18"/>
                <w:szCs w:val="18"/>
                <w:color w:val="auto"/>
                <w:w w:val="99"/>
              </w:rPr>
              <w:t>June 1, 2023</w:t>
            </w:r>
          </w:p>
        </w:tc>
        <w:tc>
          <w:tcPr>
            <w:tcW w:w="3740" w:type="dxa"/>
            <w:vAlign w:val="bottom"/>
          </w:tcPr>
          <w:p>
            <w:pPr>
              <w:ind w:left="20"/>
              <w:spacing w:after="0" w:line="166" w:lineRule="exact"/>
              <w:rPr>
                <w:sz w:val="20"/>
                <w:szCs w:val="20"/>
                <w:color w:val="auto"/>
              </w:rPr>
            </w:pPr>
            <w:r>
              <w:rPr>
                <w:rFonts w:ascii="Arial" w:cs="Arial" w:eastAsia="Arial" w:hAnsi="Arial"/>
                <w:sz w:val="18"/>
                <w:szCs w:val="18"/>
                <w:color w:val="auto"/>
                <w:w w:val="87"/>
              </w:rPr>
              <w:t>The Company plans to adopt the new standard in the</w:t>
            </w:r>
          </w:p>
        </w:tc>
      </w:tr>
      <w:tr>
        <w:trPr>
          <w:trHeight w:val="183"/>
        </w:trPr>
        <w:tc>
          <w:tcPr>
            <w:tcW w:w="238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i w:val="1"/>
                <w:iCs w:val="1"/>
                <w:color w:val="auto"/>
              </w:rPr>
              <w:t>Combinations (Topic 805):</w:t>
            </w:r>
          </w:p>
        </w:tc>
        <w:tc>
          <w:tcPr>
            <w:tcW w:w="382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w w:val="99"/>
              </w:rPr>
              <w:t>revenue contracts with customers in a business</w:t>
            </w:r>
          </w:p>
        </w:tc>
        <w:tc>
          <w:tcPr>
            <w:tcW w:w="1240" w:type="dxa"/>
            <w:vAlign w:val="bottom"/>
            <w:tcBorders>
              <w:right w:val="single" w:sz="8" w:color="auto"/>
            </w:tcBorders>
          </w:tcPr>
          <w:p>
            <w:pPr>
              <w:spacing w:after="0"/>
              <w:rPr>
                <w:sz w:val="15"/>
                <w:szCs w:val="15"/>
                <w:color w:val="auto"/>
              </w:rPr>
            </w:pPr>
          </w:p>
        </w:tc>
        <w:tc>
          <w:tcPr>
            <w:tcW w:w="3740" w:type="dxa"/>
            <w:vAlign w:val="bottom"/>
          </w:tcPr>
          <w:p>
            <w:pPr>
              <w:ind w:left="20"/>
              <w:spacing w:after="0" w:line="183" w:lineRule="exact"/>
              <w:rPr>
                <w:sz w:val="20"/>
                <w:szCs w:val="20"/>
                <w:color w:val="auto"/>
              </w:rPr>
            </w:pPr>
            <w:r>
              <w:rPr>
                <w:rFonts w:ascii="Arial" w:cs="Arial" w:eastAsia="Arial" w:hAnsi="Arial"/>
                <w:sz w:val="18"/>
                <w:szCs w:val="18"/>
                <w:color w:val="auto"/>
                <w:w w:val="90"/>
              </w:rPr>
              <w:t>first quarter of fiscal year 2024 and does not expect</w:t>
            </w:r>
          </w:p>
        </w:tc>
      </w:tr>
      <w:tr>
        <w:trPr>
          <w:trHeight w:val="184"/>
        </w:trPr>
        <w:tc>
          <w:tcPr>
            <w:tcW w:w="2380" w:type="dxa"/>
            <w:vAlign w:val="bottom"/>
            <w:tcBorders>
              <w:right w:val="single" w:sz="8" w:color="auto"/>
            </w:tcBorders>
          </w:tcPr>
          <w:p>
            <w:pPr>
              <w:ind w:left="20"/>
              <w:spacing w:after="0" w:line="184" w:lineRule="exact"/>
              <w:rPr>
                <w:sz w:val="20"/>
                <w:szCs w:val="20"/>
                <w:color w:val="auto"/>
              </w:rPr>
            </w:pPr>
            <w:r>
              <w:rPr>
                <w:rFonts w:ascii="Arial" w:cs="Arial" w:eastAsia="Arial" w:hAnsi="Arial"/>
                <w:sz w:val="18"/>
                <w:szCs w:val="18"/>
                <w:i w:val="1"/>
                <w:iCs w:val="1"/>
                <w:color w:val="auto"/>
                <w:w w:val="93"/>
              </w:rPr>
              <w:t>Accounting for Contract Assets</w:t>
            </w:r>
          </w:p>
        </w:tc>
        <w:tc>
          <w:tcPr>
            <w:tcW w:w="382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color w:val="auto"/>
                <w:w w:val="92"/>
              </w:rPr>
              <w:t>combination by addressing diversity in practice and</w:t>
            </w:r>
          </w:p>
        </w:tc>
        <w:tc>
          <w:tcPr>
            <w:tcW w:w="1240" w:type="dxa"/>
            <w:vAlign w:val="bottom"/>
            <w:tcBorders>
              <w:right w:val="single" w:sz="8" w:color="auto"/>
            </w:tcBorders>
          </w:tcPr>
          <w:p>
            <w:pPr>
              <w:spacing w:after="0"/>
              <w:rPr>
                <w:sz w:val="16"/>
                <w:szCs w:val="16"/>
                <w:color w:val="auto"/>
              </w:rPr>
            </w:pPr>
          </w:p>
        </w:tc>
        <w:tc>
          <w:tcPr>
            <w:tcW w:w="3740" w:type="dxa"/>
            <w:vAlign w:val="bottom"/>
          </w:tcPr>
          <w:p>
            <w:pPr>
              <w:ind w:left="20"/>
              <w:spacing w:after="0" w:line="184" w:lineRule="exact"/>
              <w:rPr>
                <w:sz w:val="20"/>
                <w:szCs w:val="20"/>
                <w:color w:val="auto"/>
              </w:rPr>
            </w:pPr>
            <w:r>
              <w:rPr>
                <w:rFonts w:ascii="Arial" w:cs="Arial" w:eastAsia="Arial" w:hAnsi="Arial"/>
                <w:sz w:val="18"/>
                <w:szCs w:val="18"/>
                <w:color w:val="auto"/>
                <w:w w:val="96"/>
              </w:rPr>
              <w:t>there to be a material impact to the consolidated</w:t>
            </w:r>
          </w:p>
        </w:tc>
      </w:tr>
      <w:tr>
        <w:trPr>
          <w:trHeight w:val="184"/>
        </w:trPr>
        <w:tc>
          <w:tcPr>
            <w:tcW w:w="2380" w:type="dxa"/>
            <w:vAlign w:val="bottom"/>
            <w:tcBorders>
              <w:right w:val="single" w:sz="8" w:color="auto"/>
            </w:tcBorders>
          </w:tcPr>
          <w:p>
            <w:pPr>
              <w:ind w:left="20"/>
              <w:spacing w:after="0" w:line="184" w:lineRule="exact"/>
              <w:rPr>
                <w:sz w:val="20"/>
                <w:szCs w:val="20"/>
                <w:color w:val="auto"/>
              </w:rPr>
            </w:pPr>
            <w:r>
              <w:rPr>
                <w:rFonts w:ascii="Arial" w:cs="Arial" w:eastAsia="Arial" w:hAnsi="Arial"/>
                <w:sz w:val="18"/>
                <w:szCs w:val="18"/>
                <w:i w:val="1"/>
                <w:iCs w:val="1"/>
                <w:color w:val="auto"/>
              </w:rPr>
              <w:t>and Contract Liabilities from</w:t>
            </w:r>
          </w:p>
        </w:tc>
        <w:tc>
          <w:tcPr>
            <w:tcW w:w="382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color w:val="auto"/>
                <w:w w:val="94"/>
              </w:rPr>
              <w:t>inconsistency related to recognition of an acquired</w:t>
            </w:r>
          </w:p>
        </w:tc>
        <w:tc>
          <w:tcPr>
            <w:tcW w:w="1240" w:type="dxa"/>
            <w:vAlign w:val="bottom"/>
            <w:tcBorders>
              <w:right w:val="single" w:sz="8" w:color="auto"/>
            </w:tcBorders>
          </w:tcPr>
          <w:p>
            <w:pPr>
              <w:spacing w:after="0"/>
              <w:rPr>
                <w:sz w:val="16"/>
                <w:szCs w:val="16"/>
                <w:color w:val="auto"/>
              </w:rPr>
            </w:pPr>
          </w:p>
        </w:tc>
        <w:tc>
          <w:tcPr>
            <w:tcW w:w="3740" w:type="dxa"/>
            <w:vAlign w:val="bottom"/>
          </w:tcPr>
          <w:p>
            <w:pPr>
              <w:ind w:left="20"/>
              <w:spacing w:after="0" w:line="184" w:lineRule="exact"/>
              <w:rPr>
                <w:sz w:val="20"/>
                <w:szCs w:val="20"/>
                <w:color w:val="auto"/>
              </w:rPr>
            </w:pPr>
            <w:r>
              <w:rPr>
                <w:rFonts w:ascii="Arial" w:cs="Arial" w:eastAsia="Arial" w:hAnsi="Arial"/>
                <w:sz w:val="18"/>
                <w:szCs w:val="18"/>
                <w:color w:val="auto"/>
              </w:rPr>
              <w:t>financial statements.</w:t>
            </w:r>
          </w:p>
        </w:tc>
      </w:tr>
      <w:tr>
        <w:trPr>
          <w:trHeight w:val="198"/>
        </w:trPr>
        <w:tc>
          <w:tcPr>
            <w:tcW w:w="2380" w:type="dxa"/>
            <w:vAlign w:val="bottom"/>
            <w:tcBorders>
              <w:right w:val="single" w:sz="8" w:color="auto"/>
            </w:tcBorders>
          </w:tcPr>
          <w:p>
            <w:pPr>
              <w:ind w:left="20"/>
              <w:spacing w:after="0" w:line="198" w:lineRule="exact"/>
              <w:rPr>
                <w:sz w:val="20"/>
                <w:szCs w:val="20"/>
                <w:color w:val="auto"/>
              </w:rPr>
            </w:pPr>
            <w:r>
              <w:rPr>
                <w:rFonts w:ascii="Arial" w:cs="Arial" w:eastAsia="Arial" w:hAnsi="Arial"/>
                <w:sz w:val="18"/>
                <w:szCs w:val="18"/>
                <w:i w:val="1"/>
                <w:iCs w:val="1"/>
                <w:color w:val="auto"/>
              </w:rPr>
              <w:t>Contracts with Customers</w:t>
            </w:r>
          </w:p>
        </w:tc>
        <w:tc>
          <w:tcPr>
            <w:tcW w:w="382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color w:val="auto"/>
                <w:w w:val="93"/>
              </w:rPr>
              <w:t>contract liability and payment terms and their effect</w:t>
            </w:r>
          </w:p>
        </w:tc>
        <w:tc>
          <w:tcPr>
            <w:tcW w:w="1240" w:type="dxa"/>
            <w:vAlign w:val="bottom"/>
            <w:tcBorders>
              <w:right w:val="single" w:sz="8" w:color="auto"/>
            </w:tcBorders>
          </w:tcPr>
          <w:p>
            <w:pPr>
              <w:spacing w:after="0"/>
              <w:rPr>
                <w:sz w:val="17"/>
                <w:szCs w:val="17"/>
                <w:color w:val="auto"/>
              </w:rPr>
            </w:pPr>
          </w:p>
        </w:tc>
        <w:tc>
          <w:tcPr>
            <w:tcW w:w="3740" w:type="dxa"/>
            <w:vAlign w:val="bottom"/>
          </w:tcPr>
          <w:p>
            <w:pPr>
              <w:spacing w:after="0"/>
              <w:rPr>
                <w:sz w:val="17"/>
                <w:szCs w:val="17"/>
                <w:color w:val="auto"/>
              </w:rPr>
            </w:pPr>
          </w:p>
        </w:tc>
      </w:tr>
      <w:tr>
        <w:trPr>
          <w:trHeight w:val="229"/>
        </w:trPr>
        <w:tc>
          <w:tcPr>
            <w:tcW w:w="238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2"/>
              </w:rPr>
              <w:t>on subsequent revenue recognized by the acquirer.</w:t>
            </w:r>
          </w:p>
        </w:tc>
        <w:tc>
          <w:tcPr>
            <w:tcW w:w="124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7" w:lineRule="exact"/>
        <w:rPr>
          <w:sz w:val="20"/>
          <w:szCs w:val="20"/>
          <w:color w:val="auto"/>
        </w:rPr>
      </w:pPr>
    </w:p>
    <w:p>
      <w:pPr>
        <w:ind w:right="40" w:firstLine="395"/>
        <w:spacing w:after="0" w:line="299" w:lineRule="auto"/>
        <w:rPr>
          <w:sz w:val="20"/>
          <w:szCs w:val="20"/>
          <w:color w:val="auto"/>
        </w:rPr>
      </w:pPr>
      <w:r>
        <w:rPr>
          <w:rFonts w:ascii="Arial" w:cs="Arial" w:eastAsia="Arial" w:hAnsi="Arial"/>
          <w:sz w:val="16"/>
          <w:szCs w:val="16"/>
          <w:color w:val="auto"/>
        </w:rPr>
        <w:t>The following information should be read together with the consolidated financial statements and the notes thereto and other information included elsewhere in this quarterly report on Form 10-Q. The following discussion should be read in conjunction with the Company's 2021 Annual Report on Form 10-K, and the consolidated financial statements and notes thereto included elsewhere in the Form 10-Q.</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67" w:lineRule="exact"/>
        <w:rPr>
          <w:sz w:val="20"/>
          <w:szCs w:val="20"/>
          <w:color w:val="auto"/>
        </w:rPr>
      </w:pPr>
    </w:p>
    <w:p>
      <w:pPr>
        <w:ind w:firstLine="395"/>
        <w:spacing w:after="0" w:line="278" w:lineRule="auto"/>
        <w:rPr>
          <w:sz w:val="20"/>
          <w:szCs w:val="20"/>
          <w:color w:val="auto"/>
        </w:rPr>
      </w:pPr>
      <w:r>
        <w:rPr>
          <w:rFonts w:ascii="Arial" w:cs="Arial" w:eastAsia="Arial" w:hAnsi="Arial"/>
          <w:sz w:val="16"/>
          <w:szCs w:val="16"/>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words such as “expects,” “reaffirms,” “intends,” “anticipates,” “plans,” “believes,” “seeks,” “estimates,” “projects,”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our expectations, expressed or implied.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(including inflation and labor shortages), general market conditions, market acceptance, foreign currency exchange rate fluctuations, the effects on pricing from group purchasing organizations and competition, our ability to integrate purchased businesses and other factors including natural disasters and pandemics (such as the scope, scale and duration of the impact of COVID-19). Other risks and uncertainties include, but are not limited to, the factors described from time to time in our reports filed with the Securities and Exchange Commission (the "SEC").</w:t>
      </w:r>
    </w:p>
    <w:p>
      <w:pPr>
        <w:spacing w:after="0" w:line="124" w:lineRule="exact"/>
        <w:rPr>
          <w:sz w:val="20"/>
          <w:szCs w:val="20"/>
          <w:color w:val="auto"/>
        </w:rPr>
      </w:pPr>
    </w:p>
    <w:p>
      <w:pPr>
        <w:ind w:right="60" w:firstLine="395"/>
        <w:spacing w:after="0" w:line="247" w:lineRule="auto"/>
        <w:rPr>
          <w:sz w:val="20"/>
          <w:szCs w:val="20"/>
          <w:color w:val="auto"/>
        </w:rPr>
      </w:pPr>
      <w:r>
        <w:rPr>
          <w:rFonts w:ascii="Arial" w:cs="Arial" w:eastAsia="Arial" w:hAnsi="Arial"/>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Trademarks</w:t>
      </w:r>
    </w:p>
    <w:p>
      <w:pPr>
        <w:spacing w:after="0" w:line="167" w:lineRule="exact"/>
        <w:rPr>
          <w:sz w:val="20"/>
          <w:szCs w:val="20"/>
          <w:color w:val="auto"/>
        </w:rPr>
      </w:pPr>
    </w:p>
    <w:p>
      <w:pPr>
        <w:ind w:right="80" w:firstLine="395"/>
        <w:spacing w:after="0" w:line="248" w:lineRule="auto"/>
        <w:rPr>
          <w:sz w:val="20"/>
          <w:szCs w:val="20"/>
          <w:color w:val="auto"/>
        </w:rPr>
      </w:pPr>
      <w:r>
        <w:rPr>
          <w:rFonts w:ascii="Arial" w:cs="Arial" w:eastAsia="Arial" w:hAnsi="Arial"/>
          <w:sz w:val="18"/>
          <w:szCs w:val="18"/>
          <w:color w:val="auto"/>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 Information on our website or connected to our website is not incorporated by reference into this Quarterly Report on Form 10-Q.</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61" w:lineRule="exact"/>
        <w:rPr>
          <w:sz w:val="20"/>
          <w:szCs w:val="20"/>
          <w:color w:val="auto"/>
        </w:rPr>
      </w:pPr>
    </w:p>
    <w:p>
      <w:pPr>
        <w:ind w:right="100" w:firstLine="395"/>
        <w:spacing w:after="0" w:line="327" w:lineRule="auto"/>
        <w:rPr>
          <w:sz w:val="20"/>
          <w:szCs w:val="20"/>
          <w:color w:val="auto"/>
        </w:rPr>
      </w:pPr>
      <w:r>
        <w:rPr>
          <w:rFonts w:ascii="Arial" w:cs="Arial" w:eastAsia="Arial" w:hAnsi="Arial"/>
          <w:sz w:val="15"/>
          <w:szCs w:val="15"/>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longer-term use.</w:t>
      </w:r>
    </w:p>
    <w:p>
      <w:pPr>
        <w:spacing w:after="0" w:line="84" w:lineRule="exact"/>
        <w:rPr>
          <w:sz w:val="20"/>
          <w:szCs w:val="20"/>
          <w:color w:val="auto"/>
        </w:rPr>
      </w:pPr>
    </w:p>
    <w:p>
      <w:pPr>
        <w:ind w:right="20" w:firstLine="395"/>
        <w:spacing w:after="0" w:line="291" w:lineRule="auto"/>
        <w:rPr>
          <w:sz w:val="20"/>
          <w:szCs w:val="20"/>
          <w:color w:val="auto"/>
        </w:rPr>
      </w:pPr>
      <w:r>
        <w:rPr>
          <w:rFonts w:ascii="Arial" w:cs="Arial" w:eastAsia="Arial" w:hAnsi="Arial"/>
          <w:sz w:val="16"/>
          <w:szCs w:val="16"/>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devices; and fluctuations in the global economy.</w:t>
      </w:r>
    </w:p>
    <w:p>
      <w:pPr>
        <w:spacing w:after="0" w:line="108" w:lineRule="exact"/>
        <w:rPr>
          <w:sz w:val="20"/>
          <w:szCs w:val="20"/>
          <w:color w:val="auto"/>
        </w:rPr>
      </w:pPr>
    </w:p>
    <w:p>
      <w:pPr>
        <w:ind w:right="140" w:firstLine="395"/>
        <w:spacing w:after="0" w:line="252" w:lineRule="auto"/>
        <w:rPr>
          <w:sz w:val="20"/>
          <w:szCs w:val="20"/>
          <w:color w:val="auto"/>
        </w:rPr>
      </w:pPr>
      <w:r>
        <w:rPr>
          <w:rFonts w:ascii="Arial" w:cs="Arial" w:eastAsia="Arial" w:hAnsi="Arial"/>
          <w:sz w:val="18"/>
          <w:szCs w:val="18"/>
          <w:color w:val="auto"/>
        </w:rPr>
        <w:t>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make investments in research and development activities and selective business development opportunities to provide growth opportunities.</w:t>
      </w:r>
    </w:p>
    <w:p>
      <w:pPr>
        <w:spacing w:after="0" w:line="161" w:lineRule="exact"/>
        <w:rPr>
          <w:sz w:val="20"/>
          <w:szCs w:val="20"/>
          <w:color w:val="auto"/>
        </w:rPr>
      </w:pPr>
    </w:p>
    <w:p>
      <w:pPr>
        <w:ind w:right="80" w:firstLine="395"/>
        <w:spacing w:after="0" w:line="250" w:lineRule="auto"/>
        <w:rPr>
          <w:sz w:val="20"/>
          <w:szCs w:val="20"/>
          <w:color w:val="auto"/>
        </w:rPr>
      </w:pPr>
      <w:r>
        <w:rPr>
          <w:rFonts w:ascii="Arial" w:cs="Arial" w:eastAsia="Arial" w:hAnsi="Arial"/>
          <w:sz w:val="18"/>
          <w:szCs w:val="18"/>
          <w:color w:val="auto"/>
        </w:rPr>
        <w:t>We sell our products in the United States primarily through a direct sales force, and outside the U.S. through a combination of direct sales and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spacing w:after="0" w:line="138"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The COVID-19 global pandemic has impacted our business and may continue to pose future risks with the emergence of new variants. Even with the public health actions that have been taken to reduce the spread of the virus, the market continues to experience disruptions with respect to consumer demand, hospital operating procedures and workflow, trends that may continue. The Company's ability to manufacture products, the reliability of our supply chain, labor shortages, backlog and inflation (including the cost of raw materials, direct labor and shipping) have impacted our business, trends that may continue. Accordingly, management continues to evaluate the Company’s liquidity position, communicate with and monitor the actions of our customers and suppliers, and review our near-term financial performance.</w:t>
      </w:r>
    </w:p>
    <w:p>
      <w:pPr>
        <w:spacing w:after="0" w:line="143" w:lineRule="exact"/>
        <w:rPr>
          <w:sz w:val="20"/>
          <w:szCs w:val="20"/>
          <w:color w:val="auto"/>
        </w:rPr>
      </w:pPr>
    </w:p>
    <w:p>
      <w:pPr>
        <w:jc w:val="both"/>
        <w:ind w:right="120" w:firstLine="395"/>
        <w:spacing w:after="0" w:line="252" w:lineRule="auto"/>
        <w:rPr>
          <w:sz w:val="20"/>
          <w:szCs w:val="20"/>
          <w:color w:val="auto"/>
        </w:rPr>
      </w:pPr>
      <w:r>
        <w:rPr>
          <w:rFonts w:ascii="Arial" w:cs="Arial" w:eastAsia="Arial" w:hAnsi="Arial"/>
          <w:sz w:val="18"/>
          <w:szCs w:val="18"/>
          <w:color w:val="auto"/>
        </w:rPr>
        <w:t>In evaluating the operating performance of our business, management focuses on revenue, gross margin, operating income, earnings per share and cash flow from operations. A summary of these key financial metrics for the three and six months ended November 30, 2021 compared to the three and six months ended November 30, 2020 are as follows: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Three months ended November 30, 2021:</w:t>
      </w:r>
    </w:p>
    <w:p>
      <w:pPr>
        <w:spacing w:after="0" w:line="153" w:lineRule="exact"/>
        <w:rPr>
          <w:sz w:val="20"/>
          <w:szCs w:val="20"/>
          <w:color w:val="auto"/>
        </w:rPr>
      </w:pPr>
    </w:p>
    <w:p>
      <w:pPr>
        <w:ind w:left="940" w:hanging="303"/>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increased by 7.6% to $78.3 million.</w:t>
      </w:r>
    </w:p>
    <w:p>
      <w:pPr>
        <w:ind w:left="940" w:hanging="303"/>
        <w:spacing w:after="0" w:line="228"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 Tech growth of 36.4% and Med Device growth of 0.8%.</w:t>
      </w:r>
    </w:p>
    <w:p>
      <w:pPr>
        <w:ind w:left="940" w:hanging="303"/>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decreased 340 bps to 51.8%.</w:t>
      </w:r>
    </w:p>
    <w:p>
      <w:pPr>
        <w:spacing w:after="0" w:line="1" w:lineRule="exact"/>
        <w:rPr>
          <w:rFonts w:ascii="Arial" w:cs="Arial" w:eastAsia="Arial" w:hAnsi="Arial"/>
          <w:sz w:val="18"/>
          <w:szCs w:val="18"/>
          <w:color w:val="auto"/>
        </w:rPr>
      </w:pPr>
    </w:p>
    <w:p>
      <w:pPr>
        <w:ind w:left="940" w:hanging="303"/>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loss increased by $4.1 million to $8.4 million.</w:t>
      </w:r>
    </w:p>
    <w:p>
      <w:pPr>
        <w:spacing w:after="0" w:line="3" w:lineRule="exact"/>
        <w:rPr>
          <w:rFonts w:ascii="Arial" w:cs="Arial" w:eastAsia="Arial" w:hAnsi="Arial"/>
          <w:sz w:val="18"/>
          <w:szCs w:val="18"/>
          <w:color w:val="auto"/>
        </w:rPr>
      </w:pPr>
    </w:p>
    <w:p>
      <w:pPr>
        <w:ind w:left="940" w:hanging="303"/>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per share increased by $0.10 to a loss of $0.21.</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Six months ended November 30, 2021:</w:t>
      </w:r>
    </w:p>
    <w:p>
      <w:pPr>
        <w:spacing w:after="0" w:line="161" w:lineRule="exact"/>
        <w:rPr>
          <w:sz w:val="20"/>
          <w:szCs w:val="20"/>
          <w:color w:val="auto"/>
        </w:rPr>
      </w:pPr>
    </w:p>
    <w:p>
      <w:pPr>
        <w:ind w:left="940" w:hanging="303"/>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increased by 8.6% to $155.3 million.</w:t>
      </w:r>
    </w:p>
    <w:p>
      <w:pPr>
        <w:spacing w:after="0" w:line="15" w:lineRule="exact"/>
        <w:rPr>
          <w:rFonts w:ascii="Arial" w:cs="Arial" w:eastAsia="Arial" w:hAnsi="Arial"/>
          <w:sz w:val="18"/>
          <w:szCs w:val="18"/>
          <w:color w:val="auto"/>
        </w:rPr>
      </w:pPr>
    </w:p>
    <w:p>
      <w:pPr>
        <w:ind w:left="940" w:hanging="303"/>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Med Tech growth of 50.0% and Med Device growth of 0.1%.</w:t>
      </w:r>
    </w:p>
    <w:p>
      <w:pPr>
        <w:spacing w:after="0" w:line="3" w:lineRule="exact"/>
        <w:rPr>
          <w:rFonts w:ascii="Arial" w:cs="Arial" w:eastAsia="Arial" w:hAnsi="Arial"/>
          <w:sz w:val="18"/>
          <w:szCs w:val="18"/>
          <w:color w:val="auto"/>
        </w:rPr>
      </w:pPr>
    </w:p>
    <w:p>
      <w:pPr>
        <w:ind w:left="940" w:hanging="303"/>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profit decreased 110 bps to 52.0%.</w:t>
      </w:r>
    </w:p>
    <w:p>
      <w:pPr>
        <w:spacing w:after="0" w:line="3" w:lineRule="exact"/>
        <w:rPr>
          <w:rFonts w:ascii="Arial" w:cs="Arial" w:eastAsia="Arial" w:hAnsi="Arial"/>
          <w:sz w:val="18"/>
          <w:szCs w:val="18"/>
          <w:color w:val="auto"/>
        </w:rPr>
      </w:pPr>
    </w:p>
    <w:p>
      <w:pPr>
        <w:ind w:left="940" w:hanging="303"/>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loss increased by $6.8 million to $15.3 million.</w:t>
      </w:r>
    </w:p>
    <w:p>
      <w:pPr>
        <w:spacing w:after="0" w:line="3" w:lineRule="exact"/>
        <w:rPr>
          <w:rFonts w:ascii="Arial" w:cs="Arial" w:eastAsia="Arial" w:hAnsi="Arial"/>
          <w:sz w:val="18"/>
          <w:szCs w:val="18"/>
          <w:color w:val="auto"/>
        </w:rPr>
      </w:pPr>
    </w:p>
    <w:p>
      <w:pPr>
        <w:ind w:left="940" w:hanging="303"/>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per share increased by $0.17 to a loss of $0.39.</w:t>
      </w:r>
    </w:p>
    <w:p>
      <w:pPr>
        <w:spacing w:after="0" w:line="3" w:lineRule="exact"/>
        <w:rPr>
          <w:rFonts w:ascii="Arial" w:cs="Arial" w:eastAsia="Arial" w:hAnsi="Arial"/>
          <w:sz w:val="18"/>
          <w:szCs w:val="18"/>
          <w:color w:val="auto"/>
        </w:rPr>
      </w:pPr>
    </w:p>
    <w:p>
      <w:pPr>
        <w:ind w:left="940" w:hanging="303"/>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used in operations increased by $13.0 million to $7.0 million.</w:t>
      </w:r>
    </w:p>
    <w:p>
      <w:pPr>
        <w:spacing w:after="0" w:line="150" w:lineRule="exact"/>
        <w:rPr>
          <w:sz w:val="20"/>
          <w:szCs w:val="20"/>
          <w:color w:val="auto"/>
        </w:rPr>
      </w:pPr>
    </w:p>
    <w:p>
      <w:pPr>
        <w:ind w:right="40" w:firstLine="395"/>
        <w:spacing w:after="0" w:line="291" w:lineRule="auto"/>
        <w:rPr>
          <w:sz w:val="20"/>
          <w:szCs w:val="20"/>
          <w:color w:val="auto"/>
        </w:rPr>
      </w:pPr>
      <w:r>
        <w:rPr>
          <w:rFonts w:ascii="Arial" w:cs="Arial" w:eastAsia="Arial" w:hAnsi="Arial"/>
          <w:sz w:val="16"/>
          <w:szCs w:val="16"/>
          <w:color w:val="auto"/>
        </w:rPr>
        <w:t>In our Med Tech business, comprised of Auryon, the Thrombectomy portfolio and NanoKnife, Auryon and the Thrombectomy portfolio experienced improved performance during the second quarter of fiscal year 2022 as the number of procedures increased. In our Med Device business, Vascular Access, also improved in the second quarter of fiscal year 2022 compared to the prior year period. This was partially offset by our Oncology products, which continued to face pressure from reductions in procedure volumes due to challenges resulting from the COVID-19 pandemic.</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the three months ended November 30, 2021, the Company reported a net loss of $8.4 million, or a loss of $0.21 per diluted share, on net sales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$78.3 million, compared with a net loss of $4.3 million, or a loss of $0.11 per diluted share, on net sales of $72.8 million during the same quarter of the prior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year. For the six months ended November 30, 2021, the Company reported a net loss of $15.3 million, or a loss of $0.39 per diluted share, on net sales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$155.3 million, compared with a net loss of $8.5 million, or a loss of $0.22 per diluted share, on net sales of $143.0 million during the same period of the prior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Net sales are derived from the sale of products and related freight charges, less discounts, rebates and returns.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summarizes net sales by Med Tech and Med Device: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2120" w:type="dxa"/>
            <w:vAlign w:val="bottom"/>
            <w:gridSpan w:val="3"/>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2"/>
        </w:trPr>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Three Months Ended</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1"/>
              </w:rPr>
              <w:t>Six Months Ended</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ind w:left="100"/>
              <w:spacing w:after="0"/>
              <w:rPr>
                <w:sz w:val="20"/>
                <w:szCs w:val="20"/>
                <w:color w:val="auto"/>
              </w:rPr>
            </w:pPr>
            <w:r>
              <w:rPr>
                <w:rFonts w:ascii="Arial" w:cs="Arial" w:eastAsia="Arial" w:hAnsi="Arial"/>
                <w:sz w:val="14"/>
                <w:szCs w:val="14"/>
                <w:color w:val="auto"/>
              </w:rPr>
              <w:t>Nov 30, 2021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236"/>
              <w:spacing w:after="0"/>
              <w:rPr>
                <w:sz w:val="20"/>
                <w:szCs w:val="20"/>
                <w:color w:val="auto"/>
              </w:rPr>
            </w:pPr>
            <w:r>
              <w:rPr>
                <w:rFonts w:ascii="Arial" w:cs="Arial" w:eastAsia="Arial" w:hAnsi="Arial"/>
                <w:sz w:val="14"/>
                <w:szCs w:val="14"/>
                <w:color w:val="auto"/>
              </w:rPr>
              <w:t>Nov 30, 2020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ind w:right="370"/>
              <w:spacing w:after="0"/>
              <w:rPr>
                <w:sz w:val="20"/>
                <w:szCs w:val="20"/>
                <w:color w:val="auto"/>
              </w:rPr>
            </w:pPr>
            <w:r>
              <w:rPr>
                <w:rFonts w:ascii="Arial" w:cs="Arial" w:eastAsia="Arial" w:hAnsi="Arial"/>
                <w:sz w:val="14"/>
                <w:szCs w:val="14"/>
                <w:color w:val="auto"/>
              </w:rPr>
              <w:t>% Change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Nov 30, 2021</w:t>
            </w:r>
          </w:p>
        </w:tc>
        <w:tc>
          <w:tcPr>
            <w:tcW w:w="140" w:type="dxa"/>
            <w:vAlign w:val="bottom"/>
          </w:tcPr>
          <w:p>
            <w:pPr>
              <w:spacing w:after="0"/>
              <w:rPr>
                <w:sz w:val="15"/>
                <w:szCs w:val="15"/>
                <w:color w:val="auto"/>
              </w:rPr>
            </w:pPr>
          </w:p>
        </w:tc>
        <w:tc>
          <w:tcPr>
            <w:tcW w:w="1280" w:type="dxa"/>
            <w:vAlign w:val="bottom"/>
          </w:tcPr>
          <w:p>
            <w:pPr>
              <w:jc w:val="center"/>
              <w:ind w:right="77"/>
              <w:spacing w:after="0"/>
              <w:rPr>
                <w:sz w:val="20"/>
                <w:szCs w:val="20"/>
                <w:color w:val="auto"/>
              </w:rPr>
            </w:pPr>
            <w:r>
              <w:rPr>
                <w:rFonts w:ascii="Arial" w:cs="Arial" w:eastAsia="Arial" w:hAnsi="Arial"/>
                <w:sz w:val="14"/>
                <w:szCs w:val="14"/>
                <w:color w:val="auto"/>
                <w:w w:val="91"/>
              </w:rPr>
              <w:t>Nov 30, 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2"/>
          </w:tcPr>
          <w:p>
            <w:pPr>
              <w:ind w:left="4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6"/>
        </w:trPr>
        <w:tc>
          <w:tcPr>
            <w:tcW w:w="2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Net Sales</w:t>
            </w: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gridSpan w:val="2"/>
          </w:tcPr>
          <w:p>
            <w:pPr>
              <w:ind w:left="320"/>
              <w:spacing w:after="0"/>
              <w:rPr>
                <w:sz w:val="20"/>
                <w:szCs w:val="20"/>
                <w:color w:val="auto"/>
              </w:rPr>
            </w:pPr>
            <w:r>
              <w:rPr>
                <w:rFonts w:ascii="Arial" w:cs="Arial" w:eastAsia="Arial" w:hAnsi="Arial"/>
                <w:sz w:val="18"/>
                <w:szCs w:val="18"/>
                <w:color w:val="auto"/>
              </w:rPr>
              <w:t>Med Tech</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18,886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13,849</w:t>
            </w:r>
          </w:p>
        </w:tc>
        <w:tc>
          <w:tcPr>
            <w:tcW w:w="1620" w:type="dxa"/>
            <w:vAlign w:val="bottom"/>
            <w:gridSpan w:val="4"/>
          </w:tcPr>
          <w:p>
            <w:pPr>
              <w:jc w:val="right"/>
              <w:ind w:right="430"/>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36,504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24,335</w:t>
            </w:r>
          </w:p>
        </w:tc>
        <w:tc>
          <w:tcPr>
            <w:tcW w:w="1500" w:type="dxa"/>
            <w:vAlign w:val="bottom"/>
            <w:gridSpan w:val="3"/>
          </w:tcPr>
          <w:p>
            <w:pPr>
              <w:jc w:val="center"/>
              <w:ind w:left="32"/>
              <w:spacing w:after="0"/>
              <w:rPr>
                <w:sz w:val="20"/>
                <w:szCs w:val="20"/>
                <w:color w:val="auto"/>
              </w:rPr>
            </w:pPr>
            <w:r>
              <w:rPr>
                <w:rFonts w:ascii="Arial" w:cs="Arial" w:eastAsia="Arial" w:hAnsi="Arial"/>
                <w:sz w:val="18"/>
                <w:szCs w:val="18"/>
                <w:color w:val="auto"/>
                <w:w w:val="90"/>
              </w:rPr>
              <w:t>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Med Device</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58,921</w:t>
            </w:r>
          </w:p>
        </w:tc>
        <w:tc>
          <w:tcPr>
            <w:tcW w:w="162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118,651</w:t>
            </w:r>
          </w:p>
        </w:tc>
        <w:tc>
          <w:tcPr>
            <w:tcW w:w="150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2"/>
              </w:rPr>
              <w:t>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00" w:type="dxa"/>
            <w:vAlign w:val="bottom"/>
            <w:gridSpan w:val="2"/>
          </w:tcPr>
          <w:p>
            <w:pPr>
              <w:ind w:left="640"/>
              <w:spacing w:after="0" w:line="203"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72,770</w:t>
            </w:r>
          </w:p>
        </w:tc>
        <w:tc>
          <w:tcPr>
            <w:tcW w:w="1620" w:type="dxa"/>
            <w:vAlign w:val="bottom"/>
            <w:gridSpan w:val="4"/>
          </w:tcPr>
          <w:p>
            <w:pPr>
              <w:ind w:left="70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155,251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142,986</w:t>
            </w:r>
          </w:p>
        </w:tc>
        <w:tc>
          <w:tcPr>
            <w:tcW w:w="1500" w:type="dxa"/>
            <w:vAlign w:val="bottom"/>
            <w:gridSpan w:val="3"/>
          </w:tcPr>
          <w:p>
            <w:pPr>
              <w:jc w:val="center"/>
              <w:ind w:left="32"/>
              <w:spacing w:after="0"/>
              <w:rPr>
                <w:sz w:val="20"/>
                <w:szCs w:val="20"/>
                <w:color w:val="auto"/>
              </w:rPr>
            </w:pPr>
            <w:r>
              <w:rPr>
                <w:rFonts w:ascii="Arial" w:cs="Arial" w:eastAsia="Arial" w:hAnsi="Arial"/>
                <w:sz w:val="18"/>
                <w:szCs w:val="18"/>
                <w:color w:val="auto"/>
                <w:w w:val="92"/>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Three Months Ended</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1"/>
              </w:rPr>
              <w:t>Six Months Ended</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ind w:left="140"/>
              <w:spacing w:after="0"/>
              <w:rPr>
                <w:sz w:val="20"/>
                <w:szCs w:val="20"/>
                <w:color w:val="auto"/>
              </w:rPr>
            </w:pPr>
            <w:r>
              <w:rPr>
                <w:rFonts w:ascii="Arial" w:cs="Arial" w:eastAsia="Arial" w:hAnsi="Arial"/>
                <w:sz w:val="14"/>
                <w:szCs w:val="14"/>
                <w:color w:val="auto"/>
              </w:rPr>
              <w:t>Nov 30, 2021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Nov 30, 2020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ind w:left="420"/>
              <w:spacing w:after="0"/>
              <w:rPr>
                <w:sz w:val="20"/>
                <w:szCs w:val="20"/>
                <w:color w:val="auto"/>
              </w:rPr>
            </w:pPr>
            <w:r>
              <w:rPr>
                <w:rFonts w:ascii="Arial" w:cs="Arial" w:eastAsia="Arial" w:hAnsi="Arial"/>
                <w:sz w:val="14"/>
                <w:szCs w:val="14"/>
                <w:color w:val="auto"/>
              </w:rPr>
              <w:t>% Change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Nov 30, 2021</w:t>
            </w:r>
          </w:p>
        </w:tc>
        <w:tc>
          <w:tcPr>
            <w:tcW w:w="140" w:type="dxa"/>
            <w:vAlign w:val="bottom"/>
          </w:tcPr>
          <w:p>
            <w:pPr>
              <w:spacing w:after="0"/>
              <w:rPr>
                <w:sz w:val="15"/>
                <w:szCs w:val="15"/>
                <w:color w:val="auto"/>
              </w:rPr>
            </w:pPr>
          </w:p>
        </w:tc>
        <w:tc>
          <w:tcPr>
            <w:tcW w:w="1280" w:type="dxa"/>
            <w:vAlign w:val="bottom"/>
          </w:tcPr>
          <w:p>
            <w:pPr>
              <w:jc w:val="center"/>
              <w:ind w:right="77"/>
              <w:spacing w:after="0"/>
              <w:rPr>
                <w:sz w:val="20"/>
                <w:szCs w:val="20"/>
                <w:color w:val="auto"/>
              </w:rPr>
            </w:pPr>
            <w:r>
              <w:rPr>
                <w:rFonts w:ascii="Arial" w:cs="Arial" w:eastAsia="Arial" w:hAnsi="Arial"/>
                <w:sz w:val="14"/>
                <w:szCs w:val="14"/>
                <w:color w:val="auto"/>
                <w:w w:val="91"/>
              </w:rPr>
              <w:t>Nov 30, 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400"/>
              <w:spacing w:after="0"/>
              <w:rPr>
                <w:sz w:val="20"/>
                <w:szCs w:val="20"/>
                <w:color w:val="auto"/>
              </w:rPr>
            </w:pPr>
            <w:r>
              <w:rPr>
                <w:rFonts w:ascii="Arial" w:cs="Arial" w:eastAsia="Arial" w:hAnsi="Arial"/>
                <w:sz w:val="14"/>
                <w:szCs w:val="14"/>
                <w:color w:val="auto"/>
              </w:rPr>
              <w:t>% 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10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6"/>
                <w:szCs w:val="16"/>
                <w:color w:val="auto"/>
                <w:w w:val="97"/>
              </w:rPr>
              <w:t>Net Sales by Global Business</w:t>
            </w: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00" w:type="dxa"/>
            <w:vAlign w:val="bottom"/>
            <w:gridSpan w:val="2"/>
          </w:tcPr>
          <w:p>
            <w:pPr>
              <w:ind w:left="320"/>
              <w:spacing w:after="0" w:line="172" w:lineRule="exact"/>
              <w:rPr>
                <w:sz w:val="20"/>
                <w:szCs w:val="20"/>
                <w:color w:val="auto"/>
              </w:rPr>
            </w:pPr>
            <w:r>
              <w:rPr>
                <w:rFonts w:ascii="Arial" w:cs="Arial" w:eastAsia="Arial" w:hAnsi="Arial"/>
                <w:sz w:val="18"/>
                <w:szCs w:val="18"/>
                <w:color w:val="auto"/>
              </w:rPr>
              <w:t>Endovascular</w:t>
            </w: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39,660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33,900</w:t>
            </w:r>
          </w:p>
        </w:tc>
        <w:tc>
          <w:tcPr>
            <w:tcW w:w="1620" w:type="dxa"/>
            <w:vAlign w:val="bottom"/>
            <w:gridSpan w:val="4"/>
            <w:vMerge w:val="restart"/>
          </w:tcPr>
          <w:p>
            <w:pPr>
              <w:ind w:left="700"/>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restart"/>
          </w:tcPr>
          <w:p>
            <w:pPr>
              <w:jc w:val="right"/>
              <w:ind w:right="12"/>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77,718</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63,757</w:t>
            </w:r>
          </w:p>
        </w:tc>
        <w:tc>
          <w:tcPr>
            <w:tcW w:w="1500" w:type="dxa"/>
            <w:vAlign w:val="bottom"/>
            <w:gridSpan w:val="3"/>
            <w:vMerge w:val="restart"/>
          </w:tcPr>
          <w:p>
            <w:pPr>
              <w:jc w:val="center"/>
              <w:ind w:left="12"/>
              <w:spacing w:after="0"/>
              <w:rPr>
                <w:sz w:val="20"/>
                <w:szCs w:val="20"/>
                <w:color w:val="auto"/>
              </w:rPr>
            </w:pPr>
            <w:r>
              <w:rPr>
                <w:rFonts w:ascii="Arial" w:cs="Arial" w:eastAsia="Arial" w:hAnsi="Arial"/>
                <w:sz w:val="18"/>
                <w:szCs w:val="18"/>
                <w:color w:val="auto"/>
                <w:w w:val="86"/>
              </w:rPr>
              <w:t>21.9%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gridSpan w:val="2"/>
          </w:tcPr>
          <w:p>
            <w:pPr>
              <w:ind w:left="320"/>
              <w:spacing w:after="0"/>
              <w:rPr>
                <w:sz w:val="20"/>
                <w:szCs w:val="20"/>
                <w:color w:val="auto"/>
              </w:rPr>
            </w:pPr>
            <w:r>
              <w:rPr>
                <w:rFonts w:ascii="Arial" w:cs="Arial" w:eastAsia="Arial" w:hAnsi="Arial"/>
                <w:sz w:val="18"/>
                <w:szCs w:val="18"/>
                <w:color w:val="auto"/>
              </w:rPr>
              <w:t>Therapies</w:t>
            </w:r>
          </w:p>
        </w:tc>
        <w:tc>
          <w:tcPr>
            <w:tcW w:w="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2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5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Vascular Access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23,930</w:t>
            </w:r>
          </w:p>
        </w:tc>
        <w:tc>
          <w:tcPr>
            <w:tcW w:w="1620" w:type="dxa"/>
            <w:vAlign w:val="bottom"/>
            <w:gridSpan w:val="4"/>
            <w:shd w:val="clear" w:color="auto" w:fill="CCEEFF"/>
          </w:tcPr>
          <w:p>
            <w:pPr>
              <w:jc w:val="right"/>
              <w:ind w:right="430"/>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52,035</w:t>
            </w:r>
          </w:p>
        </w:tc>
        <w:tc>
          <w:tcPr>
            <w:tcW w:w="150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0"/>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Oncology</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14,940</w:t>
            </w: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CCEEFF"/>
            </w:tcBorders>
            <w:gridSpan w:val="3"/>
          </w:tcPr>
          <w:p>
            <w:pPr>
              <w:jc w:val="right"/>
              <w:ind w:right="370"/>
              <w:spacing w:after="0"/>
              <w:rPr>
                <w:sz w:val="20"/>
                <w:szCs w:val="20"/>
                <w:color w:val="auto"/>
              </w:rPr>
            </w:pPr>
            <w:r>
              <w:rPr>
                <w:rFonts w:ascii="Arial" w:cs="Arial" w:eastAsia="Arial" w:hAnsi="Arial"/>
                <w:sz w:val="18"/>
                <w:szCs w:val="18"/>
                <w:color w:val="auto"/>
              </w:rPr>
              <w:t>(9.3)%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27,194</w:t>
            </w:r>
          </w:p>
        </w:tc>
        <w:tc>
          <w:tcPr>
            <w:tcW w:w="1500" w:type="dxa"/>
            <w:vAlign w:val="bottom"/>
            <w:tcBorders>
              <w:bottom w:val="single" w:sz="8" w:color="CCEEFF"/>
            </w:tcBorders>
            <w:gridSpan w:val="3"/>
          </w:tcPr>
          <w:p>
            <w:pPr>
              <w:jc w:val="center"/>
              <w:ind w:left="12"/>
              <w:spacing w:after="0"/>
              <w:rPr>
                <w:sz w:val="20"/>
                <w:szCs w:val="20"/>
                <w:color w:val="auto"/>
              </w:rPr>
            </w:pPr>
            <w:r>
              <w:rPr>
                <w:rFonts w:ascii="Arial" w:cs="Arial" w:eastAsia="Arial" w:hAnsi="Arial"/>
                <w:sz w:val="18"/>
                <w:szCs w:val="18"/>
                <w:color w:val="auto"/>
                <w:w w:val="87"/>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72,770</w:t>
            </w:r>
          </w:p>
        </w:tc>
        <w:tc>
          <w:tcPr>
            <w:tcW w:w="1620" w:type="dxa"/>
            <w:vAlign w:val="bottom"/>
            <w:gridSpan w:val="4"/>
            <w:shd w:val="clear" w:color="auto" w:fill="CCEEFF"/>
          </w:tcPr>
          <w:p>
            <w:pPr>
              <w:jc w:val="right"/>
              <w:ind w:right="430"/>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155,251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142,986</w:t>
            </w:r>
          </w:p>
        </w:tc>
        <w:tc>
          <w:tcPr>
            <w:tcW w:w="150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7"/>
              </w:rPr>
              <w:t>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 by Geography</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gridSpan w:val="2"/>
          </w:tcPr>
          <w:p>
            <w:pPr>
              <w:ind w:left="320"/>
              <w:spacing w:after="0"/>
              <w:rPr>
                <w:sz w:val="20"/>
                <w:szCs w:val="20"/>
                <w:color w:val="auto"/>
              </w:rPr>
            </w:pPr>
            <w:r>
              <w:rPr>
                <w:rFonts w:ascii="Arial" w:cs="Arial" w:eastAsia="Arial" w:hAnsi="Arial"/>
                <w:sz w:val="18"/>
                <w:szCs w:val="18"/>
                <w:color w:val="auto"/>
              </w:rPr>
              <w:t>United States</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65,350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60,684</w:t>
            </w:r>
          </w:p>
        </w:tc>
        <w:tc>
          <w:tcPr>
            <w:tcW w:w="1620" w:type="dxa"/>
            <w:vAlign w:val="bottom"/>
            <w:gridSpan w:val="4"/>
          </w:tcPr>
          <w:p>
            <w:pPr>
              <w:jc w:val="right"/>
              <w:ind w:right="43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129,814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114,792</w:t>
            </w:r>
          </w:p>
        </w:tc>
        <w:tc>
          <w:tcPr>
            <w:tcW w:w="1500" w:type="dxa"/>
            <w:vAlign w:val="bottom"/>
            <w:gridSpan w:val="3"/>
          </w:tcPr>
          <w:p>
            <w:pPr>
              <w:jc w:val="center"/>
              <w:ind w:left="12"/>
              <w:spacing w:after="0"/>
              <w:rPr>
                <w:sz w:val="20"/>
                <w:szCs w:val="20"/>
                <w:color w:val="auto"/>
              </w:rPr>
            </w:pPr>
            <w:r>
              <w:rPr>
                <w:rFonts w:ascii="Arial" w:cs="Arial" w:eastAsia="Arial" w:hAnsi="Arial"/>
                <w:sz w:val="18"/>
                <w:szCs w:val="18"/>
                <w:color w:val="auto"/>
                <w:w w:val="86"/>
              </w:rPr>
              <w:t>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International</w:t>
            </w: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12,086</w:t>
            </w:r>
          </w:p>
        </w:tc>
        <w:tc>
          <w:tcPr>
            <w:tcW w:w="80" w:type="dxa"/>
            <w:vAlign w:val="bottom"/>
            <w:tcBorders>
              <w:bottom w:val="single" w:sz="8" w:color="auto"/>
            </w:tcBorders>
            <w:shd w:val="clear" w:color="auto" w:fill="CCEEFF"/>
          </w:tcPr>
          <w:p>
            <w:pPr>
              <w:spacing w:after="0"/>
              <w:rPr>
                <w:sz w:val="19"/>
                <w:szCs w:val="19"/>
                <w:color w:val="auto"/>
              </w:rPr>
            </w:pPr>
          </w:p>
        </w:tc>
        <w:tc>
          <w:tcPr>
            <w:tcW w:w="1540" w:type="dxa"/>
            <w:vAlign w:val="bottom"/>
            <w:gridSpan w:val="3"/>
            <w:shd w:val="clear" w:color="auto" w:fill="CCEEFF"/>
          </w:tcPr>
          <w:p>
            <w:pPr>
              <w:jc w:val="right"/>
              <w:ind w:right="430"/>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28,194</w:t>
            </w:r>
          </w:p>
        </w:tc>
        <w:tc>
          <w:tcPr>
            <w:tcW w:w="150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0"/>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0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78,280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72,770</w:t>
            </w:r>
          </w:p>
        </w:tc>
        <w:tc>
          <w:tcPr>
            <w:tcW w:w="1620" w:type="dxa"/>
            <w:vAlign w:val="bottom"/>
            <w:gridSpan w:val="4"/>
          </w:tcPr>
          <w:p>
            <w:pPr>
              <w:jc w:val="right"/>
              <w:ind w:right="43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155,251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142,986</w:t>
            </w:r>
          </w:p>
        </w:tc>
        <w:tc>
          <w:tcPr>
            <w:tcW w:w="150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200" w:firstLine="395"/>
        <w:spacing w:after="0" w:line="252" w:lineRule="auto"/>
        <w:rPr>
          <w:sz w:val="20"/>
          <w:szCs w:val="20"/>
          <w:color w:val="auto"/>
        </w:rPr>
      </w:pPr>
      <w:r>
        <w:rPr>
          <w:rFonts w:ascii="Arial" w:cs="Arial" w:eastAsia="Arial" w:hAnsi="Arial"/>
          <w:sz w:val="18"/>
          <w:szCs w:val="18"/>
          <w:color w:val="auto"/>
        </w:rPr>
        <w:t>For the three months ended November 30, 2021, net sales increased $5.5 million to $78.3 million compared to the same period in the prior year. For the six months ended November 30, 2021, net sales increased $12.3 million to $155.3 million compared to the same period in the prior year. At November 30, 2021, the Company had a backlog of $4.0 million.</w:t>
      </w:r>
    </w:p>
    <w:p>
      <w:pPr>
        <w:spacing w:after="0" w:line="138" w:lineRule="exact"/>
        <w:rPr>
          <w:sz w:val="20"/>
          <w:szCs w:val="20"/>
          <w:color w:val="auto"/>
        </w:rPr>
      </w:pPr>
    </w:p>
    <w:p>
      <w:pPr>
        <w:ind w:right="160" w:firstLine="395"/>
        <w:spacing w:after="0" w:line="261" w:lineRule="auto"/>
        <w:rPr>
          <w:sz w:val="20"/>
          <w:szCs w:val="20"/>
          <w:color w:val="auto"/>
        </w:rPr>
      </w:pPr>
      <w:r>
        <w:rPr>
          <w:rFonts w:ascii="Arial" w:cs="Arial" w:eastAsia="Arial" w:hAnsi="Arial"/>
          <w:sz w:val="18"/>
          <w:szCs w:val="18"/>
          <w:color w:val="auto"/>
        </w:rPr>
        <w:t>The Med Tech business net sales increased $5.0 million and $12.2 million for the three and six months ended November 30, 2021 compared to the same periods in the prior year, respectively. The change in sales for both periods was primarily driven by:</w:t>
      </w:r>
    </w:p>
    <w:p>
      <w:pPr>
        <w:spacing w:after="0" w:line="129" w:lineRule="exact"/>
        <w:rPr>
          <w:sz w:val="20"/>
          <w:szCs w:val="20"/>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Auryon sales of $4.2 million and $9.0 million compared to the same periods in the prior year, respectively;</w:t>
      </w:r>
    </w:p>
    <w:p>
      <w:pPr>
        <w:spacing w:after="0" w:line="15" w:lineRule="exact"/>
        <w:rPr>
          <w:rFonts w:ascii="Arial" w:cs="Arial" w:eastAsia="Arial" w:hAnsi="Arial"/>
          <w:sz w:val="18"/>
          <w:szCs w:val="18"/>
          <w:color w:val="auto"/>
        </w:rPr>
      </w:pPr>
    </w:p>
    <w:p>
      <w:pPr>
        <w:jc w:val="both"/>
        <w:ind w:left="640" w:right="220" w:hanging="319"/>
        <w:spacing w:after="0" w:line="244"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Growth in the thrombectomy platform driven by the AngioVac business of $1.2 million and $1.9 million, compared to the same periods in the prior year, respectively, as the Company saw increased case volumes in AngioVac despite continued COVID-19 challenges along with the limited market launch of the AlphaVac product during the second quarter of fiscal year 2022; and</w:t>
      </w:r>
    </w:p>
    <w:p>
      <w:pPr>
        <w:ind w:left="640" w:right="180" w:hanging="319"/>
        <w:spacing w:after="0" w:line="245"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NanoKnife sales of $0.7 million for the three months ended November 30, 2021 compared to the same period in the prior year and increased NanoKnife sales of $1.0 million for the six months ended November 30, 2021 compared to the same period in the prior year. The decrease for the three months ended November 30, 2021 was driven by decreased capital sales offset by a $0.2 million increase in disposable sales, mainly in Europe. For the six months ended November 30, 2021, NanoKnife disposable sales increased $1.0 million, driven by sales in the U.S. and Europe, with consistent capital sales.</w:t>
      </w:r>
    </w:p>
    <w:p>
      <w:pPr>
        <w:spacing w:after="0" w:line="142" w:lineRule="exact"/>
        <w:rPr>
          <w:sz w:val="20"/>
          <w:szCs w:val="20"/>
          <w:color w:val="auto"/>
        </w:rPr>
      </w:pPr>
    </w:p>
    <w:p>
      <w:pPr>
        <w:ind w:right="80" w:firstLine="395"/>
        <w:spacing w:after="0" w:line="252" w:lineRule="auto"/>
        <w:rPr>
          <w:sz w:val="20"/>
          <w:szCs w:val="20"/>
          <w:color w:val="auto"/>
        </w:rPr>
      </w:pPr>
      <w:r>
        <w:rPr>
          <w:rFonts w:ascii="Arial" w:cs="Arial" w:eastAsia="Arial" w:hAnsi="Arial"/>
          <w:sz w:val="18"/>
          <w:szCs w:val="18"/>
          <w:color w:val="auto"/>
        </w:rPr>
        <w:t>The Med Device business net sales increased $0.5 million and $0.1 million for the three and six months ended November 30, 2021 compared to the same periods in the prior year, respectively. Excluding the large UK order in the first quarter of the prior year, net sales increased $5.3 million for the six months ended November 30, 2021. The change in sales for both periods was primarily driven by:</w:t>
      </w:r>
    </w:p>
    <w:p>
      <w:pPr>
        <w:spacing w:after="0" w:line="138" w:lineRule="exact"/>
        <w:rPr>
          <w:sz w:val="20"/>
          <w:szCs w:val="20"/>
          <w:color w:val="auto"/>
        </w:rPr>
      </w:pPr>
    </w:p>
    <w:p>
      <w:pPr>
        <w:ind w:left="640" w:right="20" w:hanging="319"/>
        <w:spacing w:after="0" w:line="247"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case volume for the three months ended November 30, 2021 compared to the same period in the prior year which resulted in increased sales of Core and BioSentry products of $0.7 million and $0.1 million, respectively. PICCs and Port sales also increased $0.9 million and $0.6 million, respectively with the increase in PICCs driven by sales in the U.S. and Latin America and the increase in Ports driven solely by sales in the U.S. These increases for the three months ended November 30, 2021 compared to the same period in the prior year were partially offset by decreased Venous, Midline, Radio Frequency Ablation, Microwave and Balloon sales of $0.7 million, $0.2 million, $0.5 million, $0.2 million and $0.1 million,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left="640" w:right="180" w:hanging="319"/>
        <w:spacing w:after="0" w:line="246"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case volume for the six months ended November 30, 2021 compared to the same period in the prior year, which resulted in increased sales of Core and BioSentry products of $2.9 million and $0.4 million, respectively. Port sales also increased $1.9 million, driven primarily by sales in the U.S. These increases for the six months ended November 30, 2021 compared to the same period in the prior year were partially offset by decreased Venous, Midline, PICCs, Dialysis, Radio Frequency Ablation and Microwave sales of $0.1 million, $2.0 million, $1.6 million, $0.4 million, $0.4 million and $0.6 million, respectively;</w:t>
      </w:r>
    </w:p>
    <w:p>
      <w:pPr>
        <w:spacing w:after="0" w:line="3" w:lineRule="exact"/>
        <w:rPr>
          <w:rFonts w:ascii="Arial" w:cs="Arial" w:eastAsia="Arial" w:hAnsi="Arial"/>
          <w:sz w:val="18"/>
          <w:szCs w:val="18"/>
          <w:color w:val="auto"/>
        </w:rPr>
      </w:pPr>
    </w:p>
    <w:p>
      <w:pPr>
        <w:ind w:left="640" w:right="40" w:hanging="319"/>
        <w:spacing w:after="0" w:line="244"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Midlines, PICCs and Ports increased $3.5 million, excluding the prior year order in the UK, for the six months ended November 30, 2021 compared to the prior year period; and</w:t>
      </w: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backlog of $4.0 million at November 30, 2021, which was primarily related to Med Device products.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0"/>
              </w:rPr>
              <w:t>Three Months Ended</w:t>
            </w:r>
          </w:p>
        </w:tc>
        <w:tc>
          <w:tcPr>
            <w:tcW w:w="1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91"/>
              </w:rPr>
              <w:t>Six Months Ended</w:t>
            </w:r>
          </w:p>
        </w:tc>
        <w:tc>
          <w:tcPr>
            <w:tcW w:w="1440" w:type="dxa"/>
            <w:vAlign w:val="bottom"/>
            <w:tcBorders>
              <w:bottom w:val="single" w:sz="8" w:color="auto"/>
            </w:tcBorders>
          </w:tcPr>
          <w:p>
            <w:pPr>
              <w:spacing w:after="0"/>
              <w:rPr>
                <w:sz w:val="15"/>
                <w:szCs w:val="15"/>
                <w:color w:val="auto"/>
              </w:rPr>
            </w:pPr>
          </w:p>
        </w:tc>
      </w:tr>
      <w:tr>
        <w:trPr>
          <w:trHeight w:val="182"/>
        </w:trPr>
        <w:tc>
          <w:tcPr>
            <w:tcW w:w="20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Nov 30, 2021</w:t>
            </w:r>
          </w:p>
        </w:tc>
        <w:tc>
          <w:tcPr>
            <w:tcW w:w="12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Nov 30, 2020</w:t>
            </w:r>
          </w:p>
        </w:tc>
        <w:tc>
          <w:tcPr>
            <w:tcW w:w="1420" w:type="dxa"/>
            <w:vAlign w:val="bottom"/>
          </w:tcPr>
          <w:p>
            <w:pPr>
              <w:jc w:val="right"/>
              <w:ind w:right="336"/>
              <w:spacing w:after="0"/>
              <w:rPr>
                <w:sz w:val="20"/>
                <w:szCs w:val="20"/>
                <w:color w:val="auto"/>
              </w:rPr>
            </w:pPr>
            <w:r>
              <w:rPr>
                <w:rFonts w:ascii="Arial" w:cs="Arial" w:eastAsia="Arial" w:hAnsi="Arial"/>
                <w:sz w:val="14"/>
                <w:szCs w:val="14"/>
                <w:color w:val="auto"/>
              </w:rPr>
              <w:t>% Change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Nov 30, 2021</w:t>
            </w:r>
          </w:p>
        </w:tc>
        <w:tc>
          <w:tcPr>
            <w:tcW w:w="16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Nov 30, 2020</w:t>
            </w:r>
          </w:p>
        </w:tc>
        <w:tc>
          <w:tcPr>
            <w:tcW w:w="1440" w:type="dxa"/>
            <w:vAlign w:val="bottom"/>
          </w:tcPr>
          <w:p>
            <w:pPr>
              <w:jc w:val="right"/>
              <w:ind w:right="356"/>
              <w:spacing w:after="0"/>
              <w:rPr>
                <w:sz w:val="20"/>
                <w:szCs w:val="20"/>
                <w:color w:val="auto"/>
              </w:rPr>
            </w:pPr>
            <w:r>
              <w:rPr>
                <w:rFonts w:ascii="Arial" w:cs="Arial" w:eastAsia="Arial" w:hAnsi="Arial"/>
                <w:sz w:val="14"/>
                <w:szCs w:val="14"/>
                <w:color w:val="auto"/>
              </w:rPr>
              <w:t>% Change</w:t>
            </w:r>
          </w:p>
        </w:tc>
      </w:tr>
      <w:tr>
        <w:trPr>
          <w:trHeight w:val="219"/>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40,555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40,174</w:t>
            </w:r>
          </w:p>
        </w:tc>
        <w:tc>
          <w:tcPr>
            <w:tcW w:w="1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80,694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75,938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Gross profit % of sales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55.2 %</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53.1 %</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4"/>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Research and development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8,199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9,712</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15,593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18,721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13.3 %</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4"/>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23,606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20,174</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48,052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37,879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26.9 %</w:t>
            </w: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27.7 %</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26.5 %</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4"/>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General and administrative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9,678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9,219</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18,621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17,776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12.7 %</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238"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3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Gross profit increased by $0.4 million for the three months ended November 30, 2021 compared to the same period in the prior year. The change is primarily attributable to the following:</w:t>
      </w:r>
    </w:p>
    <w:p>
      <w:pPr>
        <w:spacing w:after="0" w:line="129" w:lineRule="exact"/>
        <w:rPr>
          <w:sz w:val="20"/>
          <w:szCs w:val="20"/>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volume positively impacted gross profit by $3.3 million;</w:t>
      </w:r>
    </w:p>
    <w:p>
      <w:pPr>
        <w:spacing w:after="0" w:line="15" w:lineRule="exact"/>
        <w:rPr>
          <w:rFonts w:ascii="Arial" w:cs="Arial" w:eastAsia="Arial" w:hAnsi="Arial"/>
          <w:sz w:val="18"/>
          <w:szCs w:val="18"/>
          <w:color w:val="auto"/>
        </w:rPr>
      </w:pPr>
    </w:p>
    <w:p>
      <w:pPr>
        <w:ind w:left="640" w:right="540" w:hanging="319"/>
        <w:spacing w:after="0" w:line="267" w:lineRule="auto"/>
        <w:tabs>
          <w:tab w:leader="none" w:pos="6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Price and mix negatively impacted gross profit by $0.4 million as a result of increased sales of Vascular Access products and decreased sales of NanoKnife capital. This negative impact was partially offset by increased sales of Auryon and AngioVac products;</w:t>
      </w:r>
    </w:p>
    <w:p>
      <w:pPr>
        <w:ind w:left="640" w:hanging="319"/>
        <w:spacing w:after="0" w:line="213"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 shortages, inflationary costs on raw materials and production volume negatively impacted gross profit by $1.7 million; and</w:t>
      </w:r>
    </w:p>
    <w:p>
      <w:pPr>
        <w:ind w:left="640" w:right="40" w:hanging="319"/>
        <w:spacing w:after="0" w:line="227" w:lineRule="auto"/>
        <w:tabs>
          <w:tab w:leader="none" w:pos="6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Start-up costs related to Auryon and AlphaVac of $0.8 million, including depreciation on Auryon placement units of $0.4 million, negatively impacted gross profit.</w:t>
      </w:r>
    </w:p>
    <w:p>
      <w:pPr>
        <w:spacing w:after="0" w:line="121"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Gross profit increased by $4.8 million for the six months ended November 30, 2021 compared to the same period in the prior year. The change is primarily attributable to the following:</w:t>
      </w:r>
    </w:p>
    <w:p>
      <w:pPr>
        <w:spacing w:after="0" w:line="134" w:lineRule="exact"/>
        <w:rPr>
          <w:sz w:val="20"/>
          <w:szCs w:val="20"/>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volume positively impacted gross profit by $6.9 million;</w:t>
      </w:r>
    </w:p>
    <w:p>
      <w:pPr>
        <w:spacing w:after="0" w:line="15" w:lineRule="exact"/>
        <w:rPr>
          <w:rFonts w:ascii="Arial" w:cs="Arial" w:eastAsia="Arial" w:hAnsi="Arial"/>
          <w:sz w:val="18"/>
          <w:szCs w:val="18"/>
          <w:color w:val="auto"/>
        </w:rPr>
      </w:pPr>
    </w:p>
    <w:p>
      <w:pPr>
        <w:ind w:left="640" w:right="240" w:hanging="319"/>
        <w:spacing w:after="0" w:line="237" w:lineRule="auto"/>
        <w:tabs>
          <w:tab w:leader="none" w:pos="6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and mix positively impacted gross profit by $1.3 million as a result of increased sales of Auryon and AngioVac products. This positive impact was partially offset by increased sales of Vascular Access products;</w:t>
      </w:r>
    </w:p>
    <w:p>
      <w:pPr>
        <w:spacing w:after="0" w:line="1" w:lineRule="exact"/>
        <w:rPr>
          <w:rFonts w:ascii="Arial" w:cs="Arial" w:eastAsia="Arial" w:hAnsi="Arial"/>
          <w:sz w:val="18"/>
          <w:szCs w:val="18"/>
          <w:color w:val="auto"/>
        </w:rPr>
      </w:pPr>
    </w:p>
    <w:p>
      <w:pPr>
        <w:ind w:left="640" w:right="40" w:hanging="319"/>
        <w:spacing w:after="0" w:line="213" w:lineRule="auto"/>
        <w:tabs>
          <w:tab w:leader="none" w:pos="6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Start-up costs related to Auryon and AlphaVac of $1.7 million, including depreciation on Auryon placement units of $0.6 million, negatively impacted gross profit; and</w:t>
      </w:r>
    </w:p>
    <w:p>
      <w:pPr>
        <w:spacing w:after="0" w:line="1"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 shortages, freight and inflationary costs on raw materials, negatively impacted gross profit by $1.7 million year over year.</w:t>
      </w:r>
    </w:p>
    <w:p>
      <w:pPr>
        <w:spacing w:after="0" w:line="13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u w:val="single" w:color="auto"/>
          <w:color w:val="auto"/>
        </w:rPr>
        <w:t>Research and development expense</w:t>
      </w:r>
      <w:r>
        <w:rPr>
          <w:rFonts w:ascii="Arial" w:cs="Arial" w:eastAsia="Arial" w:hAnsi="Arial"/>
          <w:sz w:val="18"/>
          <w:szCs w:val="18"/>
          <w:color w:val="auto"/>
        </w:rPr>
        <w:t xml:space="preserve"> </w:t>
      </w:r>
      <w:r>
        <w:rPr>
          <w:rFonts w:ascii="Arial" w:cs="Arial" w:eastAsia="Arial" w:hAnsi="Arial"/>
          <w:sz w:val="18"/>
          <w:szCs w:val="18"/>
          <w:color w:val="auto"/>
          <w:highlight w:val="white"/>
        </w:rPr>
        <w:t>- Research and development (“R&amp;D”) expense includes internal and external costs to develop new products, enhance</w:t>
      </w:r>
      <w:r>
        <w:rPr>
          <w:rFonts w:ascii="Arial" w:cs="Arial" w:eastAsia="Arial" w:hAnsi="Arial"/>
          <w:sz w:val="18"/>
          <w:szCs w:val="18"/>
          <w:color w:val="auto"/>
        </w:rPr>
        <w:t xml:space="preserve"> existing products, validate new and enhanced products, and manage clinical, regulatory and medical affairs.</w:t>
      </w:r>
    </w:p>
    <w:p>
      <w:pPr>
        <w:spacing w:after="0" w:line="12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R&amp;D expense decreased $1.5 million and $3.1 million for the three and six months ended November 30, 2021 compared to the same period in the prior year, respectively. The change from each period is primarily attributable to:</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left="640" w:hanging="319"/>
        <w:spacing w:after="0" w:line="250"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certain projects, which reduced R&amp;D project expense by $0.7 million and $2.1 million for the three and six months ended November 30, 2021 compared to the same periods in the prior year, respectively; and</w:t>
      </w:r>
    </w:p>
    <w:p>
      <w:pPr>
        <w:spacing w:after="0" w:line="1" w:lineRule="exact"/>
        <w:rPr>
          <w:rFonts w:ascii="Arial" w:cs="Arial" w:eastAsia="Arial" w:hAnsi="Arial"/>
          <w:sz w:val="18"/>
          <w:szCs w:val="18"/>
          <w:color w:val="auto"/>
        </w:rPr>
      </w:pPr>
    </w:p>
    <w:p>
      <w:pPr>
        <w:ind w:left="640" w:right="360" w:hanging="319"/>
        <w:spacing w:after="0" w:line="248"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Open R&amp;D positions, which resulted in decreased compensation and benefits expense of $0.7 and $1.1 million for the three and six months ended November 30, 2021 compared to the same periods in the prior year, respectively.</w:t>
      </w:r>
    </w:p>
    <w:p>
      <w:pPr>
        <w:spacing w:after="0" w:line="21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u w:val="single" w:color="auto"/>
          <w:color w:val="auto"/>
        </w:rPr>
        <w:t>Sales and marketing expense</w:t>
      </w:r>
      <w:r>
        <w:rPr>
          <w:rFonts w:ascii="Arial" w:cs="Arial" w:eastAsia="Arial" w:hAnsi="Arial"/>
          <w:sz w:val="18"/>
          <w:szCs w:val="18"/>
          <w:color w:val="auto"/>
        </w:rPr>
        <w:t xml:space="preserve"> - Sales and marketing (“S&amp;M”) expense consists primarily of salaries, commissions, travel and related business expenses, attendance at medical society meetings, product promotions and marketing activities.</w:t>
      </w:r>
    </w:p>
    <w:p>
      <w:pPr>
        <w:spacing w:after="0" w:line="12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S&amp;M expense increased $3.4 million and $10.2 million for the three and six months ended November 30, 2021 compared to the same period in the prior year, respectively. The change from each period is primarily attributable to:</w:t>
      </w:r>
    </w:p>
    <w:p>
      <w:pPr>
        <w:spacing w:after="0" w:line="129" w:lineRule="exact"/>
        <w:rPr>
          <w:sz w:val="20"/>
          <w:szCs w:val="20"/>
          <w:color w:val="auto"/>
        </w:rPr>
      </w:pPr>
    </w:p>
    <w:p>
      <w:pPr>
        <w:ind w:left="640" w:right="400" w:hanging="319"/>
        <w:spacing w:after="0" w:line="301" w:lineRule="auto"/>
        <w:tabs>
          <w:tab w:leader="none" w:pos="636" w:val="left"/>
        </w:tabs>
        <w:numPr>
          <w:ilvl w:val="0"/>
          <w:numId w:val="18"/>
        </w:numPr>
        <w:rPr>
          <w:rFonts w:ascii="Arial" w:cs="Arial" w:eastAsia="Arial" w:hAnsi="Arial"/>
          <w:sz w:val="15"/>
          <w:szCs w:val="15"/>
          <w:color w:val="auto"/>
        </w:rPr>
      </w:pPr>
      <w:r>
        <w:rPr>
          <w:rFonts w:ascii="Arial" w:cs="Arial" w:eastAsia="Arial" w:hAnsi="Arial"/>
          <w:sz w:val="15"/>
          <w:szCs w:val="15"/>
          <w:color w:val="auto"/>
        </w:rPr>
        <w:t>Additional headcount from the build-out of the Auryon sales and marketing teams, which increased compensation and benefits expense by $2.5 million and $6.8 million for the three and six months ended November 30, 2021 compared to the same periods in the prior year, respectively; and</w:t>
      </w:r>
    </w:p>
    <w:p>
      <w:pPr>
        <w:ind w:left="640" w:right="160" w:hanging="319"/>
        <w:spacing w:after="0" w:line="248"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travel, meeting and tradeshow expenses of $1.0 million and $3.2 million for the three and six months ended November 30, 2021 compared to the same period in the prior year, respectively, as some COVID-19 restrictions were lifted.</w:t>
      </w:r>
    </w:p>
    <w:p>
      <w:pPr>
        <w:spacing w:after="0" w:line="13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u w:val="single" w:color="auto"/>
          <w:color w:val="auto"/>
        </w:rPr>
        <w:t>General and administrative expense</w:t>
      </w:r>
      <w:r>
        <w:rPr>
          <w:rFonts w:ascii="Arial" w:cs="Arial" w:eastAsia="Arial" w:hAnsi="Arial"/>
          <w:sz w:val="18"/>
          <w:szCs w:val="18"/>
          <w:color w:val="auto"/>
        </w:rPr>
        <w:t xml:space="preserve"> - General and administrative (“G&amp;A”) expense includes executive management, finance, information technology, human resources, business development, legal, and the administrative and professional costs associated with those activities.</w:t>
      </w:r>
    </w:p>
    <w:p>
      <w:pPr>
        <w:spacing w:after="0" w:line="12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G&amp;A expense increased $0.5 million and $0.8 million for the three and six months ended November 30, 2021 compared to the same period in the prior year, respectively. The change from each period is primarily attributable to:</w:t>
      </w:r>
    </w:p>
    <w:p>
      <w:pPr>
        <w:spacing w:after="0" w:line="129" w:lineRule="exact"/>
        <w:rPr>
          <w:sz w:val="20"/>
          <w:szCs w:val="20"/>
          <w:color w:val="auto"/>
        </w:rPr>
      </w:pPr>
    </w:p>
    <w:p>
      <w:pPr>
        <w:ind w:left="640" w:right="560" w:hanging="319"/>
        <w:spacing w:after="0" w:line="250"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headcount, which increased compensation and benefits expense by $0.5 million and $1.3 million for the three and six months ended November 30, 2021 compared to the same period in the prior year, respectively; and</w:t>
      </w:r>
    </w:p>
    <w:p>
      <w:pPr>
        <w:spacing w:after="0" w:line="1"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Legal expense decreased $1.4 million offset by other outside consultant spend of $0.8 million for the six months ended November 30, 2021 compared</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the same period in the prior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0"/>
              </w:rPr>
              <w:t>Three Months Ended</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1"/>
              </w:rPr>
              <w:t>Six Months Ended</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color w:val="auto"/>
              </w:rPr>
              <w:t>Nov 30, 2021</w:t>
            </w:r>
          </w:p>
        </w:tc>
        <w:tc>
          <w:tcPr>
            <w:tcW w:w="12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Nov 30, 2020</w:t>
            </w:r>
          </w:p>
        </w:tc>
        <w:tc>
          <w:tcPr>
            <w:tcW w:w="280" w:type="dxa"/>
            <w:vAlign w:val="bottom"/>
          </w:tcPr>
          <w:p>
            <w:pPr>
              <w:spacing w:after="0"/>
              <w:rPr>
                <w:sz w:val="15"/>
                <w:szCs w:val="15"/>
                <w:color w:val="auto"/>
              </w:rPr>
            </w:pPr>
          </w:p>
        </w:tc>
        <w:tc>
          <w:tcPr>
            <w:tcW w:w="1140" w:type="dxa"/>
            <w:vAlign w:val="bottom"/>
          </w:tcPr>
          <w:p>
            <w:pPr>
              <w:jc w:val="right"/>
              <w:ind w:right="356"/>
              <w:spacing w:after="0"/>
              <w:rPr>
                <w:sz w:val="20"/>
                <w:szCs w:val="20"/>
                <w:color w:val="auto"/>
              </w:rPr>
            </w:pPr>
            <w:r>
              <w:rPr>
                <w:rFonts w:ascii="Arial" w:cs="Arial" w:eastAsia="Arial" w:hAnsi="Arial"/>
                <w:sz w:val="14"/>
                <w:szCs w:val="14"/>
                <w:color w:val="auto"/>
              </w:rPr>
              <w:t>$ Change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Nov 30, 2021</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Nov 30, 2020</w:t>
            </w:r>
          </w:p>
        </w:tc>
        <w:tc>
          <w:tcPr>
            <w:tcW w:w="280" w:type="dxa"/>
            <w:vAlign w:val="bottom"/>
          </w:tcPr>
          <w:p>
            <w:pPr>
              <w:spacing w:after="0"/>
              <w:rPr>
                <w:sz w:val="15"/>
                <w:szCs w:val="15"/>
                <w:color w:val="auto"/>
              </w:rPr>
            </w:pPr>
          </w:p>
        </w:tc>
        <w:tc>
          <w:tcPr>
            <w:tcW w:w="1140" w:type="dxa"/>
            <w:vAlign w:val="bottom"/>
          </w:tcPr>
          <w:p>
            <w:pPr>
              <w:jc w:val="right"/>
              <w:ind w:right="356"/>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9"/>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72"/>
        </w:trPr>
        <w:tc>
          <w:tcPr>
            <w:tcW w:w="2180" w:type="dxa"/>
            <w:vAlign w:val="bottom"/>
          </w:tcPr>
          <w:p>
            <w:pPr>
              <w:ind w:left="20"/>
              <w:spacing w:after="0" w:line="172" w:lineRule="exact"/>
              <w:rPr>
                <w:sz w:val="20"/>
                <w:szCs w:val="20"/>
                <w:color w:val="auto"/>
              </w:rPr>
            </w:pPr>
            <w:r>
              <w:rPr>
                <w:rFonts w:ascii="Arial" w:cs="Arial" w:eastAsia="Arial" w:hAnsi="Arial"/>
                <w:sz w:val="18"/>
                <w:szCs w:val="18"/>
                <w:color w:val="auto"/>
              </w:rPr>
              <w:t>Change in fair value of</w:t>
            </w: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4"/>
                <w:szCs w:val="14"/>
                <w:color w:val="auto"/>
              </w:rPr>
            </w:pPr>
          </w:p>
        </w:tc>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4"/>
                <w:szCs w:val="14"/>
                <w:color w:val="auto"/>
              </w:rPr>
            </w:pPr>
          </w:p>
        </w:tc>
        <w:tc>
          <w:tcPr>
            <w:tcW w:w="22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4"/>
                <w:szCs w:val="14"/>
                <w:color w:val="auto"/>
              </w:rPr>
            </w:pPr>
          </w:p>
        </w:tc>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1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2"/>
              </w:rPr>
              <w:t>Acquisition, restructuring and</w:t>
            </w: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4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 net</w:t>
            </w:r>
          </w:p>
        </w:tc>
        <w:tc>
          <w:tcPr>
            <w:tcW w:w="2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Arial" w:cs="Arial" w:eastAsia="Arial" w:hAnsi="Arial"/>
                <w:sz w:val="18"/>
                <w:szCs w:val="18"/>
                <w:color w:val="auto"/>
                <w:w w:val="93"/>
              </w:rPr>
              <w:t>Other income (expense), net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161" w:lineRule="exact"/>
        <w:rPr>
          <w:sz w:val="20"/>
          <w:szCs w:val="20"/>
          <w:color w:val="auto"/>
        </w:rPr>
      </w:pPr>
    </w:p>
    <w:p>
      <w:pPr>
        <w:ind w:left="640" w:right="80" w:hanging="319"/>
        <w:spacing w:after="0" w:line="252" w:lineRule="auto"/>
        <w:tabs>
          <w:tab w:leader="none" w:pos="6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Amortization expense increased $0.3 million and $0.2 million, respectively, for the three and six months ended November 30, 2021 compared to the prior year periods. The increase is due to amortization relating to the Camaro intangible asset addition of $3.9 million in the first quarter of fiscal year 2022, partially offset by assets that became fully amortized in fiscal year 2021.</w:t>
      </w:r>
    </w:p>
    <w:p>
      <w:pPr>
        <w:spacing w:after="0" w:line="138"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u w:val="single" w:color="auto"/>
          <w:color w:val="auto"/>
        </w:rPr>
        <w:t>Change in fair value of contingent consideration</w:t>
      </w:r>
      <w:r>
        <w:rPr>
          <w:rFonts w:ascii="Arial" w:cs="Arial" w:eastAsia="Arial" w:hAnsi="Arial"/>
          <w:sz w:val="16"/>
          <w:szCs w:val="16"/>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82" w:lineRule="exact"/>
        <w:rPr>
          <w:sz w:val="20"/>
          <w:szCs w:val="20"/>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change in the fair value for the three and six months ended November 30, 2021 is related to the Eximo contingent consideration.</w:t>
      </w:r>
    </w:p>
    <w:p>
      <w:pPr>
        <w:spacing w:after="0" w:line="16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2050415</wp:posOffset>
            </wp:positionH>
            <wp:positionV relativeFrom="paragraph">
              <wp:posOffset>-277495</wp:posOffset>
            </wp:positionV>
            <wp:extent cx="5063490" cy="125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63490" cy="12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Acquisition, restructuring and other items, net, increased by $1.1 million and $2.2 million for the three and six months ended November 30, 2021, respectively, compared to the same period in the prior year. The change from each period is primarily attributable to:</w:t>
      </w:r>
    </w:p>
    <w:p>
      <w:pPr>
        <w:spacing w:after="0" w:line="129" w:lineRule="exact"/>
        <w:rPr>
          <w:sz w:val="20"/>
          <w:szCs w:val="20"/>
          <w:color w:val="auto"/>
        </w:rPr>
      </w:pPr>
    </w:p>
    <w:p>
      <w:pPr>
        <w:ind w:left="640" w:right="40" w:hanging="319"/>
        <w:spacing w:after="0" w:line="261" w:lineRule="auto"/>
        <w:tabs>
          <w:tab w:leader="none" w:pos="6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Legal expense, related to litigation that is outside of the normal course of business, which increased $0.9 million and $2.2 million, respectively, for the three and six months ended November 30, 2021 compared to the same period in the prior year,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income (expense), net</w:t>
      </w:r>
      <w:r>
        <w:rPr>
          <w:rFonts w:ascii="Arial" w:cs="Arial" w:eastAsia="Arial" w:hAnsi="Arial"/>
          <w:sz w:val="16"/>
          <w:szCs w:val="16"/>
          <w:color w:val="auto"/>
        </w:rPr>
        <w:t xml:space="preserve"> - Other expenses include interest expense, foreign currency impacts, bank fees, and amortization of deferred financing costs.</w:t>
      </w:r>
    </w:p>
    <w:p>
      <w:pPr>
        <w:spacing w:after="0" w:line="184" w:lineRule="exact"/>
        <w:rPr>
          <w:sz w:val="20"/>
          <w:szCs w:val="20"/>
          <w:color w:val="auto"/>
        </w:rPr>
      </w:pPr>
    </w:p>
    <w:p>
      <w:pPr>
        <w:ind w:left="640" w:right="160" w:hanging="319"/>
        <w:spacing w:after="0" w:line="324" w:lineRule="auto"/>
        <w:tabs>
          <w:tab w:leader="none" w:pos="6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change in other expense of $0.2 million and $0.7 million for the three and six months ended November 30, 2021 compared to the same period in the prior year, respectively, is primarily due to unrealized foreign currency fluctuations of $0.1 million and $0.8 million,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5"/>
          </w:tcPr>
          <w:p>
            <w:pPr>
              <w:ind w:left="72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5"/>
                <w:szCs w:val="15"/>
                <w:color w:val="auto"/>
              </w:rPr>
            </w:pPr>
          </w:p>
        </w:tc>
        <w:tc>
          <w:tcPr>
            <w:tcW w:w="2880" w:type="dxa"/>
            <w:vAlign w:val="bottom"/>
            <w:gridSpan w:val="4"/>
          </w:tcPr>
          <w:p>
            <w:pPr>
              <w:ind w:left="800"/>
              <w:spacing w:after="0"/>
              <w:rPr>
                <w:sz w:val="20"/>
                <w:szCs w:val="20"/>
                <w:color w:val="auto"/>
              </w:rPr>
            </w:pPr>
            <w:r>
              <w:rPr>
                <w:rFonts w:ascii="Arial" w:cs="Arial" w:eastAsia="Arial" w:hAnsi="Arial"/>
                <w:sz w:val="14"/>
                <w:szCs w:val="14"/>
                <w:color w:val="auto"/>
              </w:rPr>
              <w:t>Six Months Ended</w:t>
            </w:r>
          </w:p>
        </w:tc>
      </w:tr>
      <w:tr>
        <w:trPr>
          <w:trHeight w:val="182"/>
        </w:trPr>
        <w:tc>
          <w:tcPr>
            <w:tcW w:w="49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Nov 30, 2021</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Nov 30, 2020</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Nov 30, 2021</w:t>
            </w: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Nov 30, 2020</w:t>
            </w:r>
          </w:p>
        </w:tc>
      </w:tr>
      <w:tr>
        <w:trPr>
          <w:trHeight w:val="219"/>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(1.5)</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Effective tax rate including discrete items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ind w:left="740"/>
              <w:spacing w:after="0"/>
              <w:rPr>
                <w:sz w:val="20"/>
                <w:szCs w:val="20"/>
                <w:color w:val="auto"/>
              </w:rPr>
            </w:pPr>
            <w:r>
              <w:rPr>
                <w:rFonts w:ascii="Arial" w:cs="Arial" w:eastAsia="Arial" w:hAnsi="Arial"/>
                <w:sz w:val="18"/>
                <w:szCs w:val="18"/>
                <w:color w:val="auto"/>
                <w:w w:val="89"/>
              </w:rPr>
              <w:t>17.5 %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ind w:left="740"/>
              <w:spacing w:after="0"/>
              <w:rPr>
                <w:sz w:val="20"/>
                <w:szCs w:val="20"/>
                <w:color w:val="auto"/>
              </w:rPr>
            </w:pPr>
            <w:r>
              <w:rPr>
                <w:rFonts w:ascii="Arial" w:cs="Arial" w:eastAsia="Arial" w:hAnsi="Arial"/>
                <w:sz w:val="18"/>
                <w:szCs w:val="18"/>
                <w:color w:val="auto"/>
                <w:w w:val="89"/>
              </w:rPr>
              <w:t>12.3 %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ind w:left="760"/>
              <w:spacing w:after="0"/>
              <w:rPr>
                <w:sz w:val="20"/>
                <w:szCs w:val="20"/>
                <w:color w:val="auto"/>
              </w:rPr>
            </w:pPr>
            <w:r>
              <w:rPr>
                <w:rFonts w:ascii="Arial" w:cs="Arial" w:eastAsia="Arial" w:hAnsi="Arial"/>
                <w:sz w:val="18"/>
                <w:szCs w:val="18"/>
                <w:color w:val="auto"/>
                <w:w w:val="89"/>
              </w:rPr>
              <w:t>14.5 %</w:t>
            </w:r>
          </w:p>
        </w:tc>
      </w:tr>
    </w:tbl>
    <w:p>
      <w:pPr>
        <w:spacing w:after="0" w:line="238" w:lineRule="exact"/>
        <w:rPr>
          <w:sz w:val="20"/>
          <w:szCs w:val="20"/>
          <w:color w:val="auto"/>
        </w:rPr>
      </w:pPr>
    </w:p>
    <w:p>
      <w:pPr>
        <w:ind w:right="100" w:firstLine="395"/>
        <w:spacing w:after="0" w:line="248" w:lineRule="auto"/>
        <w:rPr>
          <w:sz w:val="20"/>
          <w:szCs w:val="20"/>
          <w:color w:val="auto"/>
        </w:rPr>
      </w:pPr>
      <w:r>
        <w:rPr>
          <w:rFonts w:ascii="Arial" w:cs="Arial" w:eastAsia="Arial" w:hAnsi="Arial"/>
          <w:sz w:val="18"/>
          <w:szCs w:val="18"/>
          <w:color w:val="auto"/>
        </w:rPr>
        <w:t>Our effective tax rate including discrete items for the three-month periods ended November 30, 2021 and 2020 was 5.8% and 17.5%, respectively. Our effective tax rate including discrete items for the six-month periods ended November 30, 2021 and 2020 was 12.3% and 14.5%, respectively. In fiscal year 2022,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61" w:lineRule="exact"/>
        <w:rPr>
          <w:sz w:val="20"/>
          <w:szCs w:val="20"/>
          <w:color w:val="auto"/>
        </w:rPr>
      </w:pPr>
    </w:p>
    <w:p>
      <w:pPr>
        <w:jc w:val="both"/>
        <w:ind w:right="140" w:firstLine="395"/>
        <w:spacing w:after="0" w:line="252" w:lineRule="auto"/>
        <w:rPr>
          <w:sz w:val="20"/>
          <w:szCs w:val="20"/>
          <w:color w:val="auto"/>
        </w:rPr>
      </w:pPr>
      <w:r>
        <w:rPr>
          <w:rFonts w:ascii="Arial" w:cs="Arial" w:eastAsia="Arial" w:hAnsi="Arial"/>
          <w:sz w:val="18"/>
          <w:szCs w:val="18"/>
          <w:color w:val="auto"/>
        </w:rPr>
        <w:t>We regularly review our liquidity and anticipated capital requirements in light of the significant uncertainty created by the COVID-19 global pandemic. We believe that our current cash on hand and availability under our Revolving Facility provide sufficient liquidity to meet our anticipated needs for capital for at least the next 12 months. We are closely monitoring receivables and payables.</w:t>
      </w:r>
    </w:p>
    <w:p>
      <w:pPr>
        <w:spacing w:after="0" w:line="138" w:lineRule="exact"/>
        <w:rPr>
          <w:sz w:val="20"/>
          <w:szCs w:val="20"/>
          <w:color w:val="auto"/>
        </w:rPr>
      </w:pPr>
    </w:p>
    <w:p>
      <w:pPr>
        <w:ind w:right="80" w:firstLine="395"/>
        <w:spacing w:after="0" w:line="299" w:lineRule="auto"/>
        <w:rPr>
          <w:sz w:val="20"/>
          <w:szCs w:val="20"/>
          <w:color w:val="auto"/>
        </w:rPr>
      </w:pPr>
      <w:r>
        <w:rPr>
          <w:rFonts w:ascii="Arial" w:cs="Arial" w:eastAsia="Arial" w:hAnsi="Arial"/>
          <w:sz w:val="16"/>
          <w:szCs w:val="16"/>
          <w:color w:val="auto"/>
        </w:rPr>
        <w:t>Our cash and cash equivalents totaled $34.3 million as of November 30, 2021, compared with $48.2 million as of May 31, 2021. As of November 30, 2021 and May 31, 2021, total debt outstanding related to the Revolving Facility was $25.0 million and $20.0 million, respectively. The fair value of contingent consideration liability as of November 30, 2021 and May 31, 2021, was $16.5 million and $15.7 million, respectively.</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our cash flows: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 Ended</w:t>
            </w:r>
          </w:p>
        </w:tc>
        <w:tc>
          <w:tcPr>
            <w:tcW w:w="1120" w:type="dxa"/>
            <w:vAlign w:val="bottom"/>
            <w:tcBorders>
              <w:bottom w:val="single" w:sz="8" w:color="auto"/>
            </w:tcBorders>
          </w:tcPr>
          <w:p>
            <w:pPr>
              <w:spacing w:after="0"/>
              <w:rPr>
                <w:sz w:val="15"/>
                <w:szCs w:val="15"/>
                <w:color w:val="auto"/>
              </w:rPr>
            </w:pPr>
          </w:p>
        </w:tc>
      </w:tr>
      <w:tr>
        <w:trPr>
          <w:trHeight w:val="182"/>
        </w:trPr>
        <w:tc>
          <w:tcPr>
            <w:tcW w:w="7460" w:type="dxa"/>
            <w:vAlign w:val="bottom"/>
          </w:tcPr>
          <w:p>
            <w:pPr>
              <w:ind w:left="460"/>
              <w:spacing w:after="0"/>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Nov 30, 2021</w:t>
            </w:r>
          </w:p>
        </w:tc>
        <w:tc>
          <w:tcPr>
            <w:tcW w:w="700" w:type="dxa"/>
            <w:vAlign w:val="bottom"/>
          </w:tcPr>
          <w:p>
            <w:pPr>
              <w:spacing w:after="0"/>
              <w:rPr>
                <w:sz w:val="15"/>
                <w:szCs w:val="15"/>
                <w:color w:val="auto"/>
              </w:rPr>
            </w:pPr>
          </w:p>
        </w:tc>
        <w:tc>
          <w:tcPr>
            <w:tcW w:w="1120" w:type="dxa"/>
            <w:vAlign w:val="bottom"/>
          </w:tcPr>
          <w:p>
            <w:pPr>
              <w:jc w:val="right"/>
              <w:ind w:right="235"/>
              <w:spacing w:after="0"/>
              <w:rPr>
                <w:sz w:val="20"/>
                <w:szCs w:val="20"/>
                <w:color w:val="auto"/>
              </w:rPr>
            </w:pPr>
            <w:r>
              <w:rPr>
                <w:rFonts w:ascii="Arial" w:cs="Arial" w:eastAsia="Arial" w:hAnsi="Arial"/>
                <w:sz w:val="14"/>
                <w:szCs w:val="14"/>
                <w:color w:val="auto"/>
                <w:w w:val="93"/>
              </w:rPr>
              <w:t>Nov 30, 2020</w:t>
            </w:r>
          </w:p>
        </w:tc>
      </w:tr>
      <w:tr>
        <w:trPr>
          <w:trHeight w:val="206"/>
        </w:trPr>
        <w:tc>
          <w:tcPr>
            <w:tcW w:w="7460" w:type="dxa"/>
            <w:vAlign w:val="bottom"/>
            <w:tcBorders>
              <w:top w:val="single" w:sz="8" w:color="CCEEFF"/>
            </w:tcBorders>
            <w:shd w:val="clear" w:color="auto" w:fill="CCEEFF"/>
          </w:tcPr>
          <w:p>
            <w:pPr>
              <w:ind w:left="460"/>
              <w:spacing w:after="0" w:line="206" w:lineRule="exact"/>
              <w:rPr>
                <w:sz w:val="20"/>
                <w:szCs w:val="20"/>
                <w:color w:val="auto"/>
              </w:rPr>
            </w:pPr>
            <w:r>
              <w:rPr>
                <w:rFonts w:ascii="Arial" w:cs="Arial" w:eastAsia="Arial" w:hAnsi="Arial"/>
                <w:sz w:val="18"/>
                <w:szCs w:val="18"/>
                <w:color w:val="auto"/>
              </w:rPr>
              <w:t>Cash provided by (used in):</w:t>
            </w:r>
          </w:p>
        </w:tc>
        <w:tc>
          <w:tcPr>
            <w:tcW w:w="6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23"/>
        </w:trPr>
        <w:tc>
          <w:tcPr>
            <w:tcW w:w="7460" w:type="dxa"/>
            <w:vAlign w:val="bottom"/>
          </w:tcPr>
          <w:p>
            <w:pPr>
              <w:ind w:left="460"/>
              <w:spacing w:after="0"/>
              <w:rPr>
                <w:sz w:val="20"/>
                <w:szCs w:val="20"/>
                <w:color w:val="auto"/>
              </w:rPr>
            </w:pPr>
            <w:r>
              <w:rPr>
                <w:rFonts w:ascii="Arial" w:cs="Arial" w:eastAsia="Arial" w:hAnsi="Arial"/>
                <w:sz w:val="18"/>
                <w:szCs w:val="18"/>
                <w:color w:val="auto"/>
              </w:rPr>
              <w:t>Operating activities</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(6,963)</w:t>
            </w:r>
          </w:p>
        </w:tc>
        <w:tc>
          <w:tcPr>
            <w:tcW w:w="12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6,023</w:t>
            </w:r>
          </w:p>
        </w:tc>
      </w:tr>
      <w:tr>
        <w:trPr>
          <w:trHeight w:val="224"/>
        </w:trPr>
        <w:tc>
          <w:tcPr>
            <w:tcW w:w="7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Investing activities</w:t>
            </w: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r>
      <w:tr>
        <w:trPr>
          <w:trHeight w:val="223"/>
        </w:trPr>
        <w:tc>
          <w:tcPr>
            <w:tcW w:w="7460" w:type="dxa"/>
            <w:vAlign w:val="bottom"/>
          </w:tcPr>
          <w:p>
            <w:pPr>
              <w:ind w:left="460"/>
              <w:spacing w:after="0"/>
              <w:rPr>
                <w:sz w:val="20"/>
                <w:szCs w:val="20"/>
                <w:color w:val="auto"/>
              </w:rPr>
            </w:pPr>
            <w:r>
              <w:rPr>
                <w:rFonts w:ascii="Arial" w:cs="Arial" w:eastAsia="Arial" w:hAnsi="Arial"/>
                <w:sz w:val="18"/>
                <w:szCs w:val="18"/>
                <w:color w:val="auto"/>
              </w:rPr>
              <w:t>Financing activities</w:t>
            </w: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6,388</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24"/>
        </w:trPr>
        <w:tc>
          <w:tcPr>
            <w:tcW w:w="7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Effect of exchange rate changes on cash and cash equivalents</w:t>
            </w:r>
          </w:p>
        </w:tc>
        <w:tc>
          <w:tcPr>
            <w:tcW w:w="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17"/>
        </w:trPr>
        <w:tc>
          <w:tcPr>
            <w:tcW w:w="7460" w:type="dxa"/>
            <w:vAlign w:val="bottom"/>
          </w:tcPr>
          <w:p>
            <w:pPr>
              <w:ind w:left="460"/>
              <w:spacing w:after="0" w:line="203" w:lineRule="exact"/>
              <w:rPr>
                <w:sz w:val="20"/>
                <w:szCs w:val="20"/>
                <w:color w:val="auto"/>
              </w:rPr>
            </w:pPr>
            <w:r>
              <w:rPr>
                <w:rFonts w:ascii="Arial" w:cs="Arial" w:eastAsia="Arial" w:hAnsi="Arial"/>
                <w:sz w:val="18"/>
                <w:szCs w:val="18"/>
                <w:color w:val="auto"/>
              </w:rPr>
              <w:t>Net change in cash and cash equivalents</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(13,870)</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w:t>
            </w:r>
          </w:p>
        </w:tc>
      </w:tr>
      <w:tr>
        <w:trPr>
          <w:trHeight w:val="20"/>
        </w:trPr>
        <w:tc>
          <w:tcPr>
            <w:tcW w:w="7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Cash flows consisted of the following: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(used in) operating activities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November 30, 2021 and 2020:</w:t>
      </w:r>
    </w:p>
    <w:p>
      <w:pPr>
        <w:spacing w:after="0" w:line="161" w:lineRule="exact"/>
        <w:rPr>
          <w:sz w:val="20"/>
          <w:szCs w:val="20"/>
          <w:color w:val="auto"/>
        </w:rPr>
      </w:pPr>
    </w:p>
    <w:p>
      <w:pPr>
        <w:ind w:left="640" w:right="180" w:hanging="319"/>
        <w:spacing w:after="0" w:line="261"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loss of $15.3 million and $8.5 million for the period ended November 30, 2021 and 2020, respectively, plus the non-cash items, primarily driven by depreciation and amortization and stock based compensation, along with the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left="640" w:right="20"/>
        <w:spacing w:after="0" w:line="250" w:lineRule="auto"/>
        <w:rPr>
          <w:sz w:val="20"/>
          <w:szCs w:val="20"/>
          <w:color w:val="auto"/>
        </w:rPr>
      </w:pPr>
      <w:r>
        <w:rPr>
          <w:rFonts w:ascii="Arial" w:cs="Arial" w:eastAsia="Arial" w:hAnsi="Arial"/>
          <w:sz w:val="18"/>
          <w:szCs w:val="18"/>
          <w:color w:val="auto"/>
        </w:rPr>
        <w:t>changes in working capital below, contributed to cash used in operations of $7.0 million and cash provided by operations of $6.0 million, respectively, for these periods.</w:t>
      </w:r>
    </w:p>
    <w:p>
      <w:pPr>
        <w:spacing w:after="0" w:line="2" w:lineRule="exact"/>
        <w:rPr>
          <w:sz w:val="20"/>
          <w:szCs w:val="20"/>
          <w:color w:val="auto"/>
        </w:rPr>
      </w:pPr>
    </w:p>
    <w:p>
      <w:pPr>
        <w:ind w:left="640" w:hanging="319"/>
        <w:spacing w:after="0" w:line="244"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period ended November 30, 2021, working capital was negatively impacted by decreased accounts payable, accrued liabilities and other liabilities of $4.5 million, mainly driven by the payment of annual incentive compensation in the first quarter along with increased accounts receivable of $2.9 million.</w:t>
      </w:r>
    </w:p>
    <w:p>
      <w:pPr>
        <w:ind w:left="640" w:right="240" w:hanging="319"/>
        <w:spacing w:after="0" w:line="345" w:lineRule="auto"/>
        <w:tabs>
          <w:tab w:leader="none" w:pos="636" w:val="left"/>
        </w:tabs>
        <w:numPr>
          <w:ilvl w:val="0"/>
          <w:numId w:val="25"/>
        </w:numPr>
        <w:rPr>
          <w:rFonts w:ascii="Arial" w:cs="Arial" w:eastAsia="Arial" w:hAnsi="Arial"/>
          <w:sz w:val="15"/>
          <w:szCs w:val="15"/>
          <w:color w:val="auto"/>
        </w:rPr>
      </w:pPr>
      <w:r>
        <w:rPr>
          <w:rFonts w:ascii="Arial" w:cs="Arial" w:eastAsia="Arial" w:hAnsi="Arial"/>
          <w:sz w:val="15"/>
          <w:szCs w:val="15"/>
          <w:color w:val="auto"/>
        </w:rPr>
        <w:t>For the period ended November 30, 2020, working capital was negatively impacted by increased accounts receivable of $2.3 million and decreased accounts payable, accrued liabilities and other liabilities of $3.8 million. Inventory had a favorable impact on working capital of $10.5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investing activities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November 30, 2021 and 2020:</w:t>
      </w:r>
    </w:p>
    <w:p>
      <w:pPr>
        <w:spacing w:after="0" w:line="161" w:lineRule="exact"/>
        <w:rPr>
          <w:sz w:val="20"/>
          <w:szCs w:val="20"/>
          <w:color w:val="auto"/>
        </w:rPr>
      </w:pPr>
    </w:p>
    <w:p>
      <w:pPr>
        <w:ind w:left="640" w:hanging="319"/>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$2.2 million and $3.2 million, respectively, of cash was used for fixed asset additions;</w:t>
      </w:r>
    </w:p>
    <w:p>
      <w:pPr>
        <w:spacing w:after="0" w:line="15" w:lineRule="exact"/>
        <w:rPr>
          <w:rFonts w:ascii="Arial" w:cs="Arial" w:eastAsia="Arial" w:hAnsi="Arial"/>
          <w:sz w:val="18"/>
          <w:szCs w:val="18"/>
          <w:color w:val="auto"/>
        </w:rPr>
      </w:pPr>
    </w:p>
    <w:p>
      <w:pPr>
        <w:ind w:left="640" w:hanging="319"/>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$7.2 million of cash was used for Auryon placement and evaluation unit additions in fiscal year 2022; and</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$3.6 million of cash was used for the QX Medical asset acquisition in the first quarter of fiscal year 2022.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financing activities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November 30, 2021 and 2020:</w:t>
      </w:r>
    </w:p>
    <w:p>
      <w:pPr>
        <w:spacing w:after="0" w:line="161" w:lineRule="exact"/>
        <w:rPr>
          <w:sz w:val="20"/>
          <w:szCs w:val="20"/>
          <w:color w:val="auto"/>
        </w:rPr>
      </w:pPr>
    </w:p>
    <w:p>
      <w:pPr>
        <w:ind w:left="640" w:hanging="319"/>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$5.0 million draw on the revolver in the first quarter of fiscal year 2022 for the QX Medical asset acquisition; and</w:t>
      </w:r>
    </w:p>
    <w:p>
      <w:pPr>
        <w:spacing w:after="0" w:line="15" w:lineRule="exact"/>
        <w:rPr>
          <w:rFonts w:ascii="Arial" w:cs="Arial" w:eastAsia="Arial" w:hAnsi="Arial"/>
          <w:sz w:val="18"/>
          <w:szCs w:val="18"/>
          <w:color w:val="auto"/>
        </w:rPr>
      </w:pPr>
    </w:p>
    <w:p>
      <w:pPr>
        <w:ind w:left="640" w:hanging="319"/>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$1.4 million and $0.5 million, respectively, of proceeds from stock option and ESPP activity.</w:t>
      </w:r>
    </w:p>
    <w:p>
      <w:pPr>
        <w:spacing w:after="0" w:line="150" w:lineRule="exact"/>
        <w:rPr>
          <w:sz w:val="20"/>
          <w:szCs w:val="20"/>
          <w:color w:val="auto"/>
        </w:rPr>
      </w:pPr>
    </w:p>
    <w:p>
      <w:pPr>
        <w:ind w:right="20" w:firstLine="395"/>
        <w:spacing w:after="0" w:line="281" w:lineRule="auto"/>
        <w:rPr>
          <w:sz w:val="20"/>
          <w:szCs w:val="20"/>
          <w:color w:val="auto"/>
        </w:rPr>
      </w:pPr>
      <w:r>
        <w:rPr>
          <w:rFonts w:ascii="Arial" w:cs="Arial" w:eastAsia="Arial" w:hAnsi="Arial"/>
          <w:sz w:val="16"/>
          <w:szCs w:val="16"/>
          <w:color w:val="auto"/>
        </w:rPr>
        <w:t>The Credit Agreement provides for a $125.0 million secured Revolving Facility, which includes an uncommitted expansion feature that allows the Company to increase the total revolving commitments and/or add new tranches of term loans in an aggregate amount not to exceed $75.0 million. The Credit Agreement includes customary representations, warranties and covenants, and acceleration, indemnity and events of default provisions, including, among other things, two financial covenants. One financial covenant requires us to maintain a fixed charge coverage ratio of not less than 1.25 to 1.00. The other financial covenant requires us to maintain a total leverage ratio of not greater than 3.00 to 1.00. The total leverage ratio is based upon our trailing twelve months total adjusted EBITDA (as defined in the Credit Agreement). The amount that we can borrow under our Credit Agreement is directly based on our leverage ratio. The interest rate on the Revolving Facility at November 30, 2021 was 1.34%. The Company was in compliance with the Credit Agreement covenants as of November 30, 2021.</w:t>
      </w:r>
    </w:p>
    <w:p>
      <w:pPr>
        <w:spacing w:after="0" w:line="119" w:lineRule="exact"/>
        <w:rPr>
          <w:sz w:val="20"/>
          <w:szCs w:val="20"/>
          <w:color w:val="auto"/>
        </w:rPr>
      </w:pPr>
    </w:p>
    <w:p>
      <w:pPr>
        <w:ind w:right="180" w:firstLine="395"/>
        <w:spacing w:after="0" w:line="248" w:lineRule="auto"/>
        <w:rPr>
          <w:sz w:val="20"/>
          <w:szCs w:val="20"/>
          <w:color w:val="auto"/>
        </w:rPr>
      </w:pPr>
      <w:r>
        <w:rPr>
          <w:rFonts w:ascii="Arial" w:cs="Arial" w:eastAsia="Arial" w:hAnsi="Arial"/>
          <w:sz w:val="18"/>
          <w:szCs w:val="18"/>
          <w:color w:val="auto"/>
        </w:rPr>
        <w:t>In the first quarter of fiscal year 2022, the Company made a $5.0 million draw on the Revolving Facility in conjunction with the QX Medical asset acquisition. In December 2020 and March 2021, payments of $10.0 million each were made on the Revolving Facility. We believe that our current cash balance, together with cash generated from operations and access to our Revolving Facility, will provide sufficient liquidity to meet our anticipated needs for capital for at least the next 12 months. If we seek to make acquisitions of other businesses or technologies in the future for cash, we may require external financing.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regarding new accounting pronouncements is included in Note 17 to our consolidated financial statements in this Quarterly Report on 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61" w:lineRule="exact"/>
        <w:rPr>
          <w:sz w:val="20"/>
          <w:szCs w:val="20"/>
          <w:color w:val="auto"/>
        </w:rPr>
      </w:pPr>
    </w:p>
    <w:p>
      <w:pPr>
        <w:ind w:right="300" w:firstLine="395"/>
        <w:spacing w:after="0" w:line="261"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transact sales in currencies other than the U.S. Dollar, particularly the Euro, British pound and Canadian dollar. For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November 30, 2021, approximately 7% of our sales were denominated in foreign currencies. We do not have expenses denominated in foreign currencies at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level of our sales and as a result, our profitability is exposed to currency fluctuations. When the U.S. Dollar strengthens, our sales and gross profit will be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negatively impacted. In addition, we have assets and liabilities denominated in non-functional currencies which are remeasured at each reporting period, with</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the offset to changes presented as a component of Other (Expenses) Income. Significant non-functional balances include accounts receivable due from a sub-</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of our international customers.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1" w:lineRule="exact"/>
        <w:rPr>
          <w:sz w:val="20"/>
          <w:szCs w:val="20"/>
          <w:color w:val="auto"/>
        </w:rPr>
      </w:pPr>
    </w:p>
    <w:p>
      <w:pPr>
        <w:ind w:right="180" w:firstLine="395"/>
        <w:spacing w:after="0" w:line="248" w:lineRule="auto"/>
        <w:rPr>
          <w:sz w:val="20"/>
          <w:szCs w:val="20"/>
          <w:color w:val="auto"/>
        </w:rPr>
      </w:pPr>
      <w:r>
        <w:rPr>
          <w:rFonts w:ascii="Arial" w:cs="Arial" w:eastAsia="Arial" w:hAnsi="Arial"/>
          <w:sz w:val="18"/>
          <w:szCs w:val="18"/>
          <w:color w:val="auto"/>
        </w:rPr>
        <w:t>We have a Credit Agreement which provides for a $125.0 million Revolving Facility. Interest on the facility will be based, at the Company’s option, on either a base rate of LIBOR or alternate base rate, plus an applicable margin tied to the Company’s total leverage ratio and having ranges between 0.25% and 0.75% for base rate loans and between 1.25% and 1.75% for LIBOR loans. In the event of default, the interest rate may be increased by 2.0%. As of November 30, 2021 there was $25.0 million outstanding on the Revolving Facility. The interest rate on the Revolving Facility at November 30, 2021 was 1.34%.</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1" w:lineRule="exact"/>
        <w:rPr>
          <w:sz w:val="20"/>
          <w:szCs w:val="20"/>
          <w:color w:val="auto"/>
        </w:rPr>
      </w:pPr>
    </w:p>
    <w:p>
      <w:pPr>
        <w:ind w:right="120" w:firstLine="395"/>
        <w:spacing w:after="0" w:line="261"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our credit facility and trade accounts receivable.</w:t>
      </w:r>
    </w:p>
    <w:p>
      <w:pPr>
        <w:spacing w:after="0" w:line="129" w:lineRule="exact"/>
        <w:rPr>
          <w:sz w:val="20"/>
          <w:szCs w:val="20"/>
          <w:color w:val="auto"/>
        </w:rPr>
      </w:pPr>
    </w:p>
    <w:p>
      <w:pPr>
        <w:ind w:right="60" w:firstLine="395"/>
        <w:spacing w:after="0" w:line="299" w:lineRule="auto"/>
        <w:rPr>
          <w:sz w:val="20"/>
          <w:szCs w:val="20"/>
          <w:color w:val="auto"/>
        </w:rPr>
      </w:pPr>
      <w:r>
        <w:rPr>
          <w:rFonts w:ascii="Arial" w:cs="Arial" w:eastAsia="Arial" w:hAnsi="Arial"/>
          <w:sz w:val="16"/>
          <w:szCs w:val="16"/>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above investment grade banks. The Company has the ability to draw equally amongst the five banks which limits the concentration of credit risk of one institution.</w:t>
      </w:r>
    </w:p>
    <w:p>
      <w:pPr>
        <w:spacing w:after="0" w:line="102" w:lineRule="exact"/>
        <w:rPr>
          <w:sz w:val="20"/>
          <w:szCs w:val="20"/>
          <w:color w:val="auto"/>
        </w:rPr>
      </w:pPr>
    </w:p>
    <w:p>
      <w:pPr>
        <w:ind w:right="200" w:firstLine="395"/>
        <w:spacing w:after="0" w:line="248" w:lineRule="auto"/>
        <w:rPr>
          <w:sz w:val="20"/>
          <w:szCs w:val="20"/>
          <w:color w:val="auto"/>
        </w:rPr>
      </w:pPr>
      <w:r>
        <w:rPr>
          <w:rFonts w:ascii="Arial" w:cs="Arial" w:eastAsia="Arial" w:hAnsi="Arial"/>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7"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7" w:lineRule="exact"/>
        <w:rPr>
          <w:sz w:val="20"/>
          <w:szCs w:val="20"/>
          <w:color w:val="auto"/>
        </w:rPr>
      </w:pPr>
    </w:p>
    <w:p>
      <w:pPr>
        <w:ind w:right="180" w:firstLine="474"/>
        <w:spacing w:after="0" w:line="261" w:lineRule="auto"/>
        <w:rPr>
          <w:sz w:val="20"/>
          <w:szCs w:val="20"/>
          <w:color w:val="auto"/>
        </w:rPr>
      </w:pPr>
      <w:r>
        <w:rPr>
          <w:rFonts w:ascii="Arial" w:cs="Arial" w:eastAsia="Arial" w:hAnsi="Arial"/>
          <w:sz w:val="18"/>
          <w:szCs w:val="18"/>
          <w:color w:val="auto"/>
        </w:rPr>
        <w:t>There was no change in our internal control over financial reporting for the fiscal quarter ended November 30,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46" w:lineRule="exact"/>
        <w:rPr>
          <w:sz w:val="20"/>
          <w:szCs w:val="20"/>
          <w:color w:val="auto"/>
        </w:rPr>
      </w:pPr>
    </w:p>
    <w:p>
      <w:pPr>
        <w:ind w:right="200" w:firstLine="379"/>
        <w:spacing w:after="0" w:line="261" w:lineRule="auto"/>
        <w:rPr>
          <w:sz w:val="20"/>
          <w:szCs w:val="20"/>
          <w:color w:val="auto"/>
        </w:rPr>
      </w:pPr>
      <w:r>
        <w:rPr>
          <w:rFonts w:ascii="Arial" w:cs="Arial" w:eastAsia="Arial" w:hAnsi="Arial"/>
          <w:sz w:val="18"/>
          <w:szCs w:val="18"/>
          <w:color w:val="auto"/>
        </w:rPr>
        <w:t>See Note 14 "Commitments and Contingencies" set forth in the notes to our consolidated financial statements included in Part I, Item I of this Quarterly Report on Form 10-Q.</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7" w:lineRule="exact"/>
        <w:rPr>
          <w:sz w:val="20"/>
          <w:szCs w:val="20"/>
          <w:color w:val="auto"/>
        </w:rPr>
      </w:pPr>
    </w:p>
    <w:p>
      <w:pPr>
        <w:ind w:right="20" w:firstLine="395"/>
        <w:spacing w:after="0" w:line="248" w:lineRule="auto"/>
        <w:rPr>
          <w:sz w:val="20"/>
          <w:szCs w:val="20"/>
          <w:color w:val="auto"/>
        </w:rPr>
      </w:pPr>
      <w:r>
        <w:rPr>
          <w:rFonts w:ascii="Arial" w:cs="Arial" w:eastAsia="Arial" w:hAnsi="Arial"/>
          <w:sz w:val="18"/>
          <w:szCs w:val="18"/>
          <w:color w:val="auto"/>
        </w:rPr>
        <w:t>In addition to information set forth in this report, you should carefully consider the factors discussed in “Part I, Item 1A. Risk Factors” of our annual report on Form 10-K for our fiscal year ended May 31, 2021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provides information with respect to the shares of the Company’s common stock repurchased during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November 30,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color w:val="auto"/>
                <w:w w:val="93"/>
              </w:rPr>
              <w:t>Issuer Purchases of Equity Securities</w:t>
            </w: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vMerge w:val="restart"/>
          </w:tcPr>
          <w:p>
            <w:pPr>
              <w:ind w:left="580"/>
              <w:spacing w:after="0"/>
              <w:rPr>
                <w:sz w:val="20"/>
                <w:szCs w:val="20"/>
                <w:color w:val="auto"/>
              </w:rPr>
            </w:pPr>
            <w:r>
              <w:rPr>
                <w:rFonts w:ascii="Arial" w:cs="Arial" w:eastAsia="Arial" w:hAnsi="Arial"/>
                <w:sz w:val="14"/>
                <w:szCs w:val="14"/>
                <w:color w:val="auto"/>
              </w:rPr>
              <w:t>Total</w:t>
            </w:r>
          </w:p>
        </w:tc>
        <w:tc>
          <w:tcPr>
            <w:tcW w:w="1100" w:type="dxa"/>
            <w:vAlign w:val="bottom"/>
          </w:tcPr>
          <w:p>
            <w:pPr>
              <w:jc w:val="right"/>
              <w:spacing w:after="0" w:line="130" w:lineRule="exact"/>
              <w:rPr>
                <w:sz w:val="20"/>
                <w:szCs w:val="20"/>
                <w:color w:val="auto"/>
              </w:rPr>
            </w:pPr>
            <w:r>
              <w:rPr>
                <w:rFonts w:ascii="Arial" w:cs="Arial" w:eastAsia="Arial" w:hAnsi="Arial"/>
                <w:sz w:val="14"/>
                <w:szCs w:val="14"/>
                <w:color w:val="auto"/>
              </w:rPr>
              <w:t>Maximum</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100" w:type="dxa"/>
            <w:vAlign w:val="bottom"/>
          </w:tcPr>
          <w:p>
            <w:pPr>
              <w:jc w:val="center"/>
              <w:spacing w:after="0" w:line="132" w:lineRule="exact"/>
              <w:rPr>
                <w:sz w:val="20"/>
                <w:szCs w:val="20"/>
                <w:color w:val="auto"/>
              </w:rPr>
            </w:pPr>
            <w:r>
              <w:rPr>
                <w:rFonts w:ascii="Arial" w:cs="Arial" w:eastAsia="Arial" w:hAnsi="Arial"/>
                <w:sz w:val="14"/>
                <w:szCs w:val="14"/>
                <w:color w:val="auto"/>
                <w:w w:val="94"/>
              </w:rPr>
              <w:t>Approximate</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360"/>
              <w:spacing w:after="0" w:line="132" w:lineRule="exact"/>
              <w:rPr>
                <w:sz w:val="20"/>
                <w:szCs w:val="20"/>
                <w:color w:val="auto"/>
              </w:rPr>
            </w:pPr>
            <w:r>
              <w:rPr>
                <w:rFonts w:ascii="Arial" w:cs="Arial" w:eastAsia="Arial" w:hAnsi="Arial"/>
                <w:sz w:val="14"/>
                <w:szCs w:val="14"/>
                <w:color w:val="auto"/>
                <w:w w:val="91"/>
              </w:rPr>
              <w:t>Number of</w:t>
            </w:r>
          </w:p>
        </w:tc>
        <w:tc>
          <w:tcPr>
            <w:tcW w:w="1100" w:type="dxa"/>
            <w:vAlign w:val="bottom"/>
          </w:tcPr>
          <w:p>
            <w:pPr>
              <w:jc w:val="center"/>
              <w:spacing w:after="0" w:line="132" w:lineRule="exact"/>
              <w:rPr>
                <w:sz w:val="20"/>
                <w:szCs w:val="20"/>
                <w:color w:val="auto"/>
              </w:rPr>
            </w:pPr>
            <w:r>
              <w:rPr>
                <w:rFonts w:ascii="Arial" w:cs="Arial" w:eastAsia="Arial" w:hAnsi="Arial"/>
                <w:sz w:val="14"/>
                <w:szCs w:val="14"/>
                <w:color w:val="auto"/>
                <w:w w:val="94"/>
              </w:rPr>
              <w:t>Dollar Value</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360"/>
              <w:spacing w:after="0" w:line="132" w:lineRule="exact"/>
              <w:rPr>
                <w:sz w:val="20"/>
                <w:szCs w:val="20"/>
                <w:color w:val="auto"/>
              </w:rPr>
            </w:pPr>
            <w:r>
              <w:rPr>
                <w:rFonts w:ascii="Arial" w:cs="Arial" w:eastAsia="Arial" w:hAnsi="Arial"/>
                <w:sz w:val="14"/>
                <w:szCs w:val="14"/>
                <w:color w:val="auto"/>
                <w:w w:val="81"/>
              </w:rPr>
              <w:t>Shares</w:t>
            </w:r>
          </w:p>
        </w:tc>
        <w:tc>
          <w:tcPr>
            <w:tcW w:w="1100" w:type="dxa"/>
            <w:vAlign w:val="bottom"/>
          </w:tcPr>
          <w:p>
            <w:pPr>
              <w:jc w:val="center"/>
              <w:spacing w:after="0" w:line="132" w:lineRule="exact"/>
              <w:rPr>
                <w:sz w:val="20"/>
                <w:szCs w:val="20"/>
                <w:color w:val="auto"/>
              </w:rPr>
            </w:pPr>
            <w:r>
              <w:rPr>
                <w:rFonts w:ascii="Arial" w:cs="Arial" w:eastAsia="Arial" w:hAnsi="Arial"/>
                <w:sz w:val="14"/>
                <w:szCs w:val="14"/>
                <w:color w:val="auto"/>
                <w:w w:val="86"/>
              </w:rPr>
              <w:t>of Shares</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780" w:type="dxa"/>
            <w:vAlign w:val="bottom"/>
          </w:tcPr>
          <w:p>
            <w:pPr>
              <w:spacing w:after="0"/>
              <w:rPr>
                <w:sz w:val="11"/>
                <w:szCs w:val="11"/>
                <w:color w:val="auto"/>
              </w:rPr>
            </w:pPr>
          </w:p>
        </w:tc>
        <w:tc>
          <w:tcPr>
            <w:tcW w:w="1180" w:type="dxa"/>
            <w:vAlign w:val="bottom"/>
            <w:gridSpan w:val="2"/>
            <w:vMerge w:val="restart"/>
          </w:tcPr>
          <w:p>
            <w:pPr>
              <w:ind w:left="600"/>
              <w:spacing w:after="0"/>
              <w:rPr>
                <w:sz w:val="20"/>
                <w:szCs w:val="20"/>
                <w:color w:val="auto"/>
              </w:rPr>
            </w:pPr>
            <w:r>
              <w:rPr>
                <w:rFonts w:ascii="Arial" w:cs="Arial" w:eastAsia="Arial" w:hAnsi="Arial"/>
                <w:sz w:val="14"/>
                <w:szCs w:val="14"/>
                <w:color w:val="auto"/>
              </w:rPr>
              <w:t>Total</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360"/>
              <w:spacing w:after="0" w:line="132" w:lineRule="exact"/>
              <w:rPr>
                <w:sz w:val="20"/>
                <w:szCs w:val="20"/>
                <w:color w:val="auto"/>
              </w:rPr>
            </w:pPr>
            <w:r>
              <w:rPr>
                <w:rFonts w:ascii="Arial" w:cs="Arial" w:eastAsia="Arial" w:hAnsi="Arial"/>
                <w:sz w:val="14"/>
                <w:szCs w:val="14"/>
                <w:color w:val="auto"/>
                <w:w w:val="83"/>
              </w:rPr>
              <w:t>Purchased</w:t>
            </w:r>
          </w:p>
        </w:tc>
        <w:tc>
          <w:tcPr>
            <w:tcW w:w="1100" w:type="dxa"/>
            <w:vAlign w:val="bottom"/>
          </w:tcPr>
          <w:p>
            <w:pPr>
              <w:jc w:val="center"/>
              <w:spacing w:after="0" w:line="132" w:lineRule="exact"/>
              <w:rPr>
                <w:sz w:val="20"/>
                <w:szCs w:val="20"/>
                <w:color w:val="auto"/>
              </w:rPr>
            </w:pPr>
            <w:r>
              <w:rPr>
                <w:rFonts w:ascii="Arial" w:cs="Arial" w:eastAsia="Arial" w:hAnsi="Arial"/>
                <w:sz w:val="14"/>
                <w:szCs w:val="14"/>
                <w:color w:val="auto"/>
                <w:w w:val="91"/>
              </w:rPr>
              <w:t>that May Yet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7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color w:val="auto"/>
              </w:rPr>
              <w:t>Average</w:t>
            </w:r>
          </w:p>
        </w:tc>
        <w:tc>
          <w:tcPr>
            <w:tcW w:w="1400" w:type="dxa"/>
            <w:vAlign w:val="bottom"/>
            <w:gridSpan w:val="3"/>
          </w:tcPr>
          <w:p>
            <w:pPr>
              <w:jc w:val="center"/>
              <w:ind w:right="360"/>
              <w:spacing w:after="0" w:line="132" w:lineRule="exact"/>
              <w:rPr>
                <w:sz w:val="20"/>
                <w:szCs w:val="20"/>
                <w:color w:val="auto"/>
              </w:rPr>
            </w:pPr>
            <w:r>
              <w:rPr>
                <w:rFonts w:ascii="Arial" w:cs="Arial" w:eastAsia="Arial" w:hAnsi="Arial"/>
                <w:sz w:val="14"/>
                <w:szCs w:val="14"/>
                <w:color w:val="auto"/>
                <w:w w:val="86"/>
              </w:rPr>
              <w:t>as Part of</w:t>
            </w:r>
          </w:p>
        </w:tc>
        <w:tc>
          <w:tcPr>
            <w:tcW w:w="1100" w:type="dxa"/>
            <w:vAlign w:val="bottom"/>
          </w:tcPr>
          <w:p>
            <w:pPr>
              <w:jc w:val="center"/>
              <w:spacing w:after="0" w:line="132" w:lineRule="exact"/>
              <w:rPr>
                <w:sz w:val="20"/>
                <w:szCs w:val="20"/>
                <w:color w:val="auto"/>
              </w:rPr>
            </w:pPr>
            <w:r>
              <w:rPr>
                <w:rFonts w:ascii="Arial" w:cs="Arial" w:eastAsia="Arial" w:hAnsi="Arial"/>
                <w:sz w:val="14"/>
                <w:szCs w:val="14"/>
                <w:color w:val="auto"/>
                <w:w w:val="93"/>
              </w:rPr>
              <w:t>Be</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780" w:type="dxa"/>
            <w:vAlign w:val="bottom"/>
          </w:tcPr>
          <w:p>
            <w:pPr>
              <w:spacing w:after="0"/>
              <w:rPr>
                <w:sz w:val="11"/>
                <w:szCs w:val="11"/>
                <w:color w:val="auto"/>
              </w:rPr>
            </w:pPr>
          </w:p>
        </w:tc>
        <w:tc>
          <w:tcPr>
            <w:tcW w:w="1180" w:type="dxa"/>
            <w:vAlign w:val="bottom"/>
            <w:gridSpan w:val="2"/>
          </w:tcPr>
          <w:p>
            <w:pPr>
              <w:jc w:val="center"/>
              <w:ind w:right="100"/>
              <w:spacing w:after="0" w:line="132" w:lineRule="exact"/>
              <w:rPr>
                <w:sz w:val="20"/>
                <w:szCs w:val="20"/>
                <w:color w:val="auto"/>
              </w:rPr>
            </w:pPr>
            <w:r>
              <w:rPr>
                <w:rFonts w:ascii="Arial" w:cs="Arial" w:eastAsia="Arial" w:hAnsi="Arial"/>
                <w:sz w:val="14"/>
                <w:szCs w:val="14"/>
                <w:color w:val="auto"/>
                <w:w w:val="91"/>
              </w:rPr>
              <w:t>Number of</w:t>
            </w:r>
          </w:p>
        </w:tc>
        <w:tc>
          <w:tcPr>
            <w:tcW w:w="5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0" w:type="dxa"/>
            <w:vAlign w:val="bottom"/>
            <w:gridSpan w:val="3"/>
          </w:tcPr>
          <w:p>
            <w:pPr>
              <w:jc w:val="center"/>
              <w:ind w:right="360"/>
              <w:spacing w:after="0" w:line="132" w:lineRule="exact"/>
              <w:rPr>
                <w:sz w:val="20"/>
                <w:szCs w:val="20"/>
                <w:color w:val="auto"/>
              </w:rPr>
            </w:pPr>
            <w:r>
              <w:rPr>
                <w:rFonts w:ascii="Arial" w:cs="Arial" w:eastAsia="Arial" w:hAnsi="Arial"/>
                <w:sz w:val="14"/>
                <w:szCs w:val="14"/>
                <w:color w:val="auto"/>
                <w:w w:val="99"/>
              </w:rPr>
              <w:t>Publicly</w:t>
            </w:r>
          </w:p>
        </w:tc>
        <w:tc>
          <w:tcPr>
            <w:tcW w:w="1100" w:type="dxa"/>
            <w:vAlign w:val="bottom"/>
          </w:tcPr>
          <w:p>
            <w:pPr>
              <w:jc w:val="center"/>
              <w:spacing w:after="0" w:line="132" w:lineRule="exact"/>
              <w:rPr>
                <w:sz w:val="20"/>
                <w:szCs w:val="20"/>
                <w:color w:val="auto"/>
              </w:rPr>
            </w:pPr>
            <w:r>
              <w:rPr>
                <w:rFonts w:ascii="Arial" w:cs="Arial" w:eastAsia="Arial" w:hAnsi="Arial"/>
                <w:sz w:val="14"/>
                <w:szCs w:val="14"/>
                <w:color w:val="auto"/>
                <w:w w:val="83"/>
              </w:rPr>
              <w:t>Purchased</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780" w:type="dxa"/>
            <w:vAlign w:val="bottom"/>
          </w:tcPr>
          <w:p>
            <w:pPr>
              <w:spacing w:after="0"/>
              <w:rPr>
                <w:sz w:val="11"/>
                <w:szCs w:val="11"/>
                <w:color w:val="auto"/>
              </w:rPr>
            </w:pPr>
          </w:p>
        </w:tc>
        <w:tc>
          <w:tcPr>
            <w:tcW w:w="1180" w:type="dxa"/>
            <w:vAlign w:val="bottom"/>
            <w:gridSpan w:val="2"/>
          </w:tcPr>
          <w:p>
            <w:pPr>
              <w:jc w:val="center"/>
              <w:ind w:right="100"/>
              <w:spacing w:after="0" w:line="132" w:lineRule="exact"/>
              <w:rPr>
                <w:sz w:val="20"/>
                <w:szCs w:val="20"/>
                <w:color w:val="auto"/>
              </w:rPr>
            </w:pPr>
            <w:r>
              <w:rPr>
                <w:rFonts w:ascii="Arial" w:cs="Arial" w:eastAsia="Arial" w:hAnsi="Arial"/>
                <w:sz w:val="14"/>
                <w:szCs w:val="14"/>
                <w:color w:val="auto"/>
                <w:w w:val="81"/>
              </w:rPr>
              <w:t>Shares</w:t>
            </w:r>
          </w:p>
        </w:tc>
        <w:tc>
          <w:tcPr>
            <w:tcW w:w="1500" w:type="dxa"/>
            <w:vAlign w:val="bottom"/>
            <w:gridSpan w:val="3"/>
          </w:tcPr>
          <w:p>
            <w:pPr>
              <w:ind w:left="420"/>
              <w:spacing w:after="0" w:line="132" w:lineRule="exact"/>
              <w:rPr>
                <w:sz w:val="20"/>
                <w:szCs w:val="20"/>
                <w:color w:val="auto"/>
              </w:rPr>
            </w:pPr>
            <w:r>
              <w:rPr>
                <w:rFonts w:ascii="Arial" w:cs="Arial" w:eastAsia="Arial" w:hAnsi="Arial"/>
                <w:sz w:val="14"/>
                <w:szCs w:val="14"/>
                <w:color w:val="auto"/>
              </w:rPr>
              <w:t>Price Paid</w:t>
            </w:r>
          </w:p>
        </w:tc>
        <w:tc>
          <w:tcPr>
            <w:tcW w:w="1400" w:type="dxa"/>
            <w:vAlign w:val="bottom"/>
            <w:gridSpan w:val="3"/>
          </w:tcPr>
          <w:p>
            <w:pPr>
              <w:jc w:val="center"/>
              <w:ind w:right="360"/>
              <w:spacing w:after="0" w:line="132" w:lineRule="exact"/>
              <w:rPr>
                <w:sz w:val="20"/>
                <w:szCs w:val="20"/>
                <w:color w:val="auto"/>
              </w:rPr>
            </w:pPr>
            <w:r>
              <w:rPr>
                <w:rFonts w:ascii="Arial" w:cs="Arial" w:eastAsia="Arial" w:hAnsi="Arial"/>
                <w:sz w:val="14"/>
                <w:szCs w:val="14"/>
                <w:color w:val="auto"/>
                <w:w w:val="90"/>
              </w:rPr>
              <w:t>Announced</w:t>
            </w:r>
          </w:p>
        </w:tc>
        <w:tc>
          <w:tcPr>
            <w:tcW w:w="1100" w:type="dxa"/>
            <w:vAlign w:val="bottom"/>
          </w:tcPr>
          <w:p>
            <w:pPr>
              <w:jc w:val="center"/>
              <w:spacing w:after="0" w:line="132" w:lineRule="exact"/>
              <w:rPr>
                <w:sz w:val="20"/>
                <w:szCs w:val="20"/>
                <w:color w:val="auto"/>
              </w:rPr>
            </w:pPr>
            <w:r>
              <w:rPr>
                <w:rFonts w:ascii="Arial" w:cs="Arial" w:eastAsia="Arial" w:hAnsi="Arial"/>
                <w:sz w:val="14"/>
                <w:szCs w:val="14"/>
                <w:color w:val="auto"/>
                <w:w w:val="88"/>
              </w:rPr>
              <w:t>Under Plans</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7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Purchased (1)</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per Share</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Programs (2)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or Programs (2)</w:t>
            </w: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420"/>
              <w:spacing w:after="0" w:line="206" w:lineRule="exact"/>
              <w:rPr>
                <w:sz w:val="20"/>
                <w:szCs w:val="20"/>
                <w:color w:val="auto"/>
              </w:rPr>
            </w:pPr>
            <w:r>
              <w:rPr>
                <w:rFonts w:ascii="Arial" w:cs="Arial" w:eastAsia="Arial" w:hAnsi="Arial"/>
                <w:sz w:val="18"/>
                <w:szCs w:val="18"/>
                <w:color w:val="auto"/>
              </w:rPr>
              <w:t>September 1, 2021 - September 30, 2021</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8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tcPr>
          <w:p>
            <w:pPr>
              <w:ind w:left="420"/>
              <w:spacing w:after="0"/>
              <w:rPr>
                <w:sz w:val="20"/>
                <w:szCs w:val="20"/>
                <w:color w:val="auto"/>
              </w:rPr>
            </w:pPr>
            <w:r>
              <w:rPr>
                <w:rFonts w:ascii="Arial" w:cs="Arial" w:eastAsia="Arial" w:hAnsi="Arial"/>
                <w:sz w:val="18"/>
                <w:szCs w:val="18"/>
                <w:color w:val="auto"/>
              </w:rPr>
              <w:t>October 1, 2021 - October 31, 2021</w:t>
            </w:r>
          </w:p>
        </w:tc>
        <w:tc>
          <w:tcPr>
            <w:tcW w:w="1080" w:type="dxa"/>
            <w:vAlign w:val="bottom"/>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19"/>
                <w:szCs w:val="19"/>
                <w:color w:val="auto"/>
              </w:rPr>
            </w:pPr>
          </w:p>
        </w:tc>
        <w:tc>
          <w:tcPr>
            <w:tcW w:w="580" w:type="dxa"/>
            <w:vAlign w:val="bottom"/>
          </w:tcPr>
          <w:p>
            <w:pPr>
              <w:ind w:left="4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19"/>
                <w:szCs w:val="19"/>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85"/>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November 1, 2021 - November 30, 2021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8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780" w:type="dxa"/>
            <w:vAlign w:val="bottom"/>
          </w:tcPr>
          <w:p>
            <w:pPr>
              <w:ind w:left="740"/>
              <w:spacing w:after="0" w:line="203" w:lineRule="exact"/>
              <w:rPr>
                <w:sz w:val="20"/>
                <w:szCs w:val="20"/>
                <w:color w:val="auto"/>
              </w:rPr>
            </w:pPr>
            <w:r>
              <w:rPr>
                <w:rFonts w:ascii="Arial" w:cs="Arial" w:eastAsia="Arial" w:hAnsi="Arial"/>
                <w:sz w:val="18"/>
                <w:szCs w:val="18"/>
                <w:color w:val="auto"/>
              </w:rPr>
              <w:t>Total</w:t>
            </w:r>
          </w:p>
        </w:tc>
        <w:tc>
          <w:tcPr>
            <w:tcW w:w="1080" w:type="dxa"/>
            <w:vAlign w:val="bottom"/>
          </w:tcPr>
          <w:p>
            <w:pPr>
              <w:jc w:val="right"/>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18"/>
                <w:szCs w:val="18"/>
                <w:color w:val="auto"/>
              </w:rPr>
            </w:pPr>
          </w:p>
        </w:tc>
        <w:tc>
          <w:tcPr>
            <w:tcW w:w="580" w:type="dxa"/>
            <w:vAlign w:val="bottom"/>
          </w:tcPr>
          <w:p>
            <w:pPr>
              <w:ind w:left="4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18"/>
                <w:szCs w:val="18"/>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60" w:hanging="318"/>
        <w:spacing w:after="0"/>
        <w:tabs>
          <w:tab w:leader="none" w:pos="5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These shares were purchased from employees to satisfy tax withholding requirements on the vesting of restricted shares/units from equity-based awards.</w:t>
      </w:r>
    </w:p>
    <w:p>
      <w:pPr>
        <w:spacing w:after="0" w:line="25" w:lineRule="exact"/>
        <w:rPr>
          <w:rFonts w:ascii="Arial" w:cs="Arial" w:eastAsia="Arial" w:hAnsi="Arial"/>
          <w:sz w:val="15"/>
          <w:szCs w:val="15"/>
          <w:color w:val="auto"/>
        </w:rPr>
      </w:pPr>
    </w:p>
    <w:p>
      <w:pPr>
        <w:ind w:left="560" w:hanging="318"/>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These amounts are not applicable as the Company currently does not have a share repurchase program in effect.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on Senior Securities.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50"/>
        </w:trPr>
        <w:tc>
          <w:tcPr>
            <w:tcW w:w="1060" w:type="dxa"/>
            <w:vAlign w:val="bottom"/>
          </w:tcPr>
          <w:p>
            <w:pPr>
              <w:spacing w:after="0"/>
              <w:rPr>
                <w:sz w:val="21"/>
                <w:szCs w:val="21"/>
                <w:color w:val="auto"/>
              </w:rPr>
            </w:pPr>
          </w:p>
        </w:tc>
        <w:tc>
          <w:tcPr>
            <w:tcW w:w="4620" w:type="dxa"/>
            <w:vAlign w:val="bottom"/>
            <w:gridSpan w:val="7"/>
          </w:tcPr>
          <w:p>
            <w:pPr>
              <w:ind w:left="1620"/>
              <w:spacing w:after="0"/>
              <w:rPr>
                <w:sz w:val="20"/>
                <w:szCs w:val="20"/>
                <w:color w:val="auto"/>
              </w:rPr>
            </w:pPr>
            <w:r>
              <w:rPr>
                <w:rFonts w:ascii="Arial" w:cs="Arial" w:eastAsia="Arial" w:hAnsi="Arial"/>
                <w:sz w:val="18"/>
                <w:szCs w:val="18"/>
                <w:b w:val="1"/>
                <w:bCs w:val="1"/>
                <w:color w:val="auto"/>
              </w:rPr>
              <w:t>EXHIBIT INDEX</w:t>
            </w:r>
          </w:p>
        </w:tc>
        <w:tc>
          <w:tcPr>
            <w:tcW w:w="14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8"/>
              </w:rPr>
              <w:t>Incorporated by Reference</w:t>
            </w:r>
          </w:p>
        </w:tc>
        <w:tc>
          <w:tcPr>
            <w:tcW w:w="1580" w:type="dxa"/>
            <w:vAlign w:val="bottom"/>
            <w:tcBorders>
              <w:bottom w:val="single" w:sz="8" w:color="auto"/>
            </w:tcBorders>
          </w:tcPr>
          <w:p>
            <w:pPr>
              <w:spacing w:after="0"/>
              <w:rPr>
                <w:sz w:val="21"/>
                <w:szCs w:val="21"/>
                <w:color w:val="auto"/>
              </w:rPr>
            </w:pPr>
          </w:p>
        </w:tc>
      </w:tr>
      <w:tr>
        <w:trPr>
          <w:trHeight w:val="217"/>
        </w:trPr>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No.</w:t>
            </w:r>
          </w:p>
        </w:tc>
        <w:tc>
          <w:tcPr>
            <w:tcW w:w="4620" w:type="dxa"/>
            <w:vAlign w:val="bottom"/>
            <w:tcBorders>
              <w:bottom w:val="single" w:sz="8" w:color="auto"/>
            </w:tcBorders>
            <w:gridSpan w:val="7"/>
          </w:tcPr>
          <w:p>
            <w:pPr>
              <w:ind w:left="1860"/>
              <w:spacing w:after="0"/>
              <w:rPr>
                <w:sz w:val="20"/>
                <w:szCs w:val="20"/>
                <w:color w:val="auto"/>
              </w:rPr>
            </w:pPr>
            <w:r>
              <w:rPr>
                <w:rFonts w:ascii="Arial" w:cs="Arial" w:eastAsia="Arial" w:hAnsi="Arial"/>
                <w:sz w:val="18"/>
                <w:szCs w:val="18"/>
                <w:b w:val="1"/>
                <w:bCs w:val="1"/>
                <w:color w:val="auto"/>
              </w:rPr>
              <w:t>Description</w:t>
            </w:r>
          </w:p>
        </w:tc>
        <w:tc>
          <w:tcPr>
            <w:tcW w:w="14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Form</w:t>
            </w:r>
          </w:p>
        </w:tc>
        <w:tc>
          <w:tcPr>
            <w:tcW w:w="25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6"/>
              </w:rPr>
              <w:t>Exhibit</w:t>
            </w:r>
          </w:p>
        </w:tc>
        <w:tc>
          <w:tcPr>
            <w:tcW w:w="15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Filing Date</w:t>
            </w:r>
          </w:p>
        </w:tc>
      </w:tr>
      <w:tr>
        <w:trPr>
          <w:trHeight w:val="428"/>
        </w:trPr>
        <w:tc>
          <w:tcPr>
            <w:tcW w:w="1060" w:type="dxa"/>
            <w:vAlign w:val="bottom"/>
          </w:tcPr>
          <w:p>
            <w:pPr>
              <w:ind w:left="20"/>
              <w:spacing w:after="0"/>
              <w:rPr>
                <w:sz w:val="20"/>
                <w:szCs w:val="20"/>
                <w:color w:val="auto"/>
              </w:rPr>
            </w:pPr>
            <w:r>
              <w:rPr>
                <w:rFonts w:ascii="Arial" w:cs="Arial" w:eastAsia="Arial" w:hAnsi="Arial"/>
                <w:sz w:val="18"/>
                <w:szCs w:val="18"/>
                <w:color w:val="auto"/>
              </w:rPr>
              <w:t>31.1</w:t>
            </w:r>
          </w:p>
        </w:tc>
        <w:tc>
          <w:tcPr>
            <w:tcW w:w="4620" w:type="dxa"/>
            <w:vAlign w:val="bottom"/>
            <w:gridSpan w:val="7"/>
          </w:tcPr>
          <w:p>
            <w:pPr>
              <w:spacing w:after="0"/>
              <w:rPr>
                <w:rFonts w:ascii="Arial" w:cs="Arial" w:eastAsia="Arial" w:hAnsi="Arial"/>
                <w:sz w:val="18"/>
                <w:szCs w:val="18"/>
                <w:color w:val="0000FF"/>
                <w:w w:val="96"/>
              </w:rPr>
            </w:pPr>
            <w:hyperlink w:anchor="page36">
              <w:r>
                <w:rPr>
                  <w:rFonts w:ascii="Arial" w:cs="Arial" w:eastAsia="Arial" w:hAnsi="Arial"/>
                  <w:sz w:val="18"/>
                  <w:szCs w:val="18"/>
                  <w:color w:val="0000FF"/>
                  <w:w w:val="96"/>
                </w:rPr>
                <w:t>Certification pursuant to Rule 13a-14(a) or 15d-14 under the</w:t>
              </w:r>
            </w:hyperlink>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1"/>
        </w:trPr>
        <w:tc>
          <w:tcPr>
            <w:tcW w:w="1060" w:type="dxa"/>
            <w:vAlign w:val="bottom"/>
          </w:tcPr>
          <w:p>
            <w:pPr>
              <w:spacing w:after="0"/>
              <w:rPr>
                <w:sz w:val="13"/>
                <w:szCs w:val="13"/>
                <w:color w:val="auto"/>
              </w:rPr>
            </w:pPr>
          </w:p>
        </w:tc>
        <w:tc>
          <w:tcPr>
            <w:tcW w:w="2320" w:type="dxa"/>
            <w:vAlign w:val="bottom"/>
            <w:tcBorders>
              <w:top w:val="single" w:sz="8" w:color="0000FF"/>
              <w:bottom w:val="single" w:sz="8" w:color="0000FF"/>
            </w:tcBorders>
          </w:tcPr>
          <w:p>
            <w:pPr>
              <w:spacing w:after="0" w:line="152" w:lineRule="exact"/>
              <w:rPr>
                <w:rFonts w:ascii="Arial" w:cs="Arial" w:eastAsia="Arial" w:hAnsi="Arial"/>
                <w:sz w:val="16"/>
                <w:szCs w:val="16"/>
                <w:color w:val="0000FF"/>
                <w:w w:val="99"/>
              </w:rPr>
            </w:pPr>
            <w:hyperlink w:anchor="page36">
              <w:r>
                <w:rPr>
                  <w:rFonts w:ascii="Arial" w:cs="Arial" w:eastAsia="Arial" w:hAnsi="Arial"/>
                  <w:sz w:val="16"/>
                  <w:szCs w:val="16"/>
                  <w:color w:val="0000FF"/>
                  <w:w w:val="99"/>
                </w:rPr>
                <w:t>Securities Exchange Act of 1934</w:t>
              </w:r>
            </w:hyperlink>
          </w:p>
        </w:tc>
        <w:tc>
          <w:tcPr>
            <w:tcW w:w="19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467"/>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4620" w:type="dxa"/>
            <w:vAlign w:val="bottom"/>
            <w:gridSpan w:val="7"/>
          </w:tcPr>
          <w:p>
            <w:pPr>
              <w:spacing w:after="0"/>
              <w:rPr>
                <w:rFonts w:ascii="Arial" w:cs="Arial" w:eastAsia="Arial" w:hAnsi="Arial"/>
                <w:sz w:val="18"/>
                <w:szCs w:val="18"/>
                <w:color w:val="0000FF"/>
                <w:w w:val="96"/>
              </w:rPr>
            </w:pPr>
            <w:hyperlink w:anchor="page37">
              <w:r>
                <w:rPr>
                  <w:rFonts w:ascii="Arial" w:cs="Arial" w:eastAsia="Arial" w:hAnsi="Arial"/>
                  <w:sz w:val="18"/>
                  <w:szCs w:val="18"/>
                  <w:color w:val="0000FF"/>
                  <w:w w:val="96"/>
                </w:rPr>
                <w:t>Certification pursuant to Rule 13a-14(a) or 15d-14 under the</w:t>
              </w:r>
            </w:hyperlink>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1"/>
        </w:trPr>
        <w:tc>
          <w:tcPr>
            <w:tcW w:w="1060" w:type="dxa"/>
            <w:vAlign w:val="bottom"/>
          </w:tcPr>
          <w:p>
            <w:pPr>
              <w:spacing w:after="0"/>
              <w:rPr>
                <w:sz w:val="13"/>
                <w:szCs w:val="13"/>
                <w:color w:val="auto"/>
              </w:rPr>
            </w:pPr>
          </w:p>
        </w:tc>
        <w:tc>
          <w:tcPr>
            <w:tcW w:w="2320" w:type="dxa"/>
            <w:vAlign w:val="bottom"/>
            <w:tcBorders>
              <w:top w:val="single" w:sz="8" w:color="0000FF"/>
              <w:bottom w:val="single" w:sz="8" w:color="0000FF"/>
            </w:tcBorders>
          </w:tcPr>
          <w:p>
            <w:pPr>
              <w:spacing w:after="0" w:line="152" w:lineRule="exact"/>
              <w:rPr>
                <w:rFonts w:ascii="Arial" w:cs="Arial" w:eastAsia="Arial" w:hAnsi="Arial"/>
                <w:sz w:val="16"/>
                <w:szCs w:val="16"/>
                <w:color w:val="0000FF"/>
                <w:w w:val="99"/>
              </w:rPr>
            </w:pPr>
            <w:hyperlink w:anchor="page37">
              <w:r>
                <w:rPr>
                  <w:rFonts w:ascii="Arial" w:cs="Arial" w:eastAsia="Arial" w:hAnsi="Arial"/>
                  <w:sz w:val="16"/>
                  <w:szCs w:val="16"/>
                  <w:color w:val="0000FF"/>
                  <w:w w:val="99"/>
                </w:rPr>
                <w:t>Securities Exchange Act of 1934</w:t>
              </w:r>
            </w:hyperlink>
          </w:p>
        </w:tc>
        <w:tc>
          <w:tcPr>
            <w:tcW w:w="19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467"/>
        </w:trPr>
        <w:tc>
          <w:tcPr>
            <w:tcW w:w="1060" w:type="dxa"/>
            <w:vAlign w:val="bottom"/>
          </w:tcPr>
          <w:p>
            <w:pPr>
              <w:ind w:left="20"/>
              <w:spacing w:after="0"/>
              <w:rPr>
                <w:sz w:val="20"/>
                <w:szCs w:val="20"/>
                <w:color w:val="auto"/>
              </w:rPr>
            </w:pPr>
            <w:r>
              <w:rPr>
                <w:rFonts w:ascii="Arial" w:cs="Arial" w:eastAsia="Arial" w:hAnsi="Arial"/>
                <w:sz w:val="18"/>
                <w:szCs w:val="18"/>
                <w:color w:val="auto"/>
              </w:rPr>
              <w:t>32.1</w:t>
            </w:r>
          </w:p>
        </w:tc>
        <w:tc>
          <w:tcPr>
            <w:tcW w:w="4620" w:type="dxa"/>
            <w:vAlign w:val="bottom"/>
            <w:gridSpan w:val="7"/>
          </w:tcPr>
          <w:p>
            <w:pPr>
              <w:spacing w:after="0"/>
              <w:rPr>
                <w:rFonts w:ascii="Arial" w:cs="Arial" w:eastAsia="Arial" w:hAnsi="Arial"/>
                <w:sz w:val="18"/>
                <w:szCs w:val="18"/>
                <w:color w:val="0000FF"/>
                <w:w w:val="98"/>
              </w:rPr>
            </w:pPr>
            <w:hyperlink w:anchor="page38">
              <w:r>
                <w:rPr>
                  <w:rFonts w:ascii="Arial" w:cs="Arial" w:eastAsia="Arial" w:hAnsi="Arial"/>
                  <w:sz w:val="18"/>
                  <w:szCs w:val="18"/>
                  <w:color w:val="0000FF"/>
                  <w:w w:val="98"/>
                </w:rPr>
                <w:t>Certification of Chief Executive Officer pursuant to Title 18,</w:t>
              </w:r>
            </w:hyperlink>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51"/>
        </w:trPr>
        <w:tc>
          <w:tcPr>
            <w:tcW w:w="1060" w:type="dxa"/>
            <w:vAlign w:val="bottom"/>
          </w:tcPr>
          <w:p>
            <w:pPr>
              <w:spacing w:after="0"/>
              <w:rPr>
                <w:sz w:val="13"/>
                <w:szCs w:val="13"/>
                <w:color w:val="auto"/>
              </w:rPr>
            </w:pPr>
          </w:p>
        </w:tc>
        <w:tc>
          <w:tcPr>
            <w:tcW w:w="4620" w:type="dxa"/>
            <w:vAlign w:val="bottom"/>
            <w:gridSpan w:val="7"/>
          </w:tcPr>
          <w:p>
            <w:pPr>
              <w:spacing w:after="0" w:line="152" w:lineRule="exact"/>
              <w:rPr>
                <w:rFonts w:ascii="Arial" w:cs="Arial" w:eastAsia="Arial" w:hAnsi="Arial"/>
                <w:sz w:val="16"/>
                <w:szCs w:val="16"/>
                <w:color w:val="0000FF"/>
                <w:w w:val="97"/>
              </w:rPr>
            </w:pPr>
            <w:hyperlink w:anchor="page38">
              <w:r>
                <w:rPr>
                  <w:rFonts w:ascii="Arial" w:cs="Arial" w:eastAsia="Arial" w:hAnsi="Arial"/>
                  <w:sz w:val="16"/>
                  <w:szCs w:val="16"/>
                  <w:color w:val="0000FF"/>
                  <w:w w:val="97"/>
                </w:rPr>
                <w:t>United States Code, Section 1350, as adopted pursuant to Section</w:t>
              </w:r>
            </w:hyperlink>
          </w:p>
        </w:tc>
        <w:tc>
          <w:tcPr>
            <w:tcW w:w="14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51"/>
        </w:trPr>
        <w:tc>
          <w:tcPr>
            <w:tcW w:w="106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2"/>
          </w:tcPr>
          <w:p>
            <w:pPr>
              <w:spacing w:after="0" w:line="152" w:lineRule="exact"/>
              <w:rPr>
                <w:rFonts w:ascii="Arial" w:cs="Arial" w:eastAsia="Arial" w:hAnsi="Arial"/>
                <w:sz w:val="16"/>
                <w:szCs w:val="16"/>
                <w:color w:val="0000FF"/>
                <w:w w:val="99"/>
              </w:rPr>
            </w:pPr>
            <w:hyperlink w:anchor="page38">
              <w:r>
                <w:rPr>
                  <w:rFonts w:ascii="Arial" w:cs="Arial" w:eastAsia="Arial" w:hAnsi="Arial"/>
                  <w:sz w:val="16"/>
                  <w:szCs w:val="16"/>
                  <w:color w:val="0000FF"/>
                  <w:w w:val="99"/>
                </w:rPr>
                <w:t>906 of the Sarbanes-Oxley Act of 2002</w:t>
              </w:r>
            </w:hyperlink>
          </w:p>
        </w:tc>
        <w:tc>
          <w:tcPr>
            <w:tcW w:w="18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467"/>
        </w:trPr>
        <w:tc>
          <w:tcPr>
            <w:tcW w:w="1060" w:type="dxa"/>
            <w:vAlign w:val="bottom"/>
          </w:tcPr>
          <w:p>
            <w:pPr>
              <w:ind w:left="20"/>
              <w:spacing w:after="0"/>
              <w:rPr>
                <w:sz w:val="20"/>
                <w:szCs w:val="20"/>
                <w:color w:val="auto"/>
              </w:rPr>
            </w:pPr>
            <w:r>
              <w:rPr>
                <w:rFonts w:ascii="Arial" w:cs="Arial" w:eastAsia="Arial" w:hAnsi="Arial"/>
                <w:sz w:val="18"/>
                <w:szCs w:val="18"/>
                <w:color w:val="auto"/>
              </w:rPr>
              <w:t>32.2</w:t>
            </w:r>
          </w:p>
        </w:tc>
        <w:tc>
          <w:tcPr>
            <w:tcW w:w="422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Certification of Chief Financial Officer pursuant to Title 18,</w:t>
              </w:r>
            </w:hyperlink>
          </w:p>
        </w:tc>
        <w:tc>
          <w:tcPr>
            <w:tcW w:w="400" w:type="dxa"/>
            <w:vAlign w:val="bottom"/>
            <w:gridSpan w:val="4"/>
          </w:tcPr>
          <w:p>
            <w:pPr>
              <w:spacing w:after="0"/>
              <w:rPr>
                <w:sz w:val="24"/>
                <w:szCs w:val="24"/>
                <w:color w:val="auto"/>
              </w:rPr>
            </w:pPr>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1"/>
        </w:trPr>
        <w:tc>
          <w:tcPr>
            <w:tcW w:w="1060" w:type="dxa"/>
            <w:vAlign w:val="bottom"/>
          </w:tcPr>
          <w:p>
            <w:pPr>
              <w:spacing w:after="0"/>
              <w:rPr>
                <w:sz w:val="13"/>
                <w:szCs w:val="13"/>
                <w:color w:val="auto"/>
              </w:rPr>
            </w:pPr>
          </w:p>
        </w:tc>
        <w:tc>
          <w:tcPr>
            <w:tcW w:w="4620" w:type="dxa"/>
            <w:vAlign w:val="bottom"/>
            <w:gridSpan w:val="7"/>
          </w:tcPr>
          <w:p>
            <w:pPr>
              <w:spacing w:after="0" w:line="152" w:lineRule="exact"/>
              <w:rPr>
                <w:rFonts w:ascii="Arial" w:cs="Arial" w:eastAsia="Arial" w:hAnsi="Arial"/>
                <w:sz w:val="16"/>
                <w:szCs w:val="16"/>
                <w:color w:val="0000FF"/>
                <w:w w:val="97"/>
              </w:rPr>
            </w:pPr>
            <w:hyperlink w:anchor="page39">
              <w:r>
                <w:rPr>
                  <w:rFonts w:ascii="Arial" w:cs="Arial" w:eastAsia="Arial" w:hAnsi="Arial"/>
                  <w:sz w:val="16"/>
                  <w:szCs w:val="16"/>
                  <w:color w:val="0000FF"/>
                  <w:w w:val="97"/>
                </w:rPr>
                <w:t>United States Code, Section 1350, as adopted pursuant to Section</w:t>
              </w:r>
            </w:hyperlink>
          </w:p>
        </w:tc>
        <w:tc>
          <w:tcPr>
            <w:tcW w:w="14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51"/>
        </w:trPr>
        <w:tc>
          <w:tcPr>
            <w:tcW w:w="106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2"/>
          </w:tcPr>
          <w:p>
            <w:pPr>
              <w:spacing w:after="0" w:line="152" w:lineRule="exact"/>
              <w:rPr>
                <w:rFonts w:ascii="Arial" w:cs="Arial" w:eastAsia="Arial" w:hAnsi="Arial"/>
                <w:sz w:val="16"/>
                <w:szCs w:val="16"/>
                <w:color w:val="0000FF"/>
                <w:w w:val="99"/>
              </w:rPr>
            </w:pPr>
            <w:hyperlink w:anchor="page39">
              <w:r>
                <w:rPr>
                  <w:rFonts w:ascii="Arial" w:cs="Arial" w:eastAsia="Arial" w:hAnsi="Arial"/>
                  <w:sz w:val="16"/>
                  <w:szCs w:val="16"/>
                  <w:color w:val="0000FF"/>
                  <w:w w:val="99"/>
                </w:rPr>
                <w:t>906 of the Sarbanes-Oxley Act of 2002</w:t>
              </w:r>
            </w:hyperlink>
          </w:p>
        </w:tc>
        <w:tc>
          <w:tcPr>
            <w:tcW w:w="18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454"/>
        </w:trPr>
        <w:tc>
          <w:tcPr>
            <w:tcW w:w="1060" w:type="dxa"/>
            <w:vAlign w:val="bottom"/>
          </w:tcPr>
          <w:p>
            <w:pPr>
              <w:ind w:left="20"/>
              <w:spacing w:after="0"/>
              <w:rPr>
                <w:sz w:val="20"/>
                <w:szCs w:val="20"/>
                <w:color w:val="auto"/>
              </w:rPr>
            </w:pPr>
            <w:r>
              <w:rPr>
                <w:rFonts w:ascii="Arial" w:cs="Arial" w:eastAsia="Arial" w:hAnsi="Arial"/>
                <w:sz w:val="18"/>
                <w:szCs w:val="18"/>
                <w:color w:val="auto"/>
              </w:rPr>
              <w:t>101.INS</w:t>
            </w:r>
          </w:p>
        </w:tc>
        <w:tc>
          <w:tcPr>
            <w:tcW w:w="4620" w:type="dxa"/>
            <w:vAlign w:val="bottom"/>
            <w:gridSpan w:val="7"/>
          </w:tcPr>
          <w:p>
            <w:pPr>
              <w:spacing w:after="0"/>
              <w:rPr>
                <w:sz w:val="20"/>
                <w:szCs w:val="20"/>
                <w:color w:val="auto"/>
              </w:rPr>
            </w:pPr>
            <w:r>
              <w:rPr>
                <w:rFonts w:ascii="Arial" w:cs="Arial" w:eastAsia="Arial" w:hAnsi="Arial"/>
                <w:sz w:val="18"/>
                <w:szCs w:val="18"/>
                <w:color w:val="auto"/>
                <w:w w:val="92"/>
              </w:rPr>
              <w:t>The instance document does not appear in the interactive data</w:t>
            </w:r>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1"/>
        </w:trPr>
        <w:tc>
          <w:tcPr>
            <w:tcW w:w="1060" w:type="dxa"/>
            <w:vAlign w:val="bottom"/>
          </w:tcPr>
          <w:p>
            <w:pPr>
              <w:spacing w:after="0"/>
              <w:rPr>
                <w:sz w:val="14"/>
                <w:szCs w:val="14"/>
                <w:color w:val="auto"/>
              </w:rPr>
            </w:pPr>
          </w:p>
        </w:tc>
        <w:tc>
          <w:tcPr>
            <w:tcW w:w="4620" w:type="dxa"/>
            <w:vAlign w:val="bottom"/>
            <w:gridSpan w:val="7"/>
          </w:tcPr>
          <w:p>
            <w:pPr>
              <w:spacing w:after="0" w:line="171" w:lineRule="exact"/>
              <w:rPr>
                <w:sz w:val="20"/>
                <w:szCs w:val="20"/>
                <w:color w:val="auto"/>
              </w:rPr>
            </w:pPr>
            <w:r>
              <w:rPr>
                <w:rFonts w:ascii="Arial" w:cs="Arial" w:eastAsia="Arial" w:hAnsi="Arial"/>
                <w:sz w:val="18"/>
                <w:szCs w:val="18"/>
                <w:color w:val="auto"/>
              </w:rPr>
              <w:t>file because its XBRL tags are embedded within the inline</w:t>
            </w:r>
          </w:p>
        </w:tc>
        <w:tc>
          <w:tcPr>
            <w:tcW w:w="14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22"/>
        </w:trPr>
        <w:tc>
          <w:tcPr>
            <w:tcW w:w="1060" w:type="dxa"/>
            <w:vAlign w:val="bottom"/>
          </w:tcPr>
          <w:p>
            <w:pPr>
              <w:spacing w:after="0"/>
              <w:rPr>
                <w:sz w:val="19"/>
                <w:szCs w:val="19"/>
                <w:color w:val="auto"/>
              </w:rPr>
            </w:pPr>
          </w:p>
        </w:tc>
        <w:tc>
          <w:tcPr>
            <w:tcW w:w="4620" w:type="dxa"/>
            <w:vAlign w:val="bottom"/>
            <w:gridSpan w:val="7"/>
          </w:tcPr>
          <w:p>
            <w:pPr>
              <w:spacing w:after="0"/>
              <w:rPr>
                <w:sz w:val="20"/>
                <w:szCs w:val="20"/>
                <w:color w:val="auto"/>
              </w:rPr>
            </w:pPr>
            <w:r>
              <w:rPr>
                <w:rFonts w:ascii="Arial" w:cs="Arial" w:eastAsia="Arial" w:hAnsi="Arial"/>
                <w:sz w:val="18"/>
                <w:szCs w:val="18"/>
                <w:color w:val="auto"/>
              </w:rPr>
              <w:t>XBRL document</w:t>
            </w:r>
          </w:p>
        </w:tc>
        <w:tc>
          <w:tcPr>
            <w:tcW w:w="14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87"/>
        </w:trPr>
        <w:tc>
          <w:tcPr>
            <w:tcW w:w="1060" w:type="dxa"/>
            <w:vAlign w:val="bottom"/>
          </w:tcPr>
          <w:p>
            <w:pPr>
              <w:ind w:left="20"/>
              <w:spacing w:after="0"/>
              <w:rPr>
                <w:sz w:val="20"/>
                <w:szCs w:val="20"/>
                <w:color w:val="auto"/>
              </w:rPr>
            </w:pPr>
            <w:r>
              <w:rPr>
                <w:rFonts w:ascii="Arial" w:cs="Arial" w:eastAsia="Arial" w:hAnsi="Arial"/>
                <w:sz w:val="18"/>
                <w:szCs w:val="18"/>
                <w:color w:val="auto"/>
              </w:rPr>
              <w:t>101.SCH</w:t>
            </w:r>
          </w:p>
        </w:tc>
        <w:tc>
          <w:tcPr>
            <w:tcW w:w="4620" w:type="dxa"/>
            <w:vAlign w:val="bottom"/>
            <w:gridSpan w:val="7"/>
          </w:tcPr>
          <w:p>
            <w:pPr>
              <w:spacing w:after="0"/>
              <w:rPr>
                <w:sz w:val="20"/>
                <w:szCs w:val="20"/>
                <w:color w:val="auto"/>
              </w:rPr>
            </w:pPr>
            <w:r>
              <w:rPr>
                <w:rFonts w:ascii="Arial" w:cs="Arial" w:eastAsia="Arial" w:hAnsi="Arial"/>
                <w:sz w:val="18"/>
                <w:szCs w:val="18"/>
                <w:color w:val="auto"/>
              </w:rPr>
              <w:t>XBRL Schema Document</w:t>
            </w:r>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87"/>
        </w:trPr>
        <w:tc>
          <w:tcPr>
            <w:tcW w:w="1060" w:type="dxa"/>
            <w:vAlign w:val="bottom"/>
          </w:tcPr>
          <w:p>
            <w:pPr>
              <w:ind w:left="20"/>
              <w:spacing w:after="0"/>
              <w:rPr>
                <w:sz w:val="20"/>
                <w:szCs w:val="20"/>
                <w:color w:val="auto"/>
              </w:rPr>
            </w:pPr>
            <w:r>
              <w:rPr>
                <w:rFonts w:ascii="Arial" w:cs="Arial" w:eastAsia="Arial" w:hAnsi="Arial"/>
                <w:sz w:val="18"/>
                <w:szCs w:val="18"/>
                <w:color w:val="auto"/>
              </w:rPr>
              <w:t>101.CAL</w:t>
            </w:r>
          </w:p>
        </w:tc>
        <w:tc>
          <w:tcPr>
            <w:tcW w:w="4620" w:type="dxa"/>
            <w:vAlign w:val="bottom"/>
            <w:gridSpan w:val="7"/>
          </w:tcPr>
          <w:p>
            <w:pPr>
              <w:spacing w:after="0"/>
              <w:rPr>
                <w:sz w:val="20"/>
                <w:szCs w:val="20"/>
                <w:color w:val="auto"/>
              </w:rPr>
            </w:pPr>
            <w:r>
              <w:rPr>
                <w:rFonts w:ascii="Arial" w:cs="Arial" w:eastAsia="Arial" w:hAnsi="Arial"/>
                <w:sz w:val="18"/>
                <w:szCs w:val="18"/>
                <w:color w:val="auto"/>
              </w:rPr>
              <w:t>XBRL Calculation Linkbase Documents</w:t>
            </w:r>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87"/>
        </w:trPr>
        <w:tc>
          <w:tcPr>
            <w:tcW w:w="1060" w:type="dxa"/>
            <w:vAlign w:val="bottom"/>
          </w:tcPr>
          <w:p>
            <w:pPr>
              <w:ind w:left="20"/>
              <w:spacing w:after="0"/>
              <w:rPr>
                <w:sz w:val="20"/>
                <w:szCs w:val="20"/>
                <w:color w:val="auto"/>
              </w:rPr>
            </w:pPr>
            <w:r>
              <w:rPr>
                <w:rFonts w:ascii="Arial" w:cs="Arial" w:eastAsia="Arial" w:hAnsi="Arial"/>
                <w:sz w:val="18"/>
                <w:szCs w:val="18"/>
                <w:color w:val="auto"/>
              </w:rPr>
              <w:t>101.DEF</w:t>
            </w:r>
          </w:p>
        </w:tc>
        <w:tc>
          <w:tcPr>
            <w:tcW w:w="4620" w:type="dxa"/>
            <w:vAlign w:val="bottom"/>
            <w:gridSpan w:val="7"/>
          </w:tcPr>
          <w:p>
            <w:pPr>
              <w:spacing w:after="0"/>
              <w:rPr>
                <w:sz w:val="20"/>
                <w:szCs w:val="20"/>
                <w:color w:val="auto"/>
              </w:rPr>
            </w:pPr>
            <w:r>
              <w:rPr>
                <w:rFonts w:ascii="Arial" w:cs="Arial" w:eastAsia="Arial" w:hAnsi="Arial"/>
                <w:sz w:val="18"/>
                <w:szCs w:val="18"/>
                <w:color w:val="auto"/>
                <w:w w:val="99"/>
              </w:rPr>
              <w:t>XBRL Taxonomy Extension Definition Linkbase Document</w:t>
            </w:r>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87"/>
        </w:trPr>
        <w:tc>
          <w:tcPr>
            <w:tcW w:w="1060" w:type="dxa"/>
            <w:vAlign w:val="bottom"/>
          </w:tcPr>
          <w:p>
            <w:pPr>
              <w:ind w:left="20"/>
              <w:spacing w:after="0"/>
              <w:rPr>
                <w:sz w:val="20"/>
                <w:szCs w:val="20"/>
                <w:color w:val="auto"/>
              </w:rPr>
            </w:pPr>
            <w:r>
              <w:rPr>
                <w:rFonts w:ascii="Arial" w:cs="Arial" w:eastAsia="Arial" w:hAnsi="Arial"/>
                <w:sz w:val="18"/>
                <w:szCs w:val="18"/>
                <w:color w:val="auto"/>
              </w:rPr>
              <w:t>101.LAB</w:t>
            </w:r>
          </w:p>
        </w:tc>
        <w:tc>
          <w:tcPr>
            <w:tcW w:w="4620" w:type="dxa"/>
            <w:vAlign w:val="bottom"/>
            <w:gridSpan w:val="7"/>
          </w:tcPr>
          <w:p>
            <w:pPr>
              <w:spacing w:after="0"/>
              <w:rPr>
                <w:sz w:val="20"/>
                <w:szCs w:val="20"/>
                <w:color w:val="auto"/>
              </w:rPr>
            </w:pPr>
            <w:r>
              <w:rPr>
                <w:rFonts w:ascii="Arial" w:cs="Arial" w:eastAsia="Arial" w:hAnsi="Arial"/>
                <w:sz w:val="18"/>
                <w:szCs w:val="18"/>
                <w:color w:val="auto"/>
              </w:rPr>
              <w:t>XBRL Labels Linkbase Documents</w:t>
            </w:r>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87"/>
        </w:trPr>
        <w:tc>
          <w:tcPr>
            <w:tcW w:w="1060" w:type="dxa"/>
            <w:vAlign w:val="bottom"/>
          </w:tcPr>
          <w:p>
            <w:pPr>
              <w:ind w:left="20"/>
              <w:spacing w:after="0"/>
              <w:rPr>
                <w:sz w:val="20"/>
                <w:szCs w:val="20"/>
                <w:color w:val="auto"/>
              </w:rPr>
            </w:pPr>
            <w:r>
              <w:rPr>
                <w:rFonts w:ascii="Arial" w:cs="Arial" w:eastAsia="Arial" w:hAnsi="Arial"/>
                <w:sz w:val="18"/>
                <w:szCs w:val="18"/>
                <w:color w:val="auto"/>
              </w:rPr>
              <w:t>101.PRE</w:t>
            </w:r>
          </w:p>
        </w:tc>
        <w:tc>
          <w:tcPr>
            <w:tcW w:w="4620" w:type="dxa"/>
            <w:vAlign w:val="bottom"/>
            <w:gridSpan w:val="7"/>
          </w:tcPr>
          <w:p>
            <w:pPr>
              <w:spacing w:after="0"/>
              <w:rPr>
                <w:sz w:val="20"/>
                <w:szCs w:val="20"/>
                <w:color w:val="auto"/>
              </w:rPr>
            </w:pPr>
            <w:r>
              <w:rPr>
                <w:rFonts w:ascii="Arial" w:cs="Arial" w:eastAsia="Arial" w:hAnsi="Arial"/>
                <w:sz w:val="18"/>
                <w:szCs w:val="18"/>
                <w:color w:val="auto"/>
              </w:rPr>
              <w:t>XBRL Presentation Linkbase Documents</w:t>
            </w:r>
          </w:p>
        </w:tc>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right="620"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 w:lineRule="exact"/>
        <w:rPr>
          <w:sz w:val="20"/>
          <w:szCs w:val="20"/>
          <w:color w:val="auto"/>
        </w:rPr>
      </w:pPr>
    </w:p>
    <w:tbl>
      <w:tblPr>
        <w:tblLayout w:type="fixed"/>
        <w:tblInd w:w="80" w:type="dxa"/>
        <w:tblCellMar>
          <w:top w:w="0" w:type="dxa"/>
          <w:left w:w="0" w:type="dxa"/>
          <w:bottom w:w="0" w:type="dxa"/>
          <w:right w:w="0" w:type="dxa"/>
        </w:tblCellMar>
      </w:tblPr>
      <w:tr>
        <w:trPr>
          <w:trHeight w:val="222"/>
        </w:trPr>
        <w:tc>
          <w:tcPr>
            <w:tcW w:w="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ANGIODYNAMICS, INC.</w:t>
            </w:r>
          </w:p>
        </w:tc>
      </w:tr>
      <w:tr>
        <w:trPr>
          <w:trHeight w:val="224"/>
        </w:trPr>
        <w:tc>
          <w:tcPr>
            <w:tcW w:w="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8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60"/>
              <w:spacing w:after="0"/>
              <w:rPr>
                <w:sz w:val="20"/>
                <w:szCs w:val="20"/>
                <w:color w:val="auto"/>
              </w:rPr>
            </w:pPr>
            <w:r>
              <w:rPr>
                <w:rFonts w:ascii="Arial" w:cs="Arial" w:eastAsia="Arial" w:hAnsi="Arial"/>
                <w:sz w:val="18"/>
                <w:szCs w:val="18"/>
                <w:color w:val="auto"/>
              </w:rPr>
              <w:t>January 7, 2022</w:t>
            </w:r>
          </w:p>
        </w:tc>
        <w:tc>
          <w:tcPr>
            <w:tcW w:w="8000" w:type="dxa"/>
            <w:vAlign w:val="bottom"/>
            <w:tcBorders>
              <w:bottom w:val="single" w:sz="8" w:color="auto"/>
            </w:tcBorders>
          </w:tcPr>
          <w:p>
            <w:pPr>
              <w:ind w:left="2820"/>
              <w:spacing w:after="0"/>
              <w:rPr>
                <w:sz w:val="20"/>
                <w:szCs w:val="20"/>
                <w:color w:val="auto"/>
              </w:rPr>
            </w:pPr>
            <w:r>
              <w:rPr>
                <w:rFonts w:ascii="Arial" w:cs="Arial" w:eastAsia="Arial" w:hAnsi="Arial"/>
                <w:sz w:val="18"/>
                <w:szCs w:val="18"/>
                <w:color w:val="auto"/>
              </w:rPr>
              <w:t>/ S /  JAMES C. CLEMMER</w:t>
            </w:r>
          </w:p>
        </w:tc>
      </w:tr>
      <w:tr>
        <w:trPr>
          <w:trHeight w:val="165"/>
        </w:trPr>
        <w:tc>
          <w:tcPr>
            <w:tcW w:w="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87"/>
              </w:rPr>
              <w:t>James C. Clemmer, President,</w:t>
            </w:r>
          </w:p>
        </w:tc>
      </w:tr>
      <w:tr>
        <w:trPr>
          <w:trHeight w:val="171"/>
        </w:trPr>
        <w:tc>
          <w:tcPr>
            <w:tcW w:w="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0" w:type="dxa"/>
            <w:vAlign w:val="bottom"/>
          </w:tcPr>
          <w:p>
            <w:pPr>
              <w:jc w:val="center"/>
              <w:spacing w:after="0" w:line="171" w:lineRule="exact"/>
              <w:rPr>
                <w:sz w:val="20"/>
                <w:szCs w:val="20"/>
                <w:color w:val="auto"/>
              </w:rPr>
            </w:pPr>
            <w:r>
              <w:rPr>
                <w:rFonts w:ascii="Arial" w:cs="Arial" w:eastAsia="Arial" w:hAnsi="Arial"/>
                <w:sz w:val="18"/>
                <w:szCs w:val="18"/>
                <w:b w:val="1"/>
                <w:bCs w:val="1"/>
                <w:color w:val="auto"/>
                <w:w w:val="89"/>
              </w:rPr>
              <w:t>Chief Executive Officer</w:t>
            </w:r>
          </w:p>
        </w:tc>
      </w:tr>
      <w:tr>
        <w:trPr>
          <w:trHeight w:val="228"/>
        </w:trPr>
        <w:tc>
          <w:tcPr>
            <w:tcW w:w="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000" w:type="dxa"/>
            <w:vAlign w:val="bottom"/>
          </w:tcPr>
          <w:p>
            <w:pPr>
              <w:jc w:val="center"/>
              <w:spacing w:after="0"/>
              <w:rPr>
                <w:sz w:val="20"/>
                <w:szCs w:val="20"/>
                <w:color w:val="auto"/>
              </w:rPr>
            </w:pPr>
            <w:r>
              <w:rPr>
                <w:rFonts w:ascii="Arial" w:cs="Arial" w:eastAsia="Arial" w:hAnsi="Arial"/>
                <w:sz w:val="18"/>
                <w:szCs w:val="18"/>
                <w:b w:val="1"/>
                <w:bCs w:val="1"/>
                <w:color w:val="auto"/>
                <w:w w:val="89"/>
              </w:rPr>
              <w:t>(Principal Executive Officer)</w:t>
            </w:r>
          </w:p>
        </w:tc>
      </w:tr>
      <w:tr>
        <w:trPr>
          <w:trHeight w:val="48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60"/>
              <w:spacing w:after="0"/>
              <w:rPr>
                <w:sz w:val="20"/>
                <w:szCs w:val="20"/>
                <w:color w:val="auto"/>
              </w:rPr>
            </w:pPr>
            <w:r>
              <w:rPr>
                <w:rFonts w:ascii="Arial" w:cs="Arial" w:eastAsia="Arial" w:hAnsi="Arial"/>
                <w:sz w:val="18"/>
                <w:szCs w:val="18"/>
                <w:color w:val="auto"/>
              </w:rPr>
              <w:t>January 7, 2022</w:t>
            </w:r>
          </w:p>
        </w:tc>
        <w:tc>
          <w:tcPr>
            <w:tcW w:w="8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 S /  STEPHEN A. TROWBRIDGE</w:t>
            </w:r>
          </w:p>
        </w:tc>
      </w:tr>
      <w:tr>
        <w:trPr>
          <w:trHeight w:val="165"/>
        </w:trPr>
        <w:tc>
          <w:tcPr>
            <w:tcW w:w="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87"/>
              </w:rPr>
              <w:t>Stephen A. Trowbridge, Executive Vice President,</w:t>
            </w:r>
          </w:p>
        </w:tc>
      </w:tr>
      <w:tr>
        <w:trPr>
          <w:trHeight w:val="171"/>
        </w:trPr>
        <w:tc>
          <w:tcPr>
            <w:tcW w:w="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0" w:type="dxa"/>
            <w:vAlign w:val="bottom"/>
          </w:tcPr>
          <w:p>
            <w:pPr>
              <w:jc w:val="center"/>
              <w:spacing w:after="0" w:line="171" w:lineRule="exact"/>
              <w:rPr>
                <w:sz w:val="20"/>
                <w:szCs w:val="20"/>
                <w:color w:val="auto"/>
              </w:rPr>
            </w:pPr>
            <w:r>
              <w:rPr>
                <w:rFonts w:ascii="Arial" w:cs="Arial" w:eastAsia="Arial" w:hAnsi="Arial"/>
                <w:sz w:val="18"/>
                <w:szCs w:val="18"/>
                <w:b w:val="1"/>
                <w:bCs w:val="1"/>
                <w:color w:val="auto"/>
                <w:w w:val="91"/>
              </w:rPr>
              <w:t>Chief Financial Officer</w:t>
            </w:r>
          </w:p>
        </w:tc>
      </w:tr>
      <w:tr>
        <w:trPr>
          <w:trHeight w:val="228"/>
        </w:trPr>
        <w:tc>
          <w:tcPr>
            <w:tcW w:w="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000" w:type="dxa"/>
            <w:vAlign w:val="bottom"/>
          </w:tcPr>
          <w:p>
            <w:pPr>
              <w:jc w:val="center"/>
              <w:spacing w:after="0"/>
              <w:rPr>
                <w:sz w:val="20"/>
                <w:szCs w:val="20"/>
                <w:color w:val="auto"/>
              </w:rPr>
            </w:pPr>
            <w:r>
              <w:rPr>
                <w:rFonts w:ascii="Arial" w:cs="Arial" w:eastAsia="Arial" w:hAnsi="Arial"/>
                <w:sz w:val="18"/>
                <w:szCs w:val="18"/>
                <w:b w:val="1"/>
                <w:bCs w:val="1"/>
                <w:color w:val="auto"/>
                <w:w w:val="89"/>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121" w:right="4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43" w:lineRule="exact"/>
        <w:rPr>
          <w:sz w:val="20"/>
          <w:szCs w:val="20"/>
          <w:color w:val="auto"/>
        </w:rPr>
      </w:pPr>
    </w:p>
    <w:p>
      <w:pPr>
        <w:ind w:left="520" w:hanging="478"/>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16" w:lineRule="exact"/>
        <w:rPr>
          <w:rFonts w:ascii="Arial" w:cs="Arial" w:eastAsia="Arial" w:hAnsi="Arial"/>
          <w:sz w:val="18"/>
          <w:szCs w:val="18"/>
          <w:color w:val="auto"/>
        </w:rPr>
      </w:pPr>
    </w:p>
    <w:p>
      <w:pPr>
        <w:jc w:val="both"/>
        <w:ind w:left="520" w:right="500" w:hanging="478"/>
        <w:spacing w:after="0" w:line="218"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520" w:right="480" w:hanging="478"/>
        <w:spacing w:after="0" w:line="257" w:lineRule="auto"/>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100" w:hanging="478"/>
        <w:spacing w:after="0" w:line="218"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sz w:val="20"/>
          <w:szCs w:val="20"/>
          <w:color w:val="auto"/>
        </w:rPr>
      </w:pPr>
    </w:p>
    <w:p>
      <w:pPr>
        <w:ind w:left="520" w:right="80" w:hanging="478"/>
        <w:spacing w:after="0" w:line="218"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20" w:right="60" w:hanging="478"/>
        <w:spacing w:after="0" w:line="218"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20" w:right="120" w:hanging="478"/>
        <w:spacing w:after="0" w:line="257"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180" w:hanging="478"/>
        <w:spacing w:after="0" w:line="218"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sz w:val="20"/>
          <w:szCs w:val="20"/>
          <w:color w:val="auto"/>
        </w:rPr>
      </w:pPr>
    </w:p>
    <w:p>
      <w:pPr>
        <w:ind w:left="520" w:right="420" w:hanging="478"/>
        <w:spacing w:after="0" w:line="257"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20" w:right="40" w:hanging="478"/>
        <w:spacing w:after="0" w:line="228"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20" w:right="280" w:hanging="478"/>
        <w:spacing w:after="0" w:line="228"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Date: January 7, 2022</w:t>
      </w:r>
    </w:p>
    <w:p>
      <w:pPr>
        <w:spacing w:after="0" w:line="240" w:lineRule="exact"/>
        <w:rPr>
          <w:sz w:val="20"/>
          <w:szCs w:val="20"/>
          <w:color w:val="auto"/>
        </w:rPr>
      </w:pPr>
    </w:p>
    <w:p>
      <w:pPr>
        <w:ind w:right="9120" w:firstLine="5"/>
        <w:spacing w:after="0" w:line="327" w:lineRule="auto"/>
        <w:tabs>
          <w:tab w:leader="none" w:pos="93" w:val="left"/>
        </w:tabs>
        <w:numPr>
          <w:ilvl w:val="0"/>
          <w:numId w:val="33"/>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 xml:space="preserve">S / JAMES C. CLEMMER </w:t>
      </w:r>
      <w:r>
        <w:rPr>
          <w:rFonts w:ascii="Arial" w:cs="Arial" w:eastAsia="Arial" w:hAnsi="Arial"/>
          <w:sz w:val="15"/>
          <w:szCs w:val="15"/>
          <w:color w:val="auto"/>
        </w:rPr>
        <w:t>James C. Clemmer, President, Chief Executive Officer</w:t>
      </w:r>
    </w:p>
    <w:p>
      <w:pPr>
        <w:sectPr>
          <w:pgSz w:w="11900" w:h="16838" w:orient="portrait"/>
          <w:cols w:equalWidth="0" w:num="1">
            <w:col w:w="11240"/>
          </w:cols>
          <w:pgMar w:left="320" w:top="87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Stephen A. Trowbridge, certify that:</w:t>
      </w:r>
    </w:p>
    <w:p>
      <w:pPr>
        <w:spacing w:after="0" w:line="43" w:lineRule="exact"/>
        <w:rPr>
          <w:sz w:val="20"/>
          <w:szCs w:val="20"/>
          <w:color w:val="auto"/>
        </w:rPr>
      </w:pPr>
    </w:p>
    <w:p>
      <w:pPr>
        <w:ind w:left="500" w:hanging="477"/>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16" w:lineRule="exact"/>
        <w:rPr>
          <w:rFonts w:ascii="Arial" w:cs="Arial" w:eastAsia="Arial" w:hAnsi="Arial"/>
          <w:sz w:val="18"/>
          <w:szCs w:val="18"/>
          <w:color w:val="auto"/>
        </w:rPr>
      </w:pPr>
    </w:p>
    <w:p>
      <w:pPr>
        <w:jc w:val="both"/>
        <w:ind w:left="500" w:right="520" w:hanging="477"/>
        <w:spacing w:after="0" w:line="218"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500" w:right="500" w:hanging="477"/>
        <w:spacing w:after="0" w:line="257"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120" w:hanging="477"/>
        <w:spacing w:after="0" w:line="218"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sz w:val="20"/>
          <w:szCs w:val="20"/>
          <w:color w:val="auto"/>
        </w:rPr>
      </w:pPr>
    </w:p>
    <w:p>
      <w:pPr>
        <w:ind w:left="500" w:right="100" w:hanging="477"/>
        <w:spacing w:after="0" w:line="218"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00" w:right="80" w:hanging="477"/>
        <w:spacing w:after="0" w:line="218"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00" w:right="140" w:hanging="477"/>
        <w:spacing w:after="0" w:line="257"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00" w:right="200" w:hanging="477"/>
        <w:spacing w:after="0" w:line="218"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sz w:val="20"/>
          <w:szCs w:val="20"/>
          <w:color w:val="auto"/>
        </w:rPr>
      </w:pPr>
    </w:p>
    <w:p>
      <w:pPr>
        <w:ind w:left="500" w:right="440" w:hanging="477"/>
        <w:spacing w:after="0" w:line="257"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60" w:hanging="477"/>
        <w:spacing w:after="0" w:line="228"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00" w:right="300" w:hanging="477"/>
        <w:spacing w:after="0" w:line="228"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Date: January 7, 2022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S / STEPHEN A. TROWBRIDGE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Stephen A. Trowbridge, Executive Vice President,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7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46" w:lineRule="exact"/>
        <w:rPr>
          <w:sz w:val="20"/>
          <w:szCs w:val="20"/>
          <w:color w:val="auto"/>
        </w:rPr>
      </w:pPr>
    </w:p>
    <w:p>
      <w:pPr>
        <w:jc w:val="center"/>
        <w:ind w:left="340" w:right="2640"/>
        <w:spacing w:after="0" w:line="299" w:lineRule="auto"/>
        <w:rPr>
          <w:sz w:val="20"/>
          <w:szCs w:val="20"/>
          <w:color w:val="auto"/>
        </w:rPr>
      </w:pPr>
      <w:r>
        <w:rPr>
          <w:rFonts w:ascii="Arial" w:cs="Arial" w:eastAsia="Arial" w:hAnsi="Arial"/>
          <w:sz w:val="16"/>
          <w:szCs w:val="16"/>
          <w:color w:val="auto"/>
        </w:rPr>
        <w:t>CERTIFICATION OF CHIEF EXECUTIVE OFFICER PURSUANT TO TITLE 18, UNITED STATES CODE, SECTION 1350, AS ADOPTED PURSUANT TO SECTION 906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James C. Clemmer, President, Chief Executive Officer and Director of ANGIODYNAMICS, Inc. (the "Company"), certify, pursuant to Section 906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268" w:lineRule="exact"/>
        <w:rPr>
          <w:sz w:val="20"/>
          <w:szCs w:val="20"/>
          <w:color w:val="auto"/>
        </w:rPr>
      </w:pPr>
    </w:p>
    <w:p>
      <w:pPr>
        <w:ind w:left="520" w:right="100" w:hanging="478"/>
        <w:spacing w:after="0" w:line="228"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November 30, 2021 (the "Report") fully complies with the requirements of Section 13(a) or 15(d) of the Securities Exchange Act of 1934 (15 U.S.C. 78m or 78o(d)); and</w:t>
      </w:r>
    </w:p>
    <w:p>
      <w:pPr>
        <w:spacing w:after="0" w:line="1" w:lineRule="exact"/>
        <w:rPr>
          <w:rFonts w:ascii="Arial" w:cs="Arial" w:eastAsia="Arial" w:hAnsi="Arial"/>
          <w:sz w:val="18"/>
          <w:szCs w:val="18"/>
          <w:color w:val="auto"/>
        </w:rPr>
      </w:pPr>
    </w:p>
    <w:p>
      <w:pPr>
        <w:ind w:left="520" w:hanging="478"/>
        <w:spacing w:after="0"/>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 January 7, 2022</w:t>
      </w:r>
    </w:p>
    <w:p>
      <w:pPr>
        <w:spacing w:after="0" w:line="28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10160</wp:posOffset>
            </wp:positionV>
            <wp:extent cx="35509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0920" cy="8255"/>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8"/>
          <w:szCs w:val="18"/>
          <w:color w:val="auto"/>
        </w:rPr>
        <w:t>James C. Clemmer, President,</w:t>
      </w:r>
    </w:p>
    <w:p>
      <w:pPr>
        <w:ind w:left="1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7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46" w:lineRule="exact"/>
        <w:rPr>
          <w:sz w:val="20"/>
          <w:szCs w:val="20"/>
          <w:color w:val="auto"/>
        </w:rPr>
      </w:pPr>
    </w:p>
    <w:p>
      <w:pPr>
        <w:jc w:val="center"/>
        <w:ind w:left="340" w:right="2660"/>
        <w:spacing w:after="0" w:line="299" w:lineRule="auto"/>
        <w:rPr>
          <w:sz w:val="20"/>
          <w:szCs w:val="20"/>
          <w:color w:val="auto"/>
        </w:rPr>
      </w:pPr>
      <w:r>
        <w:rPr>
          <w:rFonts w:ascii="Arial" w:cs="Arial" w:eastAsia="Arial" w:hAnsi="Arial"/>
          <w:sz w:val="16"/>
          <w:szCs w:val="16"/>
          <w:color w:val="auto"/>
        </w:rPr>
        <w:t>CERTIFICATION OF CHIEF FINANCIAL OFFICER PURSUANT TO TITLE 18, UNITED STATES CODE, SECTION 1350, AS ADOPTED PURSUANT TO SECTION 906 OF THE SARBANES-OXLEY ACT OF 2002</w:t>
      </w:r>
    </w:p>
    <w:p>
      <w:pPr>
        <w:spacing w:after="0" w:line="18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 Stephen A. Trowbridge, Executive Vice President and Chief Financial Officer of ANGIODYNAMICS, Inc. (the "Company"), certify, pursuant to Section 906 of the Sarbanes-Oxley Act of 2002, 18 U.S.C. Section 1350, that, to the best of my knowledge:</w:t>
      </w:r>
    </w:p>
    <w:p>
      <w:pPr>
        <w:spacing w:after="0" w:line="247" w:lineRule="exact"/>
        <w:rPr>
          <w:sz w:val="20"/>
          <w:szCs w:val="20"/>
          <w:color w:val="auto"/>
        </w:rPr>
      </w:pPr>
    </w:p>
    <w:p>
      <w:pPr>
        <w:ind w:left="520" w:right="100" w:hanging="478"/>
        <w:spacing w:after="0" w:line="228"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November 30, 2021 (the "Report") fully complies with the requirements of Section 13(a) or 15(d) of the Securities Exchange Act of 1934 (15 U.S.C. 78m or 78o(d)); and</w:t>
      </w:r>
    </w:p>
    <w:p>
      <w:pPr>
        <w:spacing w:after="0" w:line="1" w:lineRule="exact"/>
        <w:rPr>
          <w:rFonts w:ascii="Arial" w:cs="Arial" w:eastAsia="Arial" w:hAnsi="Arial"/>
          <w:sz w:val="18"/>
          <w:szCs w:val="18"/>
          <w:color w:val="auto"/>
        </w:rPr>
      </w:pPr>
    </w:p>
    <w:p>
      <w:pPr>
        <w:ind w:left="520" w:hanging="478"/>
        <w:spacing w:after="0"/>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 January 7, 2022</w:t>
      </w:r>
    </w:p>
    <w:p>
      <w:pPr>
        <w:spacing w:after="0" w:line="28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10160</wp:posOffset>
            </wp:positionV>
            <wp:extent cx="35509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0920" cy="8255"/>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8"/>
          <w:szCs w:val="18"/>
          <w:color w:val="auto"/>
        </w:rPr>
        <w:t>Stephen A. Trowbridge, Executive Vice President,</w:t>
      </w:r>
    </w:p>
    <w:p>
      <w:pPr>
        <w:ind w:left="20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3"/>
    </w:lvl>
  </w:abstractNum>
  <w:abstractNum w:abstractNumId="3">
    <w:nsid w:val="333AB105"/>
    <w:multiLevelType w:val="hybridMultilevel"/>
    <w:lvl w:ilvl="0">
      <w:lvlJc w:val="left"/>
      <w:lvlText w:val="*"/>
      <w:numFmt w:val="bullet"/>
      <w:start w:val="1"/>
    </w:lvl>
    <w:lvl w:ilvl="1">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4"/>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7"/>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decimal"/>
      <w:start w:val="5"/>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2022-01-07T11:30:31Z</dcterms:created>
  <dcterms:modified xsi:type="dcterms:W3CDTF">2022-01-07T11:30:31Z</dcterms:modified>
</cp:coreProperties>
</file>