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3274x1_def14a_100-regcov_pg1"/>
        <w:bookmarkStart w:id="1" w:name="ny20083274x1_def14a.htm"/>
        <w:bookmarkStart w:id="2" w:name="ksny20083274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Washington, D.C. 20549</w:t>
      </w:r>
    </w:p>
    <w:p>
      <w:pPr>
        <w:pStyle w:val="TextBody"/>
        <w:bidi w:val="0"/>
        <w:spacing w:before="2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1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of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Securities Exchange Act of 1934 </w:t>
      </w:r>
    </w:p>
    <w:tbl>
      <w:tblPr>
        <w:tblW w:w="6230" w:type="dxa"/>
        <w:jc w:val="left"/>
        <w:tblInd w:w="0" w:type="dxa"/>
        <w:tblLayout w:type="fixed"/>
        <w:tblCellMar>
          <w:top w:w="0" w:type="dxa"/>
          <w:left w:w="0" w:type="dxa"/>
          <w:bottom w:w="0" w:type="dxa"/>
          <w:right w:w="0" w:type="dxa"/>
        </w:tblCellMar>
      </w:tblPr>
      <w:tblGrid>
        <w:gridCol w:w="2195"/>
        <w:gridCol w:w="170"/>
        <w:gridCol w:w="170"/>
        <w:gridCol w:w="3695"/>
      </w:tblGrid>
      <w:tr>
        <w:trPr/>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0"/>
              <w:jc w:val="left"/>
              <w:rPr/>
            </w:pPr>
            <w:r>
              <w:rPr/>
              <w:t> </w:t>
            </w:r>
          </w:p>
        </w:tc>
      </w:tr>
      <w:tr>
        <w:trPr/>
        <w:tc>
          <w:tcPr>
            <w:tcW w:w="2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tc>
      </w:tr>
      <w:tr>
        <w:trPr/>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55" w:type="dxa"/>
        <w:jc w:val="left"/>
        <w:tblInd w:w="0" w:type="dxa"/>
        <w:tblLayout w:type="fixed"/>
        <w:tblCellMar>
          <w:top w:w="0" w:type="dxa"/>
          <w:left w:w="0" w:type="dxa"/>
          <w:bottom w:w="0" w:type="dxa"/>
          <w:right w:w="0" w:type="dxa"/>
        </w:tblCellMar>
      </w:tblPr>
      <w:tblGrid>
        <w:gridCol w:w="305"/>
        <w:gridCol w:w="2450"/>
      </w:tblGrid>
      <w:tr>
        <w:trPr/>
        <w:tc>
          <w:tcPr>
            <w:tcW w:w="305" w:type="dxa"/>
            <w:tcBorders/>
            <w:vAlign w:val="center"/>
          </w:tcPr>
          <w:p>
            <w:pPr>
              <w:pStyle w:val="TableContents"/>
              <w:bidi w:val="0"/>
              <w:spacing w:before="0" w:after="0"/>
              <w:jc w:val="left"/>
              <w:rPr>
                <w:color w:val="000000"/>
              </w:rPr>
            </w:pPr>
            <w:r>
              <w:rPr>
                <w:color w:val="000000"/>
              </w:rPr>
              <w:t> ☐</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0"/>
              <w:jc w:val="left"/>
              <w:rPr>
                <w:color w:val="000000"/>
              </w:rPr>
            </w:pPr>
            <w:r>
              <w:rPr>
                <w:color w:val="000000"/>
              </w:rPr>
              <w:t> ☐</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4015" w:type="dxa"/>
        <w:jc w:val="left"/>
        <w:tblInd w:w="0" w:type="dxa"/>
        <w:tblLayout w:type="fixed"/>
        <w:tblCellMar>
          <w:top w:w="0" w:type="dxa"/>
          <w:left w:w="0" w:type="dxa"/>
          <w:bottom w:w="0" w:type="dxa"/>
          <w:right w:w="0" w:type="dxa"/>
        </w:tblCellMar>
      </w:tblPr>
      <w:tblGrid>
        <w:gridCol w:w="305"/>
        <w:gridCol w:w="3710"/>
      </w:tblGrid>
      <w:tr>
        <w:trPr/>
        <w:tc>
          <w:tcPr>
            <w:tcW w:w="305" w:type="dxa"/>
            <w:tcBorders/>
            <w:vAlign w:val="center"/>
          </w:tcPr>
          <w:p>
            <w:pPr>
              <w:pStyle w:val="TableContents"/>
              <w:bidi w:val="0"/>
              <w:spacing w:before="0" w:after="0"/>
              <w:jc w:val="left"/>
              <w:rPr>
                <w:color w:val="000000"/>
              </w:rPr>
            </w:pPr>
            <w:r>
              <w:rPr>
                <w:color w:val="000000"/>
              </w:rPr>
              <w:t> ☐</w:t>
            </w:r>
          </w:p>
        </w:tc>
        <w:tc>
          <w:tcPr>
            <w:tcW w:w="3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Pursuant to §240.14a-12 </w:t>
            </w:r>
          </w:p>
        </w:tc>
      </w:tr>
    </w:tbl>
    <w:p>
      <w:pPr>
        <w:pStyle w:val="TextBody"/>
        <w:bidi w:val="0"/>
        <w:spacing w:before="120" w:after="283"/>
        <w:jc w:val="center"/>
        <w:rPr>
          <w:rFonts w:ascii="Times New Roman;Times;serif" w:hAnsi="Times New Roman;Times;serif"/>
          <w:b/>
          <w:color w:val="000000"/>
          <w:sz w:val="40"/>
        </w:rPr>
      </w:pPr>
      <w:r>
        <w:rPr>
          <w:rFonts w:ascii="Times New Roman;Times;serif" w:hAnsi="Times New Roman;Times;serif"/>
          <w:b/>
          <w:color w:val="000000"/>
          <w:sz w:val="40"/>
        </w:rPr>
        <w:t xml:space="preserve">AngioDynamics,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p>
      <w:pPr>
        <w:pStyle w:val="TextBody"/>
        <w:bidi w:val="0"/>
        <w:spacing w:before="255" w:after="283"/>
        <w:jc w:val="center"/>
        <w:rPr>
          <w:color w:val="000000"/>
        </w:rPr>
      </w:pPr>
      <w:r>
        <w:rPr>
          <w:color w:val="000000"/>
        </w:rPr>
        <w:drawing>
          <wp:inline distT="0" distB="0" distL="0" distR="0">
            <wp:extent cx="26955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95575" cy="419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8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the appropriate box): </w:t>
      </w:r>
    </w:p>
    <w:tbl>
      <w:tblPr>
        <w:tblW w:w="10205" w:type="dxa"/>
        <w:jc w:val="left"/>
        <w:tblInd w:w="0" w:type="dxa"/>
        <w:tblLayout w:type="fixed"/>
        <w:tblCellMar>
          <w:top w:w="0" w:type="dxa"/>
          <w:left w:w="0" w:type="dxa"/>
          <w:bottom w:w="0" w:type="dxa"/>
          <w:right w:w="0" w:type="dxa"/>
        </w:tblCellMar>
      </w:tblPr>
      <w:tblGrid>
        <w:gridCol w:w="292"/>
        <w:gridCol w:w="170"/>
        <w:gridCol w:w="170"/>
        <w:gridCol w:w="274"/>
        <w:gridCol w:w="191"/>
        <w:gridCol w:w="191"/>
        <w:gridCol w:w="8917"/>
      </w:tblGrid>
      <w:tr>
        <w:trPr/>
        <w:tc>
          <w:tcPr>
            <w:tcW w:w="29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73" w:type="dxa"/>
            <w:gridSpan w:val="4"/>
            <w:tcBorders/>
            <w:vAlign w:val="center"/>
          </w:tcPr>
          <w:p>
            <w:pPr>
              <w:pStyle w:val="TableContents"/>
              <w:bidi w:val="0"/>
              <w:spacing w:before="0" w:after="0"/>
              <w:jc w:val="left"/>
              <w:rPr/>
            </w:pPr>
            <w:r>
              <w:rPr/>
              <w:t> </w:t>
            </w:r>
          </w:p>
        </w:tc>
      </w:tr>
      <w:tr>
        <w:trPr/>
        <w:tc>
          <w:tcPr>
            <w:tcW w:w="292"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7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r>
        <w:trPr/>
        <w:tc>
          <w:tcPr>
            <w:tcW w:w="29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0"/>
              <w:jc w:val="left"/>
              <w:rPr>
                <w:color w:val="000000"/>
              </w:rPr>
            </w:pPr>
            <w:r>
              <w:rPr>
                <w:color w:val="000000"/>
              </w:rPr>
              <w:t> </w:t>
            </w:r>
          </w:p>
        </w:tc>
        <w:tc>
          <w:tcPr>
            <w:tcW w:w="191" w:type="dxa"/>
            <w:tcBorders/>
            <w:vAlign w:val="center"/>
          </w:tcPr>
          <w:p>
            <w:pPr>
              <w:pStyle w:val="TableContents"/>
              <w:bidi w:val="0"/>
              <w:spacing w:before="0" w:after="0"/>
              <w:jc w:val="left"/>
              <w:rPr/>
            </w:pPr>
            <w:r>
              <w:rPr/>
              <w:t> </w:t>
            </w:r>
          </w:p>
        </w:tc>
        <w:tc>
          <w:tcPr>
            <w:tcW w:w="9108" w:type="dxa"/>
            <w:gridSpan w:val="2"/>
            <w:tcBorders/>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7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below per Exchange Act Rules 14a-6(i)(1) and 0-11 </w:t>
            </w:r>
          </w:p>
        </w:tc>
      </w:tr>
      <w:tr>
        <w:trPr/>
        <w:tc>
          <w:tcPr>
            <w:tcW w:w="29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of each class of securities to which transaction applies: </w:t>
            </w:r>
          </w:p>
        </w:tc>
      </w:tr>
      <w:tr>
        <w:trPr/>
        <w:tc>
          <w:tcPr>
            <w:tcW w:w="29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0"/>
              <w:jc w:val="left"/>
              <w:rPr>
                <w:color w:val="000000"/>
              </w:rPr>
            </w:pPr>
            <w:r>
              <w:rPr>
                <w:color w:val="000000"/>
              </w:rPr>
              <w:t> </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917"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29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Aggregate number of securities to which transaction applies: </w:t>
            </w:r>
          </w:p>
        </w:tc>
      </w:tr>
      <w:tr>
        <w:trPr/>
        <w:tc>
          <w:tcPr>
            <w:tcW w:w="29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0"/>
              <w:jc w:val="left"/>
              <w:rPr>
                <w:color w:val="000000"/>
              </w:rPr>
            </w:pPr>
            <w:r>
              <w:rPr>
                <w:color w:val="000000"/>
              </w:rPr>
              <w:t> </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917"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29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Per unit price or other underlying value of transaction computed pursuant to Exchange Act Rule 0-11 (set forth the amount on which the filing fee is calculated and state how it was determined): </w:t>
            </w:r>
          </w:p>
        </w:tc>
      </w:tr>
      <w:tr>
        <w:trPr/>
        <w:tc>
          <w:tcPr>
            <w:tcW w:w="29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0"/>
              <w:jc w:val="left"/>
              <w:rPr>
                <w:color w:val="000000"/>
              </w:rPr>
            </w:pPr>
            <w:r>
              <w:rPr>
                <w:color w:val="000000"/>
              </w:rPr>
              <w:t> </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917"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29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Proposed maximum aggregate value of transaction: </w:t>
            </w:r>
          </w:p>
        </w:tc>
      </w:tr>
      <w:tr>
        <w:trPr/>
        <w:tc>
          <w:tcPr>
            <w:tcW w:w="29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0"/>
              <w:jc w:val="left"/>
              <w:rPr>
                <w:color w:val="000000"/>
              </w:rPr>
            </w:pPr>
            <w:r>
              <w:rPr>
                <w:color w:val="000000"/>
              </w:rPr>
              <w:t> </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917"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29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fee paid: </w:t>
            </w:r>
          </w:p>
        </w:tc>
      </w:tr>
      <w:tr>
        <w:trPr/>
        <w:tc>
          <w:tcPr>
            <w:tcW w:w="29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0"/>
              <w:jc w:val="left"/>
              <w:rPr>
                <w:color w:val="000000"/>
              </w:rPr>
            </w:pPr>
            <w:r>
              <w:rPr>
                <w:color w:val="000000"/>
              </w:rPr>
              <w:t> </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917"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292"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7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r>
        <w:trPr/>
        <w:tc>
          <w:tcPr>
            <w:tcW w:w="29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0"/>
              <w:jc w:val="left"/>
              <w:rPr>
                <w:color w:val="000000"/>
              </w:rPr>
            </w:pPr>
            <w:r>
              <w:rPr>
                <w:color w:val="000000"/>
              </w:rPr>
              <w:t> </w:t>
            </w:r>
          </w:p>
        </w:tc>
        <w:tc>
          <w:tcPr>
            <w:tcW w:w="191" w:type="dxa"/>
            <w:tcBorders/>
            <w:vAlign w:val="center"/>
          </w:tcPr>
          <w:p>
            <w:pPr>
              <w:pStyle w:val="TableContents"/>
              <w:bidi w:val="0"/>
              <w:spacing w:before="0" w:after="0"/>
              <w:jc w:val="left"/>
              <w:rPr/>
            </w:pPr>
            <w:r>
              <w:rPr/>
              <w:t> </w:t>
            </w:r>
          </w:p>
        </w:tc>
        <w:tc>
          <w:tcPr>
            <w:tcW w:w="9108" w:type="dxa"/>
            <w:gridSpan w:val="2"/>
            <w:tcBorders/>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7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box if any part of the fee is offset as provided by Exchange Act Rule 0-11(a)(2) and identify the filing for which the offsetting fee was paid previously. Identify the previous filing by registration statement number, or the Form or Schedule and the date of its filing. </w:t>
            </w:r>
          </w:p>
        </w:tc>
      </w:tr>
      <w:tr>
        <w:trPr/>
        <w:tc>
          <w:tcPr>
            <w:tcW w:w="29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Amount Previously paid: </w:t>
            </w:r>
          </w:p>
        </w:tc>
      </w:tr>
      <w:tr>
        <w:trPr/>
        <w:tc>
          <w:tcPr>
            <w:tcW w:w="29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0"/>
              <w:jc w:val="left"/>
              <w:rPr>
                <w:color w:val="000000"/>
              </w:rPr>
            </w:pPr>
            <w:r>
              <w:rPr>
                <w:color w:val="000000"/>
              </w:rPr>
              <w:t> </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917"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29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Schedule or Registration Statement No.: </w:t>
            </w:r>
          </w:p>
        </w:tc>
      </w:tr>
      <w:tr>
        <w:trPr/>
        <w:tc>
          <w:tcPr>
            <w:tcW w:w="29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0"/>
              <w:jc w:val="left"/>
              <w:rPr>
                <w:color w:val="000000"/>
              </w:rPr>
            </w:pPr>
            <w:r>
              <w:rPr>
                <w:color w:val="000000"/>
              </w:rPr>
              <w:t> </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917"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29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Filing Party: </w:t>
            </w:r>
          </w:p>
        </w:tc>
      </w:tr>
      <w:tr>
        <w:trPr/>
        <w:tc>
          <w:tcPr>
            <w:tcW w:w="29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0"/>
              <w:jc w:val="left"/>
              <w:rPr>
                <w:color w:val="000000"/>
              </w:rPr>
            </w:pPr>
            <w:r>
              <w:rPr>
                <w:color w:val="000000"/>
              </w:rPr>
              <w:t> </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917"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29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9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 Filed:</w:t>
            </w:r>
          </w:p>
        </w:tc>
      </w:tr>
      <w:tr>
        <w:trPr/>
        <w:tc>
          <w:tcPr>
            <w:tcW w:w="29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0"/>
              <w:jc w:val="left"/>
              <w:rPr>
                <w:color w:val="000000"/>
              </w:rPr>
            </w:pPr>
            <w:r>
              <w:rPr>
                <w:color w:val="000000"/>
              </w:rPr>
              <w:t> </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917" w:type="dxa"/>
            <w:tcBorders/>
            <w:vAlign w:val="center"/>
          </w:tcPr>
          <w:p>
            <w:pPr>
              <w:pStyle w:val="TableContents"/>
              <w:bidi w:val="0"/>
              <w:spacing w:before="0" w:after="0"/>
              <w:jc w:val="left"/>
              <w:rPr>
                <w:color w:val="000000"/>
              </w:rPr>
            </w:pPr>
            <w:r>
              <w:rPr>
                <w:color w:val="000000"/>
              </w:rPr>
              <w:t> </w:t>
            </w:r>
          </w:p>
        </w:tc>
      </w:tr>
      <w:tr>
        <w:trPr/>
        <w:tc>
          <w:tcPr>
            <w:tcW w:w="29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4"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191" w:type="dxa"/>
            <w:tcBorders/>
            <w:vAlign w:val="center"/>
          </w:tcPr>
          <w:p>
            <w:pPr>
              <w:pStyle w:val="TableContents"/>
              <w:bidi w:val="0"/>
              <w:spacing w:before="0" w:after="0"/>
              <w:jc w:val="left"/>
              <w:rPr/>
            </w:pPr>
            <w:r>
              <w:rPr/>
              <w:t> </w:t>
            </w:r>
          </w:p>
        </w:tc>
        <w:tc>
          <w:tcPr>
            <w:tcW w:w="891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 w:name="ny20083274x1_def14a_101-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695575"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95575" cy="419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14 Plaza Drive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Latham, New York 12110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(518) 798-1215 </w:t>
      </w:r>
    </w:p>
    <w:p>
      <w:pPr>
        <w:pStyle w:val="TextBody"/>
        <w:bidi w:val="0"/>
        <w:spacing w:before="140" w:after="283"/>
        <w:jc w:val="right"/>
        <w:rPr>
          <w:rFonts w:ascii="Times New Roman;Times;serif" w:hAnsi="Times New Roman;Times;serif"/>
          <w:color w:val="000000"/>
          <w:sz w:val="20"/>
        </w:rPr>
      </w:pPr>
      <w:r>
        <w:rPr>
          <w:rFonts w:ascii="Times New Roman;Times;serif" w:hAnsi="Times New Roman;Times;serif"/>
          <w:color w:val="000000"/>
          <w:sz w:val="20"/>
        </w:rPr>
        <w:t xml:space="preserve">October 8,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Shareholder: </w:t>
      </w:r>
    </w:p>
    <w:p>
      <w:pPr>
        <w:pStyle w:val="TextBody"/>
        <w:bidi w:val="0"/>
        <w:spacing w:lineRule="atLeast" w:line="22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the Annual Meeting of Shareholders of AngioDynamics, Inc. to be held on Tuesday, November 17, 2026 at 12:00 p.m., Eastern Time. The Annual Meeting will be held virtually via live webcast at www.virtualshareholdermeeting.com/ANGO2026. There will be no physical in-person meeting.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this year’s Annual Meeting you will be asked to: </w:t>
      </w:r>
    </w:p>
    <w:tbl>
      <w:tblPr>
        <w:tblW w:w="7960" w:type="dxa"/>
        <w:jc w:val="left"/>
        <w:tblInd w:w="0" w:type="dxa"/>
        <w:tblLayout w:type="fixed"/>
        <w:tblCellMar>
          <w:top w:w="0" w:type="dxa"/>
          <w:left w:w="0" w:type="dxa"/>
          <w:bottom w:w="0" w:type="dxa"/>
          <w:right w:w="0" w:type="dxa"/>
        </w:tblCellMar>
      </w:tblPr>
      <w:tblGrid>
        <w:gridCol w:w="200"/>
        <w:gridCol w:w="776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7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consider and vote upon a proposal to elect two Class II directors, each for a term of three years;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consider and vote upon a proposal to ratify the appointment of AngioDynamics’ independent registered public accounting firm for the fiscal year ending May 31, 2027;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consider and vote upon a “Say-on-Pay” advisory vote on the approval of the compensation of AngioDynamics’ named executive officers;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consider and vote upon a proposal to amend the AngioDynamics, Inc. 2020 Equity Incentive Plan to increase the number of shares available for issuance; and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transact such other business as may properly come before the Annual Meeting or any adjournment or postponement thereof. </w:t>
            </w:r>
          </w:p>
        </w:tc>
      </w:tr>
    </w:tbl>
    <w:p>
      <w:pPr>
        <w:pStyle w:val="TextBody"/>
        <w:bidi w:val="0"/>
        <w:spacing w:lineRule="atLeast" w:line="22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we did last year, we are pleased to furnish proxy materials to our shareholders over the internet. Instead of mailing printed copies to each shareholder, we are mailing a Notice Regarding Internet Availability which contains instructions on how to access your proxy materials; how each shareholder can receive a paper copy of proxy materials, including this Proxy Statement, our annual report on Form 10-K for the fiscal year ended May 31, 2026, and amendment to our annual report on Form 10-K/A, and a proxy card; and how to access your proxy card to vote through the internet or by telephone. We believe that this e-proxy process will expedite shareholders’ receipt of proxy materials, lower the costs and reduce the environmental impact of our Annual Meeting. </w:t>
      </w:r>
    </w:p>
    <w:p>
      <w:pPr>
        <w:pStyle w:val="TextBody"/>
        <w:bidi w:val="0"/>
        <w:spacing w:lineRule="atLeast" w:line="22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unanimously believes that the election of its nominees for directors, the ratification of the appointment of AngioDynamics’ independent registered public accounting firm, the approval (on an advisory basis) of the compensation of its named executive officers and the approval of the AngioDynamics, Inc. 2020 Equity Incentive Plan, as amended, are in the best interests of AngioDynamics and its shareholders, and, accordingly, recommends a vote “FOR” each proposal. </w:t>
      </w:r>
    </w:p>
    <w:p>
      <w:pPr>
        <w:pStyle w:val="TextBody"/>
        <w:bidi w:val="0"/>
        <w:spacing w:lineRule="atLeast" w:line="22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business to be transacted as described above, management will address shareholders with respect to AngioDynamics’ developments over the past year and respond to comments and questions of general interest to shareholders. </w:t>
      </w:r>
    </w:p>
    <w:p>
      <w:pPr>
        <w:pStyle w:val="TextBody"/>
        <w:bidi w:val="0"/>
        <w:spacing w:lineRule="atLeast" w:line="22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and whether or not you plan to attend the Annual Meeting, we encourage you to vote promptly. You may vote your shares via a toll-free telephone number or over the internet. If you requested and received a paper copy of the proxy card by mail, you may sign, date and mail the proxy card in the envelope provided. Instructions regarding all three methods of voting are contained on the proxy card. Voting by proxy will ensure your shares are represented at the Annual Meeting. Banks and brokers cannot exercise discretionary voting in uncontested elections of directors. If you are not a shareholder of record, please follow the instructions provided by the shareholder of record (your bank or broker) so that your shares are voted at the meeting on all matters. </w:t>
      </w:r>
    </w:p>
    <w:tbl>
      <w:tblPr>
        <w:tblW w:w="3725" w:type="dxa"/>
        <w:jc w:val="left"/>
        <w:tblInd w:w="0" w:type="dxa"/>
        <w:tblLayout w:type="fixed"/>
        <w:tblCellMar>
          <w:top w:w="0" w:type="dxa"/>
          <w:left w:w="0" w:type="dxa"/>
          <w:bottom w:w="0" w:type="dxa"/>
          <w:right w:w="0" w:type="dxa"/>
        </w:tblCellMar>
      </w:tblPr>
      <w:tblGrid>
        <w:gridCol w:w="185"/>
        <w:gridCol w:w="170"/>
        <w:gridCol w:w="170"/>
        <w:gridCol w:w="320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152525" cy="400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52525" cy="40005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James C. Clemmer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 w:name="ny20083274x1_def14a_102-notice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695575" cy="419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695575" cy="419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ANNUAL MEETING OF SHAREHOLDERS </w:t>
      </w:r>
    </w:p>
    <w:p>
      <w:pPr>
        <w:pStyle w:val="TextBody"/>
        <w:bidi w:val="0"/>
        <w:spacing w:before="150" w:after="283"/>
        <w:jc w:val="right"/>
        <w:rPr>
          <w:rFonts w:ascii="Times New Roman;Times;serif" w:hAnsi="Times New Roman;Times;serif"/>
          <w:color w:val="000000"/>
          <w:sz w:val="20"/>
        </w:rPr>
      </w:pPr>
      <w:r>
        <w:rPr>
          <w:rFonts w:ascii="Times New Roman;Times;serif" w:hAnsi="Times New Roman;Times;serif"/>
          <w:color w:val="000000"/>
          <w:sz w:val="20"/>
        </w:rPr>
        <w:t xml:space="preserve">October 8,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the Annual Meeting of Shareholders of AngioDynamics, Inc. to be held on Tuesday, November 17, 2026 at 12:00 p.m., Eastern Time. The Annual Meeting will be held virtually via live webcast at www.virtualshareholdermeeting.com/ANGO2026. There will be no physical in-person meeting.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meeting is being held for the following purposes: </w:t>
      </w:r>
    </w:p>
    <w:tbl>
      <w:tblPr>
        <w:tblW w:w="7150" w:type="dxa"/>
        <w:jc w:val="left"/>
        <w:tblInd w:w="0" w:type="dxa"/>
        <w:tblLayout w:type="fixed"/>
        <w:tblCellMar>
          <w:top w:w="0" w:type="dxa"/>
          <w:left w:w="0" w:type="dxa"/>
          <w:bottom w:w="0" w:type="dxa"/>
          <w:right w:w="0" w:type="dxa"/>
        </w:tblCellMar>
      </w:tblPr>
      <w:tblGrid>
        <w:gridCol w:w="200"/>
        <w:gridCol w:w="695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6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upon a proposal to elect two Class II directors, each for a term of three years;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the appointment of AngioDynamics’ independent registered public accounting firm for the fiscal year ending May 31, 2027;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upon a “Say-on-Pay” advisory vote on the approval of the compensation of AngioDynamics’ named executive officers;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upon a proposal to amend the AngioDynamics, Inc. 2020 Equity Incentive Plan to increase the number of shares available for issuance; and </w:t>
            </w:r>
          </w:p>
        </w:tc>
      </w:tr>
    </w:tbl>
    <w:tbl>
      <w:tblPr>
        <w:tblW w:w="9925" w:type="dxa"/>
        <w:jc w:val="left"/>
        <w:tblInd w:w="0" w:type="dxa"/>
        <w:tblLayout w:type="fixed"/>
        <w:tblCellMar>
          <w:top w:w="0" w:type="dxa"/>
          <w:left w:w="0" w:type="dxa"/>
          <w:bottom w:w="0" w:type="dxa"/>
          <w:right w:w="0" w:type="dxa"/>
        </w:tblCellMar>
      </w:tblPr>
      <w:tblGrid>
        <w:gridCol w:w="200"/>
        <w:gridCol w:w="972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transact such other business as may properly come before the meeting or any adjournment or postponement thereof.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Only shareholders who held shares at the close of business on Friday , September 18, 2026, are entitled to notice of and to vote at the meeting or any adjournments or postponements thereof. You may vote during the Annual Meeting by visiting www.virtualshareholdermeeting.com/ANGO2026. To participate in the meeting, you must have your sixteen-digit control number located on your notice, on your proxy card or on the instructions that accompanied your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It is important that your shares be represented and voted at the meeting. You can vote your shares by completing and returning your proxy card or by voting on the internet or by telephone. Please see the instructions below under the heading “</w:t>
      </w:r>
      <w:r>
        <w:rPr>
          <w:rFonts w:ascii="Times New Roman;Times;serif" w:hAnsi="Times New Roman;Times;serif"/>
          <w:b/>
          <w:color w:val="000000"/>
          <w:sz w:val="20"/>
        </w:rPr>
        <w:t>How do I vote my shares without attending the meeting?”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Annual Meeting for which this notice is given may be adjourned from time to time without further notice other than announcement at the meeting or any adjournment thereof. Any business for which notice is hereby given may be transacted at any such adjourned meeting. </w:t>
      </w:r>
    </w:p>
    <w:tbl>
      <w:tblPr>
        <w:tblW w:w="6050" w:type="dxa"/>
        <w:jc w:val="left"/>
        <w:tblInd w:w="0" w:type="dxa"/>
        <w:tblLayout w:type="fixed"/>
        <w:tblCellMar>
          <w:top w:w="0" w:type="dxa"/>
          <w:left w:w="0" w:type="dxa"/>
          <w:bottom w:w="0" w:type="dxa"/>
          <w:right w:w="0" w:type="dxa"/>
        </w:tblCellMar>
      </w:tblPr>
      <w:tblGrid>
        <w:gridCol w:w="185"/>
        <w:gridCol w:w="170"/>
        <w:gridCol w:w="170"/>
        <w:gridCol w:w="552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742950" cy="37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42950" cy="3714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Lawrence T. Weiss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Chief Legal Officer and Corporate Secretary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Latham, New York</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25"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Annual Meeting to be Held on November 17, 2026.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Our Proxy Statement for the 2026 Annual Meeting of Shareholders, the proxy card, annual report on Form 10-K for our fiscal year ended May 31, 2026 and amendment to our annual report on Form 10-K/A are available on the following website: </w:t>
      </w:r>
      <w:r>
        <w:rPr>
          <w:rFonts w:ascii="Times New Roman;Times;serif" w:hAnsi="Times New Roman;Times;serif"/>
          <w:b/>
          <w:i/>
          <w:color w:val="000000"/>
          <w:sz w:val="20"/>
        </w:rPr>
        <w:t>www.proxyvote.com</w:t>
      </w:r>
      <w:r>
        <w:rPr>
          <w:rFonts w:ascii="Times New Roman;Times;serif" w:hAnsi="Times New Roman;Times;serif"/>
          <w:b/>
          <w:color w:val="000000"/>
          <w:sz w:val="20"/>
        </w:rPr>
        <w:t>. To view materials via the internet, please follow the instructions set forth on the Notice Regarding Internet Availability mailed on or about October 8, 2026 to all shareholders of record on September 18, 2026.</w:t>
      </w:r>
    </w:p>
    <w:p>
      <w:pPr>
        <w:pStyle w:val="HorizontalLine"/>
        <w:bidi w:val="0"/>
        <w:spacing w:before="200" w:after="200"/>
        <w:jc w:val="left"/>
        <w:rPr/>
      </w:pPr>
      <w:r>
        <w:rPr/>
      </w:r>
    </w:p>
    <w:p>
      <w:pPr>
        <w:pStyle w:val="TextBody"/>
        <w:bidi w:val="0"/>
        <w:jc w:val="left"/>
        <w:rPr/>
      </w:pPr>
      <w:hyperlink w:anchor="TOC">
        <w:bookmarkStart w:id="5" w:name="ny20083274x1_def14a_103-proxy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SUMMARY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This summary highlights selected information in this Proxy Statement. Please review the entire Proxy Statement and the 2026 Annual Report before voting.</w:t>
      </w:r>
      <w:r>
        <w:rPr>
          <w:rFonts w:ascii="Times New Roman;Times;serif" w:hAnsi="Times New Roman;Times;serif"/>
          <w:b/>
          <w:i/>
          <w:caps w:val="false"/>
          <w:smallCaps w:val="false"/>
          <w:color w:val="000000"/>
          <w:sz w:val="20"/>
        </w:rPr>
        <w:t xml:space="preserve">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SUMMARY OF SHAREHOLDER VOTING MATTERS </w:t>
      </w:r>
    </w:p>
    <w:tbl>
      <w:tblPr>
        <w:tblW w:w="10520" w:type="dxa"/>
        <w:jc w:val="left"/>
        <w:tblInd w:w="0" w:type="dxa"/>
        <w:tblLayout w:type="fixed"/>
        <w:tblCellMar>
          <w:top w:w="0" w:type="dxa"/>
          <w:left w:w="0" w:type="dxa"/>
          <w:bottom w:w="0" w:type="dxa"/>
          <w:right w:w="0" w:type="dxa"/>
        </w:tblCellMar>
      </w:tblPr>
      <w:tblGrid>
        <w:gridCol w:w="770"/>
        <w:gridCol w:w="170"/>
        <w:gridCol w:w="170"/>
        <w:gridCol w:w="1415"/>
        <w:gridCol w:w="170"/>
        <w:gridCol w:w="170"/>
        <w:gridCol w:w="1310"/>
        <w:gridCol w:w="170"/>
        <w:gridCol w:w="170"/>
        <w:gridCol w:w="935"/>
        <w:gridCol w:w="170"/>
        <w:gridCol w:w="170"/>
        <w:gridCol w:w="1040"/>
        <w:gridCol w:w="170"/>
        <w:gridCol w:w="170"/>
        <w:gridCol w:w="620"/>
        <w:gridCol w:w="170"/>
        <w:gridCol w:w="170"/>
        <w:gridCol w:w="980"/>
        <w:gridCol w:w="170"/>
        <w:gridCol w:w="170"/>
        <w:gridCol w:w="1070"/>
      </w:tblGrid>
      <w:tr>
        <w:trPr/>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770"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Board Vote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Recommendation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More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Information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Broker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Discretionary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Allowed?</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Routine?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Required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Approval</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Abstentions/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Broker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Non-Votes </w:t>
            </w:r>
          </w:p>
        </w:tc>
      </w:tr>
      <w:tr>
        <w:trPr/>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Proposal 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Election of Class II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FOR each Nominee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pPr>
            <w:r>
              <w:rPr>
                <w:rFonts w:ascii="Times New Roman;Times;serif" w:hAnsi="Times New Roman;Times;serif"/>
                <w:color w:val="000000"/>
                <w:sz w:val="20"/>
              </w:rPr>
              <w:t xml:space="preserve">Page </w:t>
            </w:r>
            <w:hyperlink w:anchor="tPROP1">
              <w:r>
                <w:rPr>
                  <w:rStyle w:val="InternetLink"/>
                  <w:rFonts w:ascii="Times New Roman;Times;serif" w:hAnsi="Times New Roman;Times;serif"/>
                  <w:color w:val="000080"/>
                  <w:sz w:val="20"/>
                </w:rPr>
                <w:t>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Plurality of votes cast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Abstentions and broker non-votes do not count as votes cast </w:t>
            </w:r>
          </w:p>
        </w:tc>
      </w:tr>
      <w:tr>
        <w:trPr/>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Proposal 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Ratification of Our Independent Registered Public Accounting Firm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pPr>
            <w:r>
              <w:rPr>
                <w:rFonts w:ascii="Times New Roman;Times;serif" w:hAnsi="Times New Roman;Times;serif"/>
                <w:color w:val="000000"/>
                <w:sz w:val="20"/>
              </w:rPr>
              <w:t xml:space="preserve">Page </w:t>
            </w:r>
            <w:hyperlink w:anchor="tPROP2">
              <w:r>
                <w:rPr>
                  <w:rStyle w:val="InternetLink"/>
                  <w:rFonts w:ascii="Times New Roman;Times;serif" w:hAnsi="Times New Roman;Times;serif"/>
                  <w:color w:val="000080"/>
                  <w:sz w:val="20"/>
                </w:rPr>
                <w:t>49</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Yes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Yes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Majority of the shares represented in person or by proxy and entitled to vote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Abstentions will have the effect of a negative vote; broker non-votes are not applicable to this proposal </w:t>
            </w:r>
          </w:p>
        </w:tc>
      </w:tr>
      <w:tr>
        <w:trPr/>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Proposal 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the Compensation of our named executive officers on an advisory basis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pPr>
            <w:r>
              <w:rPr>
                <w:rFonts w:ascii="Times New Roman;Times;serif" w:hAnsi="Times New Roman;Times;serif"/>
                <w:color w:val="000000"/>
                <w:sz w:val="20"/>
              </w:rPr>
              <w:t xml:space="preserve">Page </w:t>
            </w:r>
            <w:hyperlink w:anchor="tPROP3">
              <w:r>
                <w:rPr>
                  <w:rStyle w:val="InternetLink"/>
                  <w:rFonts w:ascii="Times New Roman;Times;serif" w:hAnsi="Times New Roman;Times;serif"/>
                  <w:color w:val="000080"/>
                  <w:sz w:val="20"/>
                </w:rPr>
                <w:t>52</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Majority of the shares represented in person or by proxy and entitled to vote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Abstentions will have the effect of a negative vote; broker non-votes are not applicable to this proposal </w:t>
            </w:r>
          </w:p>
        </w:tc>
      </w:tr>
      <w:tr>
        <w:trPr/>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Proposal 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an amendment to the AngioDynamics, Inc. 2020 Equity Incentive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pPr>
            <w:r>
              <w:rPr>
                <w:rFonts w:ascii="Times New Roman;Times;serif" w:hAnsi="Times New Roman;Times;serif"/>
                <w:color w:val="000000"/>
                <w:sz w:val="20"/>
              </w:rPr>
              <w:t xml:space="preserve">Page </w:t>
            </w:r>
            <w:hyperlink w:anchor="tPROP4">
              <w:r>
                <w:rPr>
                  <w:rStyle w:val="InternetLink"/>
                  <w:rFonts w:ascii="Times New Roman;Times;serif" w:hAnsi="Times New Roman;Times;serif"/>
                  <w:color w:val="000080"/>
                  <w:sz w:val="20"/>
                </w:rPr>
                <w:t>53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Majority of the shares represented in person or by proxy and entitled to vote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Abstentions will have the effect of a negative vote; broker non-votes are not applicable to this proposal</w:t>
            </w:r>
          </w:p>
        </w:tc>
      </w:tr>
      <w:tr>
        <w:trPr/>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p>
      <w:pPr>
        <w:pStyle w:val="TextBody"/>
        <w:bidi w:val="0"/>
        <w:spacing w:before="2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ADVANCED VOTING METHODS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you plan to participate in our Virtual Annual Meeting, please read this proxy voting statement with care and vote right away using any of the following methods. </w:t>
      </w:r>
      <w:r>
        <w:rPr>
          <w:rFonts w:ascii="Times New Roman;Times;serif" w:hAnsi="Times New Roman;Times;serif"/>
          <w:b/>
          <w:color w:val="000000"/>
          <w:sz w:val="20"/>
        </w:rPr>
        <w:t>In all cases, have your proxy card or voting instruction form in hand and follow the instructions.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85"/>
        <w:gridCol w:w="3135"/>
        <w:gridCol w:w="170"/>
        <w:gridCol w:w="170"/>
        <w:gridCol w:w="2322"/>
        <w:gridCol w:w="170"/>
        <w:gridCol w:w="170"/>
        <w:gridCol w:w="3667"/>
        <w:gridCol w:w="216"/>
      </w:tblGrid>
      <w:tr>
        <w:trPr/>
        <w:tc>
          <w:tcPr>
            <w:tcW w:w="185" w:type="dxa"/>
            <w:tcBorders/>
            <w:vAlign w:val="center"/>
          </w:tcPr>
          <w:p>
            <w:pPr>
              <w:pStyle w:val="TableContents"/>
              <w:bidi w:val="0"/>
              <w:spacing w:before="0" w:after="0"/>
              <w:jc w:val="left"/>
              <w:rPr/>
            </w:pPr>
            <w:r>
              <w:rPr/>
              <w:t> </w:t>
            </w:r>
          </w:p>
        </w:tc>
        <w:tc>
          <w:tcPr>
            <w:tcW w:w="313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22"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13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BY INTERNET USING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YOUR COMPUTER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22"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BY TELEPHONE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667"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BY MAILING YOUR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PROXY CARD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135" w:type="dxa"/>
            <w:tcBorders>
              <w:bottom w:val="single" w:sz="8" w:space="0" w:color="000000"/>
            </w:tcBorders>
            <w:tcMar>
              <w:bottom w:w="43" w:type="dxa"/>
            </w:tcMar>
            <w:vAlign w:val="center"/>
          </w:tcPr>
          <w:p>
            <w:pPr>
              <w:pStyle w:val="TableContents"/>
              <w:bidi w:val="0"/>
              <w:spacing w:before="0" w:after="283"/>
              <w:jc w:val="center"/>
              <w:rPr>
                <w:color w:val="000000"/>
              </w:rPr>
            </w:pPr>
            <w:r>
              <w:rPr>
                <w:color w:val="000000"/>
              </w:rPr>
              <w:drawing>
                <wp:inline distT="0" distB="0" distL="0" distR="0">
                  <wp:extent cx="495300" cy="4667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95300" cy="466725"/>
                          </a:xfrm>
                          <a:prstGeom prst="rect">
                            <a:avLst/>
                          </a:prstGeom>
                        </pic:spPr>
                      </pic:pic>
                    </a:graphicData>
                  </a:graphic>
                </wp:inline>
              </w:drawing>
            </w:r>
          </w:p>
          <w:p>
            <w:pPr>
              <w:pStyle w:val="TableContents"/>
              <w:bidi w:val="0"/>
              <w:spacing w:before="0" w:after="283"/>
              <w:ind w:left="235" w:right="0" w:hanging="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22" w:type="dxa"/>
            <w:tcBorders>
              <w:bottom w:val="single" w:sz="8" w:space="0" w:color="000000"/>
            </w:tcBorders>
            <w:tcMar>
              <w:bottom w:w="43" w:type="dxa"/>
            </w:tcMar>
            <w:vAlign w:val="center"/>
          </w:tcPr>
          <w:p>
            <w:pPr>
              <w:pStyle w:val="TableContents"/>
              <w:bidi w:val="0"/>
              <w:spacing w:before="0" w:after="283"/>
              <w:jc w:val="center"/>
              <w:rPr>
                <w:color w:val="000000"/>
              </w:rPr>
            </w:pPr>
            <w:r>
              <w:rPr>
                <w:color w:val="000000"/>
              </w:rPr>
              <w:drawing>
                <wp:inline distT="0" distB="0" distL="0" distR="0">
                  <wp:extent cx="590550" cy="476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0550" cy="47625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667" w:type="dxa"/>
            <w:tcBorders>
              <w:bottom w:val="single" w:sz="8" w:space="0" w:color="000000"/>
            </w:tcBorders>
            <w:tcMar>
              <w:bottom w:w="43" w:type="dxa"/>
            </w:tcMar>
            <w:vAlign w:val="center"/>
          </w:tcPr>
          <w:p>
            <w:pPr>
              <w:pStyle w:val="TableContents"/>
              <w:bidi w:val="0"/>
              <w:spacing w:before="0" w:after="283"/>
              <w:jc w:val="center"/>
              <w:rPr>
                <w:color w:val="000000"/>
              </w:rPr>
            </w:pPr>
            <w:r>
              <w:rPr>
                <w:color w:val="000000"/>
              </w:rPr>
              <w:drawing>
                <wp:inline distT="0" distB="0" distL="0" distR="0">
                  <wp:extent cx="619125" cy="4667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19125" cy="4667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35" w:type="dxa"/>
            <w:tcBorders/>
            <w:vAlign w:val="center"/>
          </w:tcPr>
          <w:p>
            <w:pPr>
              <w:pStyle w:val="TableContents"/>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Registered Owners Visit 24/7</w:t>
            </w:r>
          </w:p>
          <w:p>
            <w:pPr>
              <w:pStyle w:val="TableContents"/>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www.virtualshareholdermeeting.com/</w:t>
            </w:r>
          </w:p>
          <w:p>
            <w:pPr>
              <w:pStyle w:val="TableContents"/>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ANGO2026.</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22" w:type="dxa"/>
            <w:tcBorders/>
            <w:vAlign w:val="center"/>
          </w:tcPr>
          <w:p>
            <w:pPr>
              <w:pStyle w:val="TableContents"/>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Registered Owners in the U.S. and </w:t>
            </w:r>
          </w:p>
          <w:p>
            <w:pPr>
              <w:pStyle w:val="TableContents"/>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Canada dial toll-free 24/7</w:t>
            </w:r>
          </w:p>
          <w:p>
            <w:pPr>
              <w:pStyle w:val="TableContents"/>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1-800-690-6903</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Cast your ballot, sign your proxy card and send by free post</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13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22"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667"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 w:name="ny20083274x1_def14a_103-proxy_pg2"/>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FISCAL YEAR 2026 PERFORMANCE HIGHLIGHTS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fiscal year 2026 we continued our strategic transformation into a growth-oriented, technology driven company that will allow us to serve larger and faster growing markets. In connection with our strategic transformation, we have organized our portfolio into two key platforms: Med Tech and Med Device. Med Tech comprises our high growth technology platforms including: our peripheral arterial disease Auryon Atherectomy laser, our Mechanical Thrombectomy products, including our AngioVac and AlphaVac products and our solid tumor ablation NanoKnife irreversible electroporation products. Med Device comprises our angiographic catheters, our EVLT products, our port products and our other Oncology products.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year ended May 31, 2026, on a GAAP as reported basis, our revenue increased 9.5%. Our Med Tech business, comprised of Auryon, the thrombus management platform and NanoKnife grew 18.4% in fiscal year 2026, driven by growth across all product lines. Our Med Device business increased 2.6% in fiscal year 2026, driven mainly by growth in the Core and Venous product lines which was partially offset by softness in Ports and other Oncology products.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EXECUTIVE COMPENSATION PROGRAM HIGHLIGHTS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regularly engage with investors to discuss our strategic direction, financial position and results of operations. This engagement provides valuable feedback on our compensation programs and governance practices.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set forth below certain key features of our executive compensation program applicable to our named executive officers and key compensation governance practices that strengthen the alignment of our named executive officers’ interests with those of our shareholders: </w:t>
      </w:r>
    </w:p>
    <w:tbl>
      <w:tblPr>
        <w:tblW w:w="10205" w:type="dxa"/>
        <w:jc w:val="left"/>
        <w:tblInd w:w="0" w:type="dxa"/>
        <w:tblLayout w:type="fixed"/>
        <w:tblCellMar>
          <w:top w:w="0" w:type="dxa"/>
          <w:left w:w="0" w:type="dxa"/>
          <w:bottom w:w="0" w:type="dxa"/>
          <w:right w:w="0" w:type="dxa"/>
        </w:tblCellMar>
      </w:tblPr>
      <w:tblGrid>
        <w:gridCol w:w="185"/>
        <w:gridCol w:w="170"/>
        <w:gridCol w:w="170"/>
        <w:gridCol w:w="4947"/>
        <w:gridCol w:w="170"/>
        <w:gridCol w:w="170"/>
        <w:gridCol w:w="170"/>
        <w:gridCol w:w="170"/>
        <w:gridCol w:w="170"/>
        <w:gridCol w:w="3883"/>
      </w:tblGrid>
      <w:tr>
        <w:trPr/>
        <w:tc>
          <w:tcPr>
            <w:tcW w:w="5472"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93" w:type="dxa"/>
            <w:gridSpan w:val="4"/>
            <w:tcBorders/>
            <w:vAlign w:val="center"/>
          </w:tcPr>
          <w:p>
            <w:pPr>
              <w:pStyle w:val="TableContents"/>
              <w:bidi w:val="0"/>
              <w:spacing w:before="0" w:after="0"/>
              <w:jc w:val="left"/>
              <w:rPr/>
            </w:pPr>
            <w:r>
              <w:rPr/>
              <w:t> </w:t>
            </w:r>
          </w:p>
        </w:tc>
      </w:tr>
      <w:tr>
        <w:trPr/>
        <w:tc>
          <w:tcPr>
            <w:tcW w:w="5472"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Key Compensation Program Features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93"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Key Compensation Governance Practices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fiscal year 2026, 64% of our CEO’s target total compensation was performance-based (including performance shares, options and short-term incentive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Robust stock ownership guidelines to align executives with our shareholders regarding our long-term performance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Mix of fixed and variable compensation, with a strong emphasis on variable, at-risk performance-based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Clawback policy that allows the Company to recoup incentive-based compensation paid to executive officers under certain circumstances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 and long-term compensation opportunities with performance metrics tied to our strategy and performance (including relative total shareholder return)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option repricing or cash buyout of underwater options without shareholder approval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 of target long-term incentive opportunity is performance-contingent and measured over a three-year period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Engagement of an independent compensation consultant with no other ties to the Company or management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awards with four-year vesting to promote retention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Change in control agreements with double trigger severance arrangements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Double trigger change in control provision in the 2020 Equity Incentive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Active engagement with investors</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 w:name="ny20083274x1_def14a_103-proxy_pg3"/>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GOVERNANCE HIGHLIGHTS </w:t>
      </w:r>
    </w:p>
    <w:p>
      <w:pPr>
        <w:pStyle w:val="TextBody"/>
        <w:bidi w:val="0"/>
        <w:spacing w:before="120" w:after="283"/>
        <w:ind w:left="0" w:right="0" w:firstLine="400"/>
        <w:jc w:val="left"/>
        <w:rPr/>
      </w:pPr>
      <w:r>
        <w:rPr>
          <w:rFonts w:ascii="Times New Roman;Times;serif" w:hAnsi="Times New Roman;Times;serif"/>
          <w:color w:val="000000"/>
          <w:sz w:val="20"/>
        </w:rPr>
        <w:t xml:space="preserve">As part of our commitment to high ethical standards, our Board embraces strong governance practices and principles. These practices are described in more detail starting on page </w:t>
      </w:r>
      <w:hyperlink w:anchor="tCG">
        <w:r>
          <w:rPr>
            <w:rStyle w:val="InternetLink"/>
            <w:rFonts w:ascii="Times New Roman;Times;serif" w:hAnsi="Times New Roman;Times;serif"/>
            <w:color w:val="000080"/>
            <w:sz w:val="20"/>
          </w:rPr>
          <w:t>12</w:t>
        </w:r>
      </w:hyperlink>
      <w:r>
        <w:rPr>
          <w:rFonts w:ascii="Times New Roman;Times;serif" w:hAnsi="Times New Roman;Times;serif"/>
          <w:color w:val="000000"/>
          <w:sz w:val="20"/>
        </w:rPr>
        <w:t xml:space="preserve"> and in our Corporate Governance Guidelines, which can be found in the Governance section of our website. </w:t>
      </w:r>
    </w:p>
    <w:tbl>
      <w:tblPr>
        <w:tblW w:w="10205" w:type="dxa"/>
        <w:jc w:val="left"/>
        <w:tblInd w:w="0" w:type="dxa"/>
        <w:tblLayout w:type="fixed"/>
        <w:tblCellMar>
          <w:top w:w="0" w:type="dxa"/>
          <w:left w:w="0" w:type="dxa"/>
          <w:bottom w:w="0" w:type="dxa"/>
          <w:right w:w="0" w:type="dxa"/>
        </w:tblCellMar>
      </w:tblPr>
      <w:tblGrid>
        <w:gridCol w:w="185"/>
        <w:gridCol w:w="1901"/>
        <w:gridCol w:w="170"/>
        <w:gridCol w:w="170"/>
        <w:gridCol w:w="7563"/>
        <w:gridCol w:w="216"/>
      </w:tblGrid>
      <w:tr>
        <w:trPr/>
        <w:tc>
          <w:tcPr>
            <w:tcW w:w="185" w:type="dxa"/>
            <w:tcBorders/>
            <w:vAlign w:val="center"/>
          </w:tcPr>
          <w:p>
            <w:pPr>
              <w:pStyle w:val="TableContents"/>
              <w:bidi w:val="0"/>
              <w:spacing w:before="0" w:after="0"/>
              <w:jc w:val="left"/>
              <w:rPr/>
            </w:pPr>
            <w:r>
              <w:rPr/>
              <w:t> </w:t>
            </w:r>
          </w:p>
        </w:tc>
        <w:tc>
          <w:tcPr>
            <w:tcW w:w="1901"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90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Independence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63"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7 of our 8 directors are independent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All of our Board Committees are composed exclusively of independent directors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Each member of the Audit Committee, Compensation and Human Capital Committee and Nominating, Compliance and Corporate Governance Committee meets the enhanced independence standards of The Nasdaq Stock Market (“Nasdaq”).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90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Independent Chair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63"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We have an independent, non-executive Chair</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Chair sets the agenda for Board meetings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Chair provides guidance to the CEO</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The Chair presides over Board meetings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90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Executive Sessions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63"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independent directors regularly meet in private without management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Chair presides at these executive sessions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Each Committee regularly holds executive sessions without management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90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Board Oversight of Risk Management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63"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Board and committee meeting process is designed to ensure that key risks are reviewed</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Directors are informed of and review various areas of risk including those associated with operational matters, finance, compliance, regulatory and product quality issues, and legal proceedings, among others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Board and committee discussions are supplemented through annual reports on enterprise risk by management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reviews our overall enterprise risk management policies and practices and financial risk exposures, while other Committees also play a role in risk oversight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The Nominating, Compliance and Corporate Governance Committee reviews the Company’s compliance with applicable laws, rules and regulations, including, without limitations, FDA, SEC, DOJ and international compliance matters.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90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Stock Ownership Requirements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63"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Within 36 months of joining the Board, our independent directors must hold an amount of our common stock equal to at least three times the annual base cash retainer payable to each director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Stock Ownership guidelines require our executives to hold significant amounts of our common stock to align executives with our shareholders</w:t>
            </w:r>
          </w:p>
          <w:p>
            <w:pPr>
              <w:pStyle w:val="TableContents"/>
              <w:bidi w:val="0"/>
              <w:spacing w:before="0" w:after="283"/>
              <w:ind w:left="284"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Our CEO must hold an amount of our common stock valued at three times his base salary</w:t>
            </w:r>
          </w:p>
          <w:p>
            <w:pPr>
              <w:pStyle w:val="TableContents"/>
              <w:bidi w:val="0"/>
              <w:spacing w:before="0" w:after="283"/>
              <w:ind w:left="28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Our other named executive officers must hold an amount of our common stock valued at one times their base salary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90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Board Practices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63"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Our Board annually evaluates the effectiveness of the Board and its Committees</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Board considers nomination of directors in light of a candidate’s:</w:t>
            </w:r>
          </w:p>
          <w:p>
            <w:pPr>
              <w:pStyle w:val="TableContents"/>
              <w:bidi w:val="0"/>
              <w:spacing w:before="0" w:after="283"/>
              <w:ind w:left="284"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significant accomplishments and ability to make meaningful contributions;</w:t>
            </w:r>
          </w:p>
          <w:p>
            <w:pPr>
              <w:pStyle w:val="TableContents"/>
              <w:bidi w:val="0"/>
              <w:spacing w:before="0" w:after="283"/>
              <w:ind w:left="28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relevance of specific experiences, skills, industry background and knowledge of the business and objectives of our Company;</w:t>
            </w:r>
          </w:p>
          <w:p>
            <w:pPr>
              <w:pStyle w:val="TableContents"/>
              <w:bidi w:val="0"/>
              <w:spacing w:before="0" w:after="283"/>
              <w:ind w:left="28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contribution to Board diversity (including diversity of business, functional leadership, industry experience and background); and</w:t>
            </w:r>
          </w:p>
          <w:p>
            <w:pPr>
              <w:pStyle w:val="TableContents"/>
              <w:bidi w:val="0"/>
              <w:spacing w:before="0" w:after="283"/>
              <w:ind w:left="28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reputation for honesty and ethical conduct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Any incumbent director who receives less than 50% of the votes cast in an uncontested election must tender his or her resignation promptly</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The Company has implemented a maximum annual discretionary stock-based award value for each director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0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Accountability</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63"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Directors and executive officers are prohibited from hedging securities of the Company, purchasing or holding securities of the Company in a margin account or pledging securities of the Company</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Company has a clawback policy that allows the Company to recoup incentive-based compensation paid to executive officers under certain circumstances</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901"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63"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 w:name="ny20083274x1_def14a_104-toc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9" w:name="TOC"/>
      <w:bookmarkStart w:id="10" w:name="TOC"/>
      <w:bookmarkEnd w:id="10"/>
    </w:p>
    <w:tbl>
      <w:tblPr>
        <w:tblW w:w="10205" w:type="dxa"/>
        <w:jc w:val="left"/>
        <w:tblInd w:w="0" w:type="dxa"/>
        <w:tblLayout w:type="fixed"/>
        <w:tblCellMar>
          <w:top w:w="0" w:type="dxa"/>
          <w:left w:w="0" w:type="dxa"/>
          <w:bottom w:w="0" w:type="dxa"/>
          <w:right w:w="0" w:type="dxa"/>
        </w:tblCellMar>
      </w:tblPr>
      <w:tblGrid>
        <w:gridCol w:w="9373"/>
        <w:gridCol w:w="170"/>
        <w:gridCol w:w="170"/>
        <w:gridCol w:w="492"/>
      </w:tblGrid>
      <w:tr>
        <w:trPr/>
        <w:tc>
          <w:tcPr>
            <w:tcW w:w="937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2" w:type="dxa"/>
            <w:tcBorders/>
            <w:vAlign w:val="center"/>
          </w:tcPr>
          <w:p>
            <w:pPr>
              <w:pStyle w:val="TableContents"/>
              <w:bidi w:val="0"/>
              <w:spacing w:before="0" w:after="0"/>
              <w:jc w:val="left"/>
              <w:rPr/>
            </w:pPr>
            <w:r>
              <w:rPr/>
              <w:t> </w:t>
            </w:r>
          </w:p>
        </w:tc>
      </w:tr>
      <w:tr>
        <w:trPr/>
        <w:tc>
          <w:tcPr>
            <w:tcW w:w="937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373" w:type="dxa"/>
            <w:tcBorders/>
            <w:shd w:fill="CCEEFF" w:val="clear"/>
            <w:vAlign w:val="center"/>
          </w:tcPr>
          <w:p>
            <w:pPr>
              <w:pStyle w:val="TableContents"/>
              <w:bidi w:val="0"/>
              <w:spacing w:before="0" w:after="283"/>
              <w:ind w:left="0" w:right="0" w:hanging="0"/>
              <w:jc w:val="left"/>
              <w:rPr/>
            </w:pPr>
            <w:hyperlink w:anchor="tPC">
              <w:r>
                <w:rPr>
                  <w:rStyle w:val="InternetLink"/>
                  <w:rFonts w:ascii="Times New Roman;Times;serif" w:hAnsi="Times New Roman;Times;serif"/>
                  <w:color w:val="000000"/>
                  <w:sz w:val="20"/>
                </w:rPr>
                <w:t>Proxy Statement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2" w:type="dxa"/>
            <w:tcBorders/>
            <w:shd w:fill="CCEEFF" w:val="clear"/>
            <w:vAlign w:val="center"/>
          </w:tcPr>
          <w:p>
            <w:pPr>
              <w:pStyle w:val="TableContents"/>
              <w:bidi w:val="0"/>
              <w:spacing w:before="0" w:after="283"/>
              <w:ind w:left="9" w:right="0" w:hanging="0"/>
              <w:jc w:val="left"/>
              <w:rPr/>
            </w:pPr>
            <w:hyperlink w:anchor="tPC">
              <w:r>
                <w:rPr>
                  <w:rStyle w:val="InternetLink"/>
                  <w:rFonts w:ascii="Times New Roman;Times;serif" w:hAnsi="Times New Roman;Times;serif"/>
                  <w:color w:val="000000"/>
                  <w:sz w:val="20"/>
                </w:rPr>
                <w:t>1</w:t>
              </w:r>
            </w:hyperlink>
          </w:p>
        </w:tc>
      </w:tr>
      <w:tr>
        <w:trPr/>
        <w:tc>
          <w:tcPr>
            <w:tcW w:w="9373" w:type="dxa"/>
            <w:tcBorders/>
            <w:vAlign w:val="center"/>
          </w:tcPr>
          <w:p>
            <w:pPr>
              <w:pStyle w:val="TableContents"/>
              <w:bidi w:val="0"/>
              <w:spacing w:before="0" w:after="283"/>
              <w:ind w:left="200" w:right="0" w:hanging="0"/>
              <w:jc w:val="left"/>
              <w:rPr/>
            </w:pPr>
            <w:hyperlink w:anchor="tITD">
              <w:r>
                <w:rPr>
                  <w:rStyle w:val="InternetLink"/>
                  <w:rFonts w:ascii="Times New Roman;Times;serif" w:hAnsi="Times New Roman;Times;serif"/>
                  <w:color w:val="000000"/>
                  <w:sz w:val="20"/>
                </w:rPr>
                <w:t>Introduction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2" w:type="dxa"/>
            <w:tcBorders/>
            <w:vAlign w:val="center"/>
          </w:tcPr>
          <w:p>
            <w:pPr>
              <w:pStyle w:val="TableContents"/>
              <w:bidi w:val="0"/>
              <w:spacing w:before="0" w:after="283"/>
              <w:ind w:left="9" w:right="0" w:hanging="0"/>
              <w:jc w:val="left"/>
              <w:rPr/>
            </w:pPr>
            <w:hyperlink w:anchor="tITD">
              <w:r>
                <w:rPr>
                  <w:rStyle w:val="InternetLink"/>
                  <w:rFonts w:ascii="Times New Roman;Times;serif" w:hAnsi="Times New Roman;Times;serif"/>
                  <w:color w:val="000000"/>
                  <w:sz w:val="20"/>
                </w:rPr>
                <w:t>1</w:t>
              </w:r>
            </w:hyperlink>
          </w:p>
        </w:tc>
      </w:tr>
      <w:tr>
        <w:trPr/>
        <w:tc>
          <w:tcPr>
            <w:tcW w:w="9373" w:type="dxa"/>
            <w:tcBorders/>
            <w:shd w:fill="CCEEFF" w:val="clear"/>
            <w:vAlign w:val="center"/>
          </w:tcPr>
          <w:p>
            <w:pPr>
              <w:pStyle w:val="TableContents"/>
              <w:bidi w:val="0"/>
              <w:spacing w:before="0" w:after="283"/>
              <w:ind w:left="200" w:right="0" w:hanging="0"/>
              <w:jc w:val="left"/>
              <w:rPr/>
            </w:pPr>
            <w:hyperlink w:anchor="tGIA">
              <w:r>
                <w:rPr>
                  <w:rStyle w:val="InternetLink"/>
                  <w:rFonts w:ascii="Times New Roman;Times;serif" w:hAnsi="Times New Roman;Times;serif"/>
                  <w:color w:val="000000"/>
                  <w:sz w:val="20"/>
                </w:rPr>
                <w:t>General Information About the Meeting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2" w:type="dxa"/>
            <w:tcBorders/>
            <w:shd w:fill="CCEEFF" w:val="clear"/>
            <w:vAlign w:val="center"/>
          </w:tcPr>
          <w:p>
            <w:pPr>
              <w:pStyle w:val="TableContents"/>
              <w:bidi w:val="0"/>
              <w:spacing w:before="0" w:after="283"/>
              <w:ind w:left="9" w:right="0" w:hanging="0"/>
              <w:jc w:val="left"/>
              <w:rPr/>
            </w:pPr>
            <w:hyperlink w:anchor="tGIA">
              <w:r>
                <w:rPr>
                  <w:rStyle w:val="InternetLink"/>
                  <w:rFonts w:ascii="Times New Roman;Times;serif" w:hAnsi="Times New Roman;Times;serif"/>
                  <w:color w:val="000000"/>
                  <w:sz w:val="20"/>
                </w:rPr>
                <w:t>1</w:t>
              </w:r>
            </w:hyperlink>
          </w:p>
        </w:tc>
      </w:tr>
      <w:tr>
        <w:trPr/>
        <w:tc>
          <w:tcPr>
            <w:tcW w:w="9373"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I - ELECTION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2" w:type="dxa"/>
            <w:tcBorders/>
            <w:vAlign w:val="center"/>
          </w:tcPr>
          <w:p>
            <w:pPr>
              <w:pStyle w:val="TableContents"/>
              <w:bidi w:val="0"/>
              <w:spacing w:before="0" w:after="283"/>
              <w:ind w:left="9" w:right="0" w:hanging="0"/>
              <w:jc w:val="left"/>
              <w:rPr/>
            </w:pPr>
            <w:hyperlink w:anchor="tPROP1">
              <w:r>
                <w:rPr>
                  <w:rStyle w:val="InternetLink"/>
                  <w:rFonts w:ascii="Times New Roman;Times;serif" w:hAnsi="Times New Roman;Times;serif"/>
                  <w:color w:val="000000"/>
                  <w:sz w:val="20"/>
                </w:rPr>
                <w:t>6</w:t>
              </w:r>
            </w:hyperlink>
          </w:p>
        </w:tc>
      </w:tr>
      <w:tr>
        <w:trPr/>
        <w:tc>
          <w:tcPr>
            <w:tcW w:w="9373" w:type="dxa"/>
            <w:tcBorders/>
            <w:shd w:fill="CCEEFF" w:val="clear"/>
            <w:vAlign w:val="center"/>
          </w:tcPr>
          <w:p>
            <w:pPr>
              <w:pStyle w:val="TableContents"/>
              <w:bidi w:val="0"/>
              <w:spacing w:before="0" w:after="283"/>
              <w:ind w:left="200" w:right="0" w:hanging="0"/>
              <w:jc w:val="left"/>
              <w:rPr/>
            </w:pPr>
            <w:hyperlink w:anchor="tNOM">
              <w:r>
                <w:rPr>
                  <w:rStyle w:val="InternetLink"/>
                  <w:rFonts w:ascii="Times New Roman;Times;serif" w:hAnsi="Times New Roman;Times;serif"/>
                  <w:color w:val="000000"/>
                  <w:sz w:val="20"/>
                </w:rPr>
                <w:t>Nominees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2" w:type="dxa"/>
            <w:tcBorders/>
            <w:shd w:fill="CCEEFF" w:val="clear"/>
            <w:vAlign w:val="center"/>
          </w:tcPr>
          <w:p>
            <w:pPr>
              <w:pStyle w:val="TableContents"/>
              <w:bidi w:val="0"/>
              <w:spacing w:before="0" w:after="283"/>
              <w:ind w:left="9" w:right="0" w:hanging="0"/>
              <w:jc w:val="left"/>
              <w:rPr/>
            </w:pPr>
            <w:hyperlink w:anchor="tNOM">
              <w:r>
                <w:rPr>
                  <w:rStyle w:val="InternetLink"/>
                  <w:rFonts w:ascii="Times New Roman;Times;serif" w:hAnsi="Times New Roman;Times;serif"/>
                  <w:color w:val="000000"/>
                  <w:sz w:val="20"/>
                </w:rPr>
                <w:t>6</w:t>
              </w:r>
            </w:hyperlink>
          </w:p>
        </w:tc>
      </w:tr>
      <w:tr>
        <w:trPr/>
        <w:tc>
          <w:tcPr>
            <w:tcW w:w="9373" w:type="dxa"/>
            <w:tcBorders/>
            <w:vAlign w:val="center"/>
          </w:tcPr>
          <w:p>
            <w:pPr>
              <w:pStyle w:val="TableContents"/>
              <w:bidi w:val="0"/>
              <w:spacing w:before="0" w:after="283"/>
              <w:ind w:left="200" w:right="0" w:hanging="0"/>
              <w:jc w:val="left"/>
              <w:rPr/>
            </w:pPr>
            <w:hyperlink w:anchor="tRBD">
              <w:r>
                <w:rPr>
                  <w:rStyle w:val="InternetLink"/>
                  <w:rFonts w:ascii="Times New Roman;Times;serif" w:hAnsi="Times New Roman;Times;serif"/>
                  <w:color w:val="000000"/>
                  <w:sz w:val="20"/>
                </w:rPr>
                <w:t>Recommendation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2" w:type="dxa"/>
            <w:tcBorders/>
            <w:vAlign w:val="center"/>
          </w:tcPr>
          <w:p>
            <w:pPr>
              <w:pStyle w:val="TableContents"/>
              <w:bidi w:val="0"/>
              <w:spacing w:before="0" w:after="283"/>
              <w:ind w:left="9" w:right="0" w:hanging="0"/>
              <w:jc w:val="left"/>
              <w:rPr/>
            </w:pPr>
            <w:hyperlink w:anchor="tRBD">
              <w:r>
                <w:rPr>
                  <w:rStyle w:val="InternetLink"/>
                  <w:rFonts w:ascii="Times New Roman;Times;serif" w:hAnsi="Times New Roman;Times;serif"/>
                  <w:color w:val="000000"/>
                  <w:sz w:val="20"/>
                </w:rPr>
                <w:t>8</w:t>
              </w:r>
            </w:hyperlink>
          </w:p>
        </w:tc>
      </w:tr>
      <w:tr>
        <w:trPr/>
        <w:tc>
          <w:tcPr>
            <w:tcW w:w="9373" w:type="dxa"/>
            <w:tcBorders/>
            <w:shd w:fill="CCEEFF" w:val="clear"/>
            <w:vAlign w:val="center"/>
          </w:tcPr>
          <w:p>
            <w:pPr>
              <w:pStyle w:val="TableContents"/>
              <w:bidi w:val="0"/>
              <w:spacing w:before="0" w:after="283"/>
              <w:ind w:left="200" w:right="0" w:hanging="0"/>
              <w:jc w:val="left"/>
              <w:rPr/>
            </w:pPr>
            <w:hyperlink w:anchor="tOD">
              <w:r>
                <w:rPr>
                  <w:rStyle w:val="InternetLink"/>
                  <w:rFonts w:ascii="Times New Roman;Times;serif" w:hAnsi="Times New Roman;Times;serif"/>
                  <w:color w:val="000000"/>
                  <w:sz w:val="20"/>
                </w:rPr>
                <w:t>Other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2" w:type="dxa"/>
            <w:tcBorders/>
            <w:shd w:fill="CCEEFF" w:val="clear"/>
            <w:vAlign w:val="center"/>
          </w:tcPr>
          <w:p>
            <w:pPr>
              <w:pStyle w:val="TableContents"/>
              <w:bidi w:val="0"/>
              <w:spacing w:before="0" w:after="283"/>
              <w:ind w:left="9" w:right="0" w:hanging="0"/>
              <w:jc w:val="left"/>
              <w:rPr/>
            </w:pPr>
            <w:hyperlink w:anchor="tOD">
              <w:r>
                <w:rPr>
                  <w:rStyle w:val="InternetLink"/>
                  <w:rFonts w:ascii="Times New Roman;Times;serif" w:hAnsi="Times New Roman;Times;serif"/>
                  <w:color w:val="000000"/>
                  <w:sz w:val="20"/>
                </w:rPr>
                <w:t>9</w:t>
              </w:r>
            </w:hyperlink>
          </w:p>
        </w:tc>
      </w:tr>
      <w:tr>
        <w:trPr/>
        <w:tc>
          <w:tcPr>
            <w:tcW w:w="9373" w:type="dxa"/>
            <w:tcBorders/>
            <w:vAlign w:val="center"/>
          </w:tcPr>
          <w:p>
            <w:pPr>
              <w:pStyle w:val="TableContents"/>
              <w:bidi w:val="0"/>
              <w:spacing w:before="0" w:after="283"/>
              <w:ind w:left="0" w:right="0" w:hanging="0"/>
              <w:jc w:val="left"/>
              <w:rPr/>
            </w:pPr>
            <w:hyperlink w:anchor="tCG">
              <w:r>
                <w:rPr>
                  <w:rStyle w:val="InternetLink"/>
                  <w:rFonts w:ascii="Times New Roman;Times;serif" w:hAnsi="Times New Roman;Times;serif"/>
                  <w:color w:val="000000"/>
                  <w:sz w:val="20"/>
                </w:rPr>
                <w:t>CORPORATE 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2" w:type="dxa"/>
            <w:tcBorders/>
            <w:vAlign w:val="center"/>
          </w:tcPr>
          <w:p>
            <w:pPr>
              <w:pStyle w:val="TableContents"/>
              <w:bidi w:val="0"/>
              <w:spacing w:before="0" w:after="283"/>
              <w:ind w:left="9" w:right="0" w:hanging="0"/>
              <w:jc w:val="left"/>
              <w:rPr/>
            </w:pPr>
            <w:hyperlink w:anchor="tCG">
              <w:r>
                <w:rPr>
                  <w:rStyle w:val="InternetLink"/>
                  <w:rFonts w:ascii="Times New Roman;Times;serif" w:hAnsi="Times New Roman;Times;serif"/>
                  <w:color w:val="000000"/>
                  <w:sz w:val="20"/>
                </w:rPr>
                <w:t>12</w:t>
              </w:r>
            </w:hyperlink>
          </w:p>
        </w:tc>
      </w:tr>
      <w:tr>
        <w:trPr/>
        <w:tc>
          <w:tcPr>
            <w:tcW w:w="9373" w:type="dxa"/>
            <w:tcBorders/>
            <w:shd w:fill="CCEEFF" w:val="clear"/>
            <w:vAlign w:val="center"/>
          </w:tcPr>
          <w:p>
            <w:pPr>
              <w:pStyle w:val="TableContents"/>
              <w:bidi w:val="0"/>
              <w:spacing w:before="0" w:after="283"/>
              <w:ind w:left="0" w:right="0" w:hanging="0"/>
              <w:jc w:val="left"/>
              <w:rPr/>
            </w:pPr>
            <w:hyperlink w:anchor="tMBC">
              <w:r>
                <w:rPr>
                  <w:rStyle w:val="InternetLink"/>
                  <w:rFonts w:ascii="Times New Roman;Times;serif" w:hAnsi="Times New Roman;Times;serif"/>
                  <w:color w:val="000000"/>
                  <w:sz w:val="20"/>
                </w:rPr>
                <w:t>MEETINGS AND BOARD COMMITTEES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2" w:type="dxa"/>
            <w:tcBorders/>
            <w:shd w:fill="CCEEFF" w:val="clear"/>
            <w:vAlign w:val="center"/>
          </w:tcPr>
          <w:p>
            <w:pPr>
              <w:pStyle w:val="TableContents"/>
              <w:bidi w:val="0"/>
              <w:spacing w:before="0" w:after="283"/>
              <w:ind w:left="9" w:right="0" w:hanging="0"/>
              <w:jc w:val="left"/>
              <w:rPr/>
            </w:pPr>
            <w:hyperlink w:anchor="tMBC">
              <w:r>
                <w:rPr>
                  <w:rStyle w:val="InternetLink"/>
                  <w:rFonts w:ascii="Times New Roman;Times;serif" w:hAnsi="Times New Roman;Times;serif"/>
                  <w:color w:val="000000"/>
                  <w:sz w:val="20"/>
                </w:rPr>
                <w:t>14</w:t>
              </w:r>
            </w:hyperlink>
          </w:p>
        </w:tc>
      </w:tr>
      <w:tr>
        <w:trPr/>
        <w:tc>
          <w:tcPr>
            <w:tcW w:w="9373" w:type="dxa"/>
            <w:tcBorders/>
            <w:vAlign w:val="center"/>
          </w:tcPr>
          <w:p>
            <w:pPr>
              <w:pStyle w:val="TableContents"/>
              <w:bidi w:val="0"/>
              <w:spacing w:before="0" w:after="283"/>
              <w:ind w:left="0" w:right="0" w:hanging="0"/>
              <w:jc w:val="left"/>
              <w:rPr/>
            </w:pPr>
            <w:hyperlink w:anchor="tOFS">
              <w:r>
                <w:rPr>
                  <w:rStyle w:val="InternetLink"/>
                  <w:rFonts w:ascii="Times New Roman;Times;serif" w:hAnsi="Times New Roman;Times;serif"/>
                  <w:color w:val="000000"/>
                  <w:sz w:val="20"/>
                </w:rPr>
                <w:t>OWNERSHIP OF SECURITIES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2" w:type="dxa"/>
            <w:tcBorders/>
            <w:vAlign w:val="center"/>
          </w:tcPr>
          <w:p>
            <w:pPr>
              <w:pStyle w:val="TableContents"/>
              <w:bidi w:val="0"/>
              <w:spacing w:before="0" w:after="283"/>
              <w:ind w:left="9" w:right="0" w:hanging="0"/>
              <w:jc w:val="left"/>
              <w:rPr/>
            </w:pPr>
            <w:hyperlink w:anchor="tOFS">
              <w:r>
                <w:rPr>
                  <w:rStyle w:val="InternetLink"/>
                  <w:rFonts w:ascii="Times New Roman;Times;serif" w:hAnsi="Times New Roman;Times;serif"/>
                  <w:color w:val="000000"/>
                  <w:sz w:val="20"/>
                </w:rPr>
                <w:t>18</w:t>
              </w:r>
            </w:hyperlink>
          </w:p>
        </w:tc>
      </w:tr>
      <w:tr>
        <w:trPr/>
        <w:tc>
          <w:tcPr>
            <w:tcW w:w="9373" w:type="dxa"/>
            <w:tcBorders/>
            <w:shd w:fill="CCEEFF" w:val="clear"/>
            <w:vAlign w:val="center"/>
          </w:tcPr>
          <w:p>
            <w:pPr>
              <w:pStyle w:val="TableContents"/>
              <w:bidi w:val="0"/>
              <w:spacing w:before="0" w:after="283"/>
              <w:ind w:left="200" w:right="0" w:hanging="0"/>
              <w:jc w:val="left"/>
              <w:rPr/>
            </w:pPr>
            <w:hyperlink w:anchor="tECP">
              <w:r>
                <w:rPr>
                  <w:rStyle w:val="InternetLink"/>
                  <w:rFonts w:ascii="Times New Roman;Times;serif" w:hAnsi="Times New Roman;Times;serif"/>
                  <w:color w:val="000000"/>
                  <w:sz w:val="20"/>
                </w:rPr>
                <w:t>Equity Compensation Plan Information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2" w:type="dxa"/>
            <w:tcBorders/>
            <w:shd w:fill="CCEEFF" w:val="clear"/>
            <w:vAlign w:val="center"/>
          </w:tcPr>
          <w:p>
            <w:pPr>
              <w:pStyle w:val="TableContents"/>
              <w:bidi w:val="0"/>
              <w:spacing w:before="0" w:after="283"/>
              <w:ind w:left="9" w:right="0" w:hanging="0"/>
              <w:jc w:val="left"/>
              <w:rPr/>
            </w:pPr>
            <w:hyperlink w:anchor="tECP">
              <w:r>
                <w:rPr>
                  <w:rStyle w:val="InternetLink"/>
                  <w:rFonts w:ascii="Times New Roman;Times;serif" w:hAnsi="Times New Roman;Times;serif"/>
                  <w:color w:val="000000"/>
                  <w:sz w:val="20"/>
                </w:rPr>
                <w:t>20</w:t>
              </w:r>
            </w:hyperlink>
          </w:p>
        </w:tc>
      </w:tr>
      <w:tr>
        <w:trPr/>
        <w:tc>
          <w:tcPr>
            <w:tcW w:w="9373" w:type="dxa"/>
            <w:tcBorders/>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2" w:type="dxa"/>
            <w:tcBorders/>
            <w:vAlign w:val="center"/>
          </w:tcPr>
          <w:p>
            <w:pPr>
              <w:pStyle w:val="TableContents"/>
              <w:bidi w:val="0"/>
              <w:spacing w:before="0" w:after="283"/>
              <w:ind w:left="9" w:right="0" w:hanging="0"/>
              <w:jc w:val="left"/>
              <w:rPr/>
            </w:pPr>
            <w:hyperlink w:anchor="tEC">
              <w:r>
                <w:rPr>
                  <w:rStyle w:val="InternetLink"/>
                  <w:rFonts w:ascii="Times New Roman;Times;serif" w:hAnsi="Times New Roman;Times;serif"/>
                  <w:color w:val="000000"/>
                  <w:sz w:val="20"/>
                </w:rPr>
                <w:t>21</w:t>
              </w:r>
            </w:hyperlink>
          </w:p>
        </w:tc>
      </w:tr>
      <w:tr>
        <w:trPr/>
        <w:tc>
          <w:tcPr>
            <w:tcW w:w="9373" w:type="dxa"/>
            <w:tcBorders/>
            <w:shd w:fill="CCEEFF" w:val="clear"/>
            <w:vAlign w:val="center"/>
          </w:tcPr>
          <w:p>
            <w:pPr>
              <w:pStyle w:val="TableContents"/>
              <w:bidi w:val="0"/>
              <w:spacing w:before="0" w:after="283"/>
              <w:ind w:left="200" w:right="0" w:hanging="0"/>
              <w:jc w:val="left"/>
              <w:rPr/>
            </w:pPr>
            <w:hyperlink w:anchor="tCDA">
              <w:r>
                <w:rPr>
                  <w:rStyle w:val="InternetLink"/>
                  <w:rFonts w:ascii="Times New Roman;Times;serif" w:hAnsi="Times New Roman;Times;serif"/>
                  <w:color w:val="000000"/>
                  <w:sz w:val="20"/>
                </w:rPr>
                <w:t>Compensation Discussion and Analysis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2" w:type="dxa"/>
            <w:tcBorders/>
            <w:shd w:fill="CCEEFF" w:val="clear"/>
            <w:vAlign w:val="center"/>
          </w:tcPr>
          <w:p>
            <w:pPr>
              <w:pStyle w:val="TableContents"/>
              <w:bidi w:val="0"/>
              <w:spacing w:before="0" w:after="283"/>
              <w:ind w:left="9" w:right="0" w:hanging="0"/>
              <w:jc w:val="left"/>
              <w:rPr/>
            </w:pPr>
            <w:hyperlink w:anchor="tCDA">
              <w:r>
                <w:rPr>
                  <w:rStyle w:val="InternetLink"/>
                  <w:rFonts w:ascii="Times New Roman;Times;serif" w:hAnsi="Times New Roman;Times;serif"/>
                  <w:color w:val="000000"/>
                  <w:sz w:val="20"/>
                </w:rPr>
                <w:t>21</w:t>
              </w:r>
            </w:hyperlink>
          </w:p>
        </w:tc>
      </w:tr>
      <w:tr>
        <w:trPr/>
        <w:tc>
          <w:tcPr>
            <w:tcW w:w="9373" w:type="dxa"/>
            <w:tcBorders/>
            <w:vAlign w:val="center"/>
          </w:tcPr>
          <w:p>
            <w:pPr>
              <w:pStyle w:val="TableContents"/>
              <w:bidi w:val="0"/>
              <w:spacing w:before="0" w:after="283"/>
              <w:ind w:left="200" w:right="0" w:hanging="0"/>
              <w:jc w:val="left"/>
              <w:rPr/>
            </w:pPr>
            <w:hyperlink w:anchor="tSCT">
              <w:r>
                <w:rPr>
                  <w:rStyle w:val="InternetLink"/>
                  <w:rFonts w:ascii="Times New Roman;Times;serif" w:hAnsi="Times New Roman;Times;serif"/>
                  <w:color w:val="000000"/>
                  <w:sz w:val="20"/>
                </w:rPr>
                <w:t>Summary Compensation Table for Fiscal Year 2026</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2" w:type="dxa"/>
            <w:tcBorders/>
            <w:vAlign w:val="center"/>
          </w:tcPr>
          <w:p>
            <w:pPr>
              <w:pStyle w:val="TableContents"/>
              <w:bidi w:val="0"/>
              <w:spacing w:before="0" w:after="283"/>
              <w:ind w:left="9" w:right="0" w:hanging="0"/>
              <w:jc w:val="left"/>
              <w:rPr/>
            </w:pPr>
            <w:hyperlink w:anchor="tSCT">
              <w:r>
                <w:rPr>
                  <w:rStyle w:val="InternetLink"/>
                  <w:rFonts w:ascii="Times New Roman;Times;serif" w:hAnsi="Times New Roman;Times;serif"/>
                  <w:color w:val="000000"/>
                  <w:sz w:val="20"/>
                </w:rPr>
                <w:t>34</w:t>
              </w:r>
            </w:hyperlink>
          </w:p>
        </w:tc>
      </w:tr>
      <w:tr>
        <w:trPr/>
        <w:tc>
          <w:tcPr>
            <w:tcW w:w="9373" w:type="dxa"/>
            <w:tcBorders/>
            <w:shd w:fill="CCEEFF" w:val="clear"/>
            <w:vAlign w:val="center"/>
          </w:tcPr>
          <w:p>
            <w:pPr>
              <w:pStyle w:val="TableContents"/>
              <w:bidi w:val="0"/>
              <w:spacing w:before="0" w:after="283"/>
              <w:ind w:left="200" w:right="0" w:hanging="0"/>
              <w:jc w:val="left"/>
              <w:rPr/>
            </w:pPr>
            <w:hyperlink w:anchor="tGPAF">
              <w:r>
                <w:rPr>
                  <w:rStyle w:val="InternetLink"/>
                  <w:rFonts w:ascii="Times New Roman;Times;serif" w:hAnsi="Times New Roman;Times;serif"/>
                  <w:color w:val="000000"/>
                  <w:sz w:val="20"/>
                </w:rPr>
                <w:t>Grants of Plan-Based Awards for Fiscal Year 2026</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2" w:type="dxa"/>
            <w:tcBorders/>
            <w:shd w:fill="CCEEFF" w:val="clear"/>
            <w:vAlign w:val="center"/>
          </w:tcPr>
          <w:p>
            <w:pPr>
              <w:pStyle w:val="TableContents"/>
              <w:bidi w:val="0"/>
              <w:spacing w:before="0" w:after="283"/>
              <w:ind w:left="9" w:right="0" w:hanging="0"/>
              <w:jc w:val="left"/>
              <w:rPr/>
            </w:pPr>
            <w:hyperlink w:anchor="tGPAF">
              <w:r>
                <w:rPr>
                  <w:rStyle w:val="InternetLink"/>
                  <w:rFonts w:ascii="Times New Roman;Times;serif" w:hAnsi="Times New Roman;Times;serif"/>
                  <w:color w:val="000000"/>
                  <w:sz w:val="20"/>
                </w:rPr>
                <w:t>36</w:t>
              </w:r>
            </w:hyperlink>
          </w:p>
        </w:tc>
      </w:tr>
      <w:tr>
        <w:trPr/>
        <w:tc>
          <w:tcPr>
            <w:tcW w:w="9373" w:type="dxa"/>
            <w:tcBorders/>
            <w:vAlign w:val="center"/>
          </w:tcPr>
          <w:p>
            <w:pPr>
              <w:pStyle w:val="TableContents"/>
              <w:bidi w:val="0"/>
              <w:spacing w:before="0" w:after="283"/>
              <w:ind w:left="200" w:right="0" w:hanging="0"/>
              <w:jc w:val="left"/>
              <w:rPr/>
            </w:pPr>
            <w:hyperlink w:anchor="tOEAF">
              <w:r>
                <w:rPr>
                  <w:rStyle w:val="InternetLink"/>
                  <w:rFonts w:ascii="Times New Roman;Times;serif" w:hAnsi="Times New Roman;Times;serif"/>
                  <w:color w:val="000000"/>
                  <w:sz w:val="20"/>
                </w:rPr>
                <w:t>Outstanding Equity Awards at Fiscal 2026 Year-End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2" w:type="dxa"/>
            <w:tcBorders/>
            <w:vAlign w:val="center"/>
          </w:tcPr>
          <w:p>
            <w:pPr>
              <w:pStyle w:val="TableContents"/>
              <w:bidi w:val="0"/>
              <w:spacing w:before="0" w:after="283"/>
              <w:ind w:left="9" w:right="0" w:hanging="0"/>
              <w:jc w:val="left"/>
              <w:rPr/>
            </w:pPr>
            <w:hyperlink w:anchor="tOEAF">
              <w:r>
                <w:rPr>
                  <w:rStyle w:val="InternetLink"/>
                  <w:rFonts w:ascii="Times New Roman;Times;serif" w:hAnsi="Times New Roman;Times;serif"/>
                  <w:color w:val="000000"/>
                  <w:sz w:val="20"/>
                </w:rPr>
                <w:t>37</w:t>
              </w:r>
            </w:hyperlink>
          </w:p>
        </w:tc>
      </w:tr>
      <w:tr>
        <w:trPr/>
        <w:tc>
          <w:tcPr>
            <w:tcW w:w="9373" w:type="dxa"/>
            <w:tcBorders/>
            <w:shd w:fill="CCEEFF" w:val="clear"/>
            <w:vAlign w:val="center"/>
          </w:tcPr>
          <w:p>
            <w:pPr>
              <w:pStyle w:val="TableContents"/>
              <w:bidi w:val="0"/>
              <w:spacing w:before="0" w:after="283"/>
              <w:ind w:left="200" w:right="0" w:hanging="0"/>
              <w:jc w:val="left"/>
              <w:rPr/>
            </w:pPr>
            <w:hyperlink w:anchor="tOESV">
              <w:r>
                <w:rPr>
                  <w:rStyle w:val="InternetLink"/>
                  <w:rFonts w:ascii="Times New Roman;Times;serif" w:hAnsi="Times New Roman;Times;serif"/>
                  <w:color w:val="000000"/>
                  <w:sz w:val="20"/>
                </w:rPr>
                <w:t>Option Exercises and Stock Vested for Fiscal Year 2026</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2" w:type="dxa"/>
            <w:tcBorders/>
            <w:shd w:fill="CCEEFF" w:val="clear"/>
            <w:vAlign w:val="center"/>
          </w:tcPr>
          <w:p>
            <w:pPr>
              <w:pStyle w:val="TableContents"/>
              <w:bidi w:val="0"/>
              <w:spacing w:before="0" w:after="283"/>
              <w:ind w:left="9" w:right="0" w:hanging="0"/>
              <w:jc w:val="left"/>
              <w:rPr/>
            </w:pPr>
            <w:hyperlink w:anchor="tOESV">
              <w:r>
                <w:rPr>
                  <w:rStyle w:val="InternetLink"/>
                  <w:rFonts w:ascii="Times New Roman;Times;serif" w:hAnsi="Times New Roman;Times;serif"/>
                  <w:color w:val="000000"/>
                  <w:sz w:val="20"/>
                </w:rPr>
                <w:t>38</w:t>
              </w:r>
            </w:hyperlink>
          </w:p>
        </w:tc>
      </w:tr>
      <w:tr>
        <w:trPr/>
        <w:tc>
          <w:tcPr>
            <w:tcW w:w="9373" w:type="dxa"/>
            <w:tcBorders/>
            <w:vAlign w:val="center"/>
          </w:tcPr>
          <w:p>
            <w:pPr>
              <w:pStyle w:val="TableContents"/>
              <w:bidi w:val="0"/>
              <w:spacing w:before="0" w:after="283"/>
              <w:ind w:left="200" w:right="0" w:hanging="0"/>
              <w:jc w:val="left"/>
              <w:rPr/>
            </w:pPr>
            <w:hyperlink w:anchor="tEPPU">
              <w:r>
                <w:rPr>
                  <w:rStyle w:val="InternetLink"/>
                  <w:rFonts w:ascii="Times New Roman;Times;serif" w:hAnsi="Times New Roman;Times;serif"/>
                  <w:color w:val="000000"/>
                  <w:sz w:val="20"/>
                </w:rPr>
                <w:t>Estimates of Potential Payments Upon Termination or Change in 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2" w:type="dxa"/>
            <w:tcBorders/>
            <w:vAlign w:val="center"/>
          </w:tcPr>
          <w:p>
            <w:pPr>
              <w:pStyle w:val="TableContents"/>
              <w:bidi w:val="0"/>
              <w:spacing w:before="0" w:after="283"/>
              <w:ind w:left="9" w:right="0" w:hanging="0"/>
              <w:jc w:val="left"/>
              <w:rPr/>
            </w:pPr>
            <w:hyperlink w:anchor="tEPPU">
              <w:r>
                <w:rPr>
                  <w:rStyle w:val="InternetLink"/>
                  <w:rFonts w:ascii="Times New Roman;Times;serif" w:hAnsi="Times New Roman;Times;serif"/>
                  <w:color w:val="000000"/>
                  <w:sz w:val="20"/>
                </w:rPr>
                <w:t>41</w:t>
              </w:r>
            </w:hyperlink>
          </w:p>
        </w:tc>
      </w:tr>
      <w:tr>
        <w:trPr/>
        <w:tc>
          <w:tcPr>
            <w:tcW w:w="9373" w:type="dxa"/>
            <w:tcBorders/>
            <w:shd w:fill="CCEEFF" w:val="clear"/>
            <w:vAlign w:val="center"/>
          </w:tcPr>
          <w:p>
            <w:pPr>
              <w:pStyle w:val="TableContents"/>
              <w:bidi w:val="0"/>
              <w:spacing w:before="0" w:after="283"/>
              <w:ind w:left="200" w:right="0" w:hanging="0"/>
              <w:jc w:val="left"/>
              <w:rPr/>
            </w:pPr>
            <w:hyperlink w:anchor="tCPR">
              <w:r>
                <w:rPr>
                  <w:rStyle w:val="InternetLink"/>
                  <w:rFonts w:ascii="Times New Roman;Times;serif" w:hAnsi="Times New Roman;Times;serif"/>
                  <w:color w:val="000000"/>
                  <w:sz w:val="20"/>
                </w:rPr>
                <w:t>CEO Pay Ratio</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2" w:type="dxa"/>
            <w:tcBorders/>
            <w:shd w:fill="CCEEFF" w:val="clear"/>
            <w:vAlign w:val="center"/>
          </w:tcPr>
          <w:p>
            <w:pPr>
              <w:pStyle w:val="TableContents"/>
              <w:bidi w:val="0"/>
              <w:spacing w:before="0" w:after="283"/>
              <w:ind w:left="9" w:right="0" w:hanging="0"/>
              <w:jc w:val="left"/>
              <w:rPr/>
            </w:pPr>
            <w:hyperlink w:anchor="tCPR">
              <w:r>
                <w:rPr>
                  <w:rStyle w:val="InternetLink"/>
                  <w:rFonts w:ascii="Times New Roman;Times;serif" w:hAnsi="Times New Roman;Times;serif"/>
                  <w:color w:val="000000"/>
                  <w:sz w:val="20"/>
                </w:rPr>
                <w:t>47</w:t>
              </w:r>
            </w:hyperlink>
          </w:p>
        </w:tc>
      </w:tr>
      <w:tr>
        <w:trPr/>
        <w:tc>
          <w:tcPr>
            <w:tcW w:w="9373" w:type="dxa"/>
            <w:tcBorders/>
            <w:vAlign w:val="center"/>
          </w:tcPr>
          <w:p>
            <w:pPr>
              <w:pStyle w:val="TableContents"/>
              <w:bidi w:val="0"/>
              <w:spacing w:before="0" w:after="283"/>
              <w:ind w:left="200" w:right="0" w:hanging="0"/>
              <w:jc w:val="left"/>
              <w:rPr/>
            </w:pPr>
            <w:hyperlink w:anchor="tDCT">
              <w:r>
                <w:rPr>
                  <w:rStyle w:val="InternetLink"/>
                  <w:rFonts w:ascii="Times New Roman;Times;serif" w:hAnsi="Times New Roman;Times;serif"/>
                  <w:color w:val="000000"/>
                  <w:sz w:val="20"/>
                </w:rPr>
                <w:t>Director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2" w:type="dxa"/>
            <w:tcBorders/>
            <w:vAlign w:val="center"/>
          </w:tcPr>
          <w:p>
            <w:pPr>
              <w:pStyle w:val="TableContents"/>
              <w:bidi w:val="0"/>
              <w:spacing w:before="0" w:after="283"/>
              <w:ind w:left="9" w:right="0" w:hanging="0"/>
              <w:jc w:val="left"/>
              <w:rPr/>
            </w:pPr>
            <w:hyperlink w:anchor="tDCT">
              <w:r>
                <w:rPr>
                  <w:rStyle w:val="InternetLink"/>
                  <w:rFonts w:ascii="Times New Roman;Times;serif" w:hAnsi="Times New Roman;Times;serif"/>
                  <w:color w:val="000000"/>
                  <w:sz w:val="20"/>
                </w:rPr>
                <w:t>47</w:t>
              </w:r>
            </w:hyperlink>
          </w:p>
        </w:tc>
      </w:tr>
      <w:tr>
        <w:trPr/>
        <w:tc>
          <w:tcPr>
            <w:tcW w:w="9373" w:type="dxa"/>
            <w:tcBorders/>
            <w:shd w:fill="CCEEFF" w:val="clear"/>
            <w:vAlign w:val="center"/>
          </w:tcPr>
          <w:p>
            <w:pPr>
              <w:pStyle w:val="TableContents"/>
              <w:bidi w:val="0"/>
              <w:spacing w:before="0" w:after="283"/>
              <w:ind w:left="200" w:right="0" w:hanging="200"/>
              <w:jc w:val="left"/>
              <w:rPr/>
            </w:pPr>
            <w:hyperlink w:anchor="tPROP2">
              <w:r>
                <w:rPr>
                  <w:rStyle w:val="InternetLink"/>
                  <w:rFonts w:ascii="Times New Roman;Times;serif" w:hAnsi="Times New Roman;Times;serif"/>
                  <w:color w:val="000000"/>
                  <w:sz w:val="20"/>
                </w:rPr>
                <w:t>PROPOSAL 2 - RATIFICATION OF APPOINTMENT OF INDEPENDENT REGISTERED PUBLIC ACCOUNTING FIRM</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2" w:type="dxa"/>
            <w:tcBorders/>
            <w:shd w:fill="CCEEFF" w:val="clear"/>
            <w:vAlign w:val="center"/>
          </w:tcPr>
          <w:p>
            <w:pPr>
              <w:pStyle w:val="TableContents"/>
              <w:bidi w:val="0"/>
              <w:spacing w:before="0" w:after="283"/>
              <w:ind w:left="9" w:right="0" w:hanging="0"/>
              <w:jc w:val="left"/>
              <w:rPr/>
            </w:pPr>
            <w:hyperlink w:anchor="tPROP2">
              <w:r>
                <w:rPr>
                  <w:rStyle w:val="InternetLink"/>
                  <w:rFonts w:ascii="Times New Roman;Times;serif" w:hAnsi="Times New Roman;Times;serif"/>
                  <w:color w:val="000000"/>
                  <w:sz w:val="20"/>
                </w:rPr>
                <w:t>49</w:t>
              </w:r>
            </w:hyperlink>
          </w:p>
        </w:tc>
      </w:tr>
      <w:tr>
        <w:trPr/>
        <w:tc>
          <w:tcPr>
            <w:tcW w:w="9373" w:type="dxa"/>
            <w:tcBorders/>
            <w:vAlign w:val="center"/>
          </w:tcPr>
          <w:p>
            <w:pPr>
              <w:pStyle w:val="TableContents"/>
              <w:bidi w:val="0"/>
              <w:spacing w:before="0" w:after="283"/>
              <w:ind w:left="200" w:right="0" w:hanging="0"/>
              <w:jc w:val="left"/>
              <w:rPr/>
            </w:pPr>
            <w:hyperlink w:anchor="tRBDS">
              <w:r>
                <w:rPr>
                  <w:rStyle w:val="InternetLink"/>
                  <w:rFonts w:ascii="Times New Roman;Times;serif" w:hAnsi="Times New Roman;Times;serif"/>
                  <w:color w:val="000000"/>
                  <w:sz w:val="20"/>
                </w:rPr>
                <w:t>Recommendation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2" w:type="dxa"/>
            <w:tcBorders/>
            <w:vAlign w:val="center"/>
          </w:tcPr>
          <w:p>
            <w:pPr>
              <w:pStyle w:val="TableContents"/>
              <w:bidi w:val="0"/>
              <w:spacing w:before="0" w:after="283"/>
              <w:ind w:left="9" w:right="0" w:hanging="0"/>
              <w:jc w:val="left"/>
              <w:rPr/>
            </w:pPr>
            <w:hyperlink w:anchor="tRBDS">
              <w:r>
                <w:rPr>
                  <w:rStyle w:val="InternetLink"/>
                  <w:rFonts w:ascii="Times New Roman;Times;serif" w:hAnsi="Times New Roman;Times;serif"/>
                  <w:color w:val="000000"/>
                  <w:sz w:val="20"/>
                </w:rPr>
                <w:t>49</w:t>
              </w:r>
            </w:hyperlink>
          </w:p>
        </w:tc>
      </w:tr>
      <w:tr>
        <w:trPr/>
        <w:tc>
          <w:tcPr>
            <w:tcW w:w="9373" w:type="dxa"/>
            <w:tcBorders/>
            <w:shd w:fill="CCEEFF" w:val="clear"/>
            <w:vAlign w:val="center"/>
          </w:tcPr>
          <w:p>
            <w:pPr>
              <w:pStyle w:val="TableContents"/>
              <w:bidi w:val="0"/>
              <w:spacing w:before="0" w:after="283"/>
              <w:ind w:left="0" w:right="0" w:hanging="0"/>
              <w:jc w:val="left"/>
              <w:rPr/>
            </w:pPr>
            <w:hyperlink w:anchor="tAM">
              <w:r>
                <w:rPr>
                  <w:rStyle w:val="InternetLink"/>
                  <w:rFonts w:ascii="Times New Roman;Times;serif" w:hAnsi="Times New Roman;Times;serif"/>
                  <w:color w:val="000000"/>
                  <w:sz w:val="20"/>
                </w:rPr>
                <w:t>AUDIT MATTERS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2" w:type="dxa"/>
            <w:tcBorders/>
            <w:shd w:fill="CCEEFF" w:val="clear"/>
            <w:vAlign w:val="center"/>
          </w:tcPr>
          <w:p>
            <w:pPr>
              <w:pStyle w:val="TableContents"/>
              <w:bidi w:val="0"/>
              <w:spacing w:before="0" w:after="283"/>
              <w:ind w:left="9" w:right="0" w:hanging="0"/>
              <w:jc w:val="left"/>
              <w:rPr/>
            </w:pPr>
            <w:hyperlink w:anchor="tAM">
              <w:r>
                <w:rPr>
                  <w:rStyle w:val="InternetLink"/>
                  <w:rFonts w:ascii="Times New Roman;Times;serif" w:hAnsi="Times New Roman;Times;serif"/>
                  <w:color w:val="000000"/>
                  <w:sz w:val="20"/>
                </w:rPr>
                <w:t>50</w:t>
              </w:r>
            </w:hyperlink>
          </w:p>
        </w:tc>
      </w:tr>
      <w:tr>
        <w:trPr/>
        <w:tc>
          <w:tcPr>
            <w:tcW w:w="9373" w:type="dxa"/>
            <w:tcBorders/>
            <w:vAlign w:val="center"/>
          </w:tcPr>
          <w:p>
            <w:pPr>
              <w:pStyle w:val="TableContents"/>
              <w:bidi w:val="0"/>
              <w:spacing w:before="0" w:after="283"/>
              <w:ind w:left="200" w:right="0" w:hanging="0"/>
              <w:jc w:val="left"/>
              <w:rPr/>
            </w:pPr>
            <w:hyperlink w:anchor="tACR">
              <w:r>
                <w:rPr>
                  <w:rStyle w:val="InternetLink"/>
                  <w:rFonts w:ascii="Times New Roman;Times;serif" w:hAnsi="Times New Roman;Times;serif"/>
                  <w:color w:val="000000"/>
                  <w:sz w:val="20"/>
                </w:rPr>
                <w:t>Audit Committee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2" w:type="dxa"/>
            <w:tcBorders/>
            <w:vAlign w:val="center"/>
          </w:tcPr>
          <w:p>
            <w:pPr>
              <w:pStyle w:val="TableContents"/>
              <w:bidi w:val="0"/>
              <w:spacing w:before="0" w:after="283"/>
              <w:ind w:left="9" w:right="0" w:hanging="0"/>
              <w:jc w:val="left"/>
              <w:rPr/>
            </w:pPr>
            <w:hyperlink w:anchor="tACR">
              <w:r>
                <w:rPr>
                  <w:rStyle w:val="InternetLink"/>
                  <w:rFonts w:ascii="Times New Roman;Times;serif" w:hAnsi="Times New Roman;Times;serif"/>
                  <w:color w:val="000000"/>
                  <w:sz w:val="20"/>
                </w:rPr>
                <w:t>50</w:t>
              </w:r>
            </w:hyperlink>
          </w:p>
        </w:tc>
      </w:tr>
      <w:tr>
        <w:trPr/>
        <w:tc>
          <w:tcPr>
            <w:tcW w:w="9373" w:type="dxa"/>
            <w:tcBorders/>
            <w:shd w:fill="CCEEFF" w:val="clear"/>
            <w:vAlign w:val="center"/>
          </w:tcPr>
          <w:p>
            <w:pPr>
              <w:pStyle w:val="TableContents"/>
              <w:bidi w:val="0"/>
              <w:spacing w:before="0" w:after="283"/>
              <w:ind w:left="200" w:right="0" w:hanging="0"/>
              <w:jc w:val="left"/>
              <w:rPr/>
            </w:pPr>
            <w:hyperlink w:anchor="tPAFS">
              <w:r>
                <w:rPr>
                  <w:rStyle w:val="InternetLink"/>
                  <w:rFonts w:ascii="Times New Roman;Times;serif" w:hAnsi="Times New Roman;Times;serif"/>
                  <w:color w:val="000000"/>
                  <w:sz w:val="20"/>
                </w:rPr>
                <w:t>Principal Accounting Fees and Services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2" w:type="dxa"/>
            <w:tcBorders/>
            <w:shd w:fill="CCEEFF" w:val="clear"/>
            <w:vAlign w:val="center"/>
          </w:tcPr>
          <w:p>
            <w:pPr>
              <w:pStyle w:val="TableContents"/>
              <w:bidi w:val="0"/>
              <w:spacing w:before="0" w:after="283"/>
              <w:ind w:left="9" w:right="0" w:hanging="0"/>
              <w:jc w:val="left"/>
              <w:rPr/>
            </w:pPr>
            <w:hyperlink w:anchor="tPAFS">
              <w:r>
                <w:rPr>
                  <w:rStyle w:val="InternetLink"/>
                  <w:rFonts w:ascii="Times New Roman;Times;serif" w:hAnsi="Times New Roman;Times;serif"/>
                  <w:color w:val="000000"/>
                  <w:sz w:val="20"/>
                </w:rPr>
                <w:t>51</w:t>
              </w:r>
            </w:hyperlink>
          </w:p>
        </w:tc>
      </w:tr>
      <w:tr>
        <w:trPr/>
        <w:tc>
          <w:tcPr>
            <w:tcW w:w="9373" w:type="dxa"/>
            <w:tcBorders/>
            <w:vAlign w:val="center"/>
          </w:tcPr>
          <w:p>
            <w:pPr>
              <w:pStyle w:val="TableContents"/>
              <w:bidi w:val="0"/>
              <w:spacing w:before="0" w:after="283"/>
              <w:ind w:left="400" w:right="0" w:hanging="200"/>
              <w:jc w:val="left"/>
              <w:rPr/>
            </w:pPr>
            <w:hyperlink w:anchor="tACPA">
              <w:r>
                <w:rPr>
                  <w:rStyle w:val="InternetLink"/>
                  <w:rFonts w:ascii="Times New Roman;Times;serif" w:hAnsi="Times New Roman;Times;serif"/>
                  <w:color w:val="000000"/>
                  <w:sz w:val="20"/>
                </w:rPr>
                <w:t>Policy on Audit Committee Pre-Approval of Audit and Permissible Non-Audit Services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2" w:type="dxa"/>
            <w:tcBorders/>
            <w:vAlign w:val="center"/>
          </w:tcPr>
          <w:p>
            <w:pPr>
              <w:pStyle w:val="TableContents"/>
              <w:bidi w:val="0"/>
              <w:spacing w:before="0" w:after="283"/>
              <w:ind w:left="9" w:right="0" w:hanging="0"/>
              <w:jc w:val="left"/>
              <w:rPr/>
            </w:pPr>
            <w:hyperlink w:anchor="tACPA">
              <w:r>
                <w:rPr>
                  <w:rStyle w:val="InternetLink"/>
                  <w:rFonts w:ascii="Times New Roman;Times;serif" w:hAnsi="Times New Roman;Times;serif"/>
                  <w:color w:val="000000"/>
                  <w:sz w:val="20"/>
                </w:rPr>
                <w:t>51</w:t>
              </w:r>
            </w:hyperlink>
          </w:p>
        </w:tc>
      </w:tr>
      <w:tr>
        <w:trPr/>
        <w:tc>
          <w:tcPr>
            <w:tcW w:w="9373" w:type="dxa"/>
            <w:tcBorders/>
            <w:shd w:fill="CCEEFF" w:val="clear"/>
            <w:vAlign w:val="center"/>
          </w:tcPr>
          <w:p>
            <w:pPr>
              <w:pStyle w:val="TableContents"/>
              <w:bidi w:val="0"/>
              <w:spacing w:before="0" w:after="283"/>
              <w:ind w:left="200" w:right="0" w:hanging="200"/>
              <w:jc w:val="left"/>
              <w:rPr/>
            </w:pPr>
            <w:hyperlink w:anchor="tPROP3">
              <w:r>
                <w:rPr>
                  <w:rStyle w:val="InternetLink"/>
                  <w:rFonts w:ascii="Times New Roman;Times;serif" w:hAnsi="Times New Roman;Times;serif"/>
                  <w:color w:val="000000"/>
                  <w:sz w:val="20"/>
                </w:rPr>
                <w:t>PROPOSAL 3 - ADVISORY VOTE ON THE COMPENSATION OF OUR NAMED EXECUTIVE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2" w:type="dxa"/>
            <w:tcBorders/>
            <w:shd w:fill="CCEEFF" w:val="clear"/>
            <w:vAlign w:val="center"/>
          </w:tcPr>
          <w:p>
            <w:pPr>
              <w:pStyle w:val="TableContents"/>
              <w:bidi w:val="0"/>
              <w:spacing w:before="0" w:after="283"/>
              <w:ind w:left="9" w:right="0" w:hanging="0"/>
              <w:jc w:val="left"/>
              <w:rPr/>
            </w:pPr>
            <w:hyperlink w:anchor="tPROP3">
              <w:r>
                <w:rPr>
                  <w:rStyle w:val="InternetLink"/>
                  <w:rFonts w:ascii="Times New Roman;Times;serif" w:hAnsi="Times New Roman;Times;serif"/>
                  <w:color w:val="000000"/>
                  <w:sz w:val="20"/>
                </w:rPr>
                <w:t>52</w:t>
              </w:r>
            </w:hyperlink>
          </w:p>
        </w:tc>
      </w:tr>
      <w:tr>
        <w:trPr/>
        <w:tc>
          <w:tcPr>
            <w:tcW w:w="9373" w:type="dxa"/>
            <w:tcBorders/>
            <w:vAlign w:val="center"/>
          </w:tcPr>
          <w:p>
            <w:pPr>
              <w:pStyle w:val="TableContents"/>
              <w:bidi w:val="0"/>
              <w:spacing w:before="0" w:after="283"/>
              <w:ind w:left="200" w:right="0" w:hanging="0"/>
              <w:jc w:val="left"/>
              <w:rPr/>
            </w:pPr>
            <w:hyperlink w:anchor="tAOP">
              <w:r>
                <w:rPr>
                  <w:rStyle w:val="InternetLink"/>
                  <w:rFonts w:ascii="Times New Roman;Times;serif" w:hAnsi="Times New Roman;Times;serif"/>
                  <w:color w:val="000000"/>
                  <w:sz w:val="20"/>
                </w:rPr>
                <w:t>Adoption of Proposal 3</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2" w:type="dxa"/>
            <w:tcBorders/>
            <w:vAlign w:val="center"/>
          </w:tcPr>
          <w:p>
            <w:pPr>
              <w:pStyle w:val="TableContents"/>
              <w:bidi w:val="0"/>
              <w:spacing w:before="0" w:after="283"/>
              <w:ind w:left="9" w:right="0" w:hanging="0"/>
              <w:jc w:val="left"/>
              <w:rPr/>
            </w:pPr>
            <w:hyperlink w:anchor="tAOP">
              <w:r>
                <w:rPr>
                  <w:rStyle w:val="InternetLink"/>
                  <w:rFonts w:ascii="Times New Roman;Times;serif" w:hAnsi="Times New Roman;Times;serif"/>
                  <w:color w:val="000000"/>
                  <w:sz w:val="20"/>
                </w:rPr>
                <w:t>52</w:t>
              </w:r>
            </w:hyperlink>
          </w:p>
        </w:tc>
      </w:tr>
      <w:tr>
        <w:trPr/>
        <w:tc>
          <w:tcPr>
            <w:tcW w:w="9373" w:type="dxa"/>
            <w:tcBorders/>
            <w:shd w:fill="CCEEFF" w:val="clear"/>
            <w:vAlign w:val="center"/>
          </w:tcPr>
          <w:p>
            <w:pPr>
              <w:pStyle w:val="TableContents"/>
              <w:bidi w:val="0"/>
              <w:spacing w:before="0" w:after="283"/>
              <w:ind w:left="200" w:right="0" w:hanging="0"/>
              <w:jc w:val="left"/>
              <w:rPr/>
            </w:pPr>
            <w:hyperlink w:anchor="tRBDO">
              <w:r>
                <w:rPr>
                  <w:rStyle w:val="InternetLink"/>
                  <w:rFonts w:ascii="Times New Roman;Times;serif" w:hAnsi="Times New Roman;Times;serif"/>
                  <w:color w:val="000000"/>
                  <w:sz w:val="20"/>
                </w:rPr>
                <w:t>Recommendation of the Board of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2" w:type="dxa"/>
            <w:tcBorders/>
            <w:shd w:fill="CCEEFF" w:val="clear"/>
            <w:vAlign w:val="center"/>
          </w:tcPr>
          <w:p>
            <w:pPr>
              <w:pStyle w:val="TableContents"/>
              <w:bidi w:val="0"/>
              <w:spacing w:before="0" w:after="283"/>
              <w:ind w:left="9" w:right="0" w:hanging="0"/>
              <w:jc w:val="left"/>
              <w:rPr/>
            </w:pPr>
            <w:hyperlink w:anchor="tRBDO">
              <w:r>
                <w:rPr>
                  <w:rStyle w:val="InternetLink"/>
                  <w:rFonts w:ascii="Times New Roman;Times;serif" w:hAnsi="Times New Roman;Times;serif"/>
                  <w:color w:val="000000"/>
                  <w:sz w:val="20"/>
                </w:rPr>
                <w:t>52</w:t>
              </w:r>
            </w:hyperlink>
          </w:p>
        </w:tc>
      </w:tr>
      <w:tr>
        <w:trPr/>
        <w:tc>
          <w:tcPr>
            <w:tcW w:w="9373" w:type="dxa"/>
            <w:tcBorders/>
            <w:vAlign w:val="center"/>
          </w:tcPr>
          <w:p>
            <w:pPr>
              <w:pStyle w:val="TableContents"/>
              <w:bidi w:val="0"/>
              <w:spacing w:before="0" w:after="283"/>
              <w:ind w:left="200" w:right="0" w:hanging="200"/>
              <w:jc w:val="left"/>
              <w:rPr/>
            </w:pPr>
            <w:hyperlink w:anchor="tPROP4">
              <w:r>
                <w:rPr>
                  <w:rStyle w:val="InternetLink"/>
                  <w:rFonts w:ascii="Times New Roman;Times;serif" w:hAnsi="Times New Roman;Times;serif"/>
                  <w:color w:val="000000"/>
                  <w:sz w:val="20"/>
                </w:rPr>
                <w:t>PROPOSAL 4 - APPROVAL OF AN AMENDMENT TO THE ANGIODYNAMICS, INC. 2020 EQUITY INCENTIVE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2" w:type="dxa"/>
            <w:tcBorders/>
            <w:vAlign w:val="center"/>
          </w:tcPr>
          <w:p>
            <w:pPr>
              <w:pStyle w:val="TableContents"/>
              <w:bidi w:val="0"/>
              <w:spacing w:before="0" w:after="283"/>
              <w:ind w:left="9" w:right="0" w:hanging="0"/>
              <w:jc w:val="left"/>
              <w:rPr/>
            </w:pPr>
            <w:hyperlink w:anchor="tPROP4">
              <w:r>
                <w:rPr>
                  <w:rStyle w:val="InternetLink"/>
                  <w:rFonts w:ascii="Times New Roman;Times;serif" w:hAnsi="Times New Roman;Times;serif"/>
                  <w:color w:val="000000"/>
                  <w:sz w:val="20"/>
                </w:rPr>
                <w:t>53</w:t>
              </w:r>
            </w:hyperlink>
          </w:p>
        </w:tc>
      </w:tr>
      <w:tr>
        <w:trPr/>
        <w:tc>
          <w:tcPr>
            <w:tcW w:w="9373" w:type="dxa"/>
            <w:tcBorders/>
            <w:shd w:fill="CCEEFF" w:val="clear"/>
            <w:vAlign w:val="center"/>
          </w:tcPr>
          <w:p>
            <w:pPr>
              <w:pStyle w:val="TableContents"/>
              <w:bidi w:val="0"/>
              <w:spacing w:before="0" w:after="283"/>
              <w:ind w:left="0" w:right="0" w:hanging="0"/>
              <w:jc w:val="left"/>
              <w:rPr/>
            </w:pPr>
            <w:hyperlink w:anchor="tCRRT">
              <w:r>
                <w:rPr>
                  <w:rStyle w:val="InternetLink"/>
                  <w:rFonts w:ascii="Times New Roman;Times;serif" w:hAnsi="Times New Roman;Times;serif"/>
                  <w:color w:val="000000"/>
                  <w:sz w:val="20"/>
                </w:rPr>
                <w:t>CERTAIN RELATIONSHIPS AND RELATED TRANSACTIONS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2" w:type="dxa"/>
            <w:tcBorders/>
            <w:shd w:fill="CCEEFF" w:val="clear"/>
            <w:vAlign w:val="center"/>
          </w:tcPr>
          <w:p>
            <w:pPr>
              <w:pStyle w:val="TableContents"/>
              <w:bidi w:val="0"/>
              <w:spacing w:before="0" w:after="283"/>
              <w:ind w:left="9" w:right="0" w:hanging="0"/>
              <w:jc w:val="left"/>
              <w:rPr/>
            </w:pPr>
            <w:hyperlink w:anchor="tCRRT">
              <w:r>
                <w:rPr>
                  <w:rStyle w:val="InternetLink"/>
                  <w:rFonts w:ascii="Times New Roman;Times;serif" w:hAnsi="Times New Roman;Times;serif"/>
                  <w:color w:val="000000"/>
                  <w:sz w:val="20"/>
                </w:rPr>
                <w:t>60</w:t>
              </w:r>
            </w:hyperlink>
          </w:p>
        </w:tc>
      </w:tr>
      <w:tr>
        <w:trPr/>
        <w:tc>
          <w:tcPr>
            <w:tcW w:w="9373" w:type="dxa"/>
            <w:tcBorders/>
            <w:vAlign w:val="center"/>
          </w:tcPr>
          <w:p>
            <w:pPr>
              <w:pStyle w:val="TableContents"/>
              <w:bidi w:val="0"/>
              <w:spacing w:before="0" w:after="283"/>
              <w:ind w:left="0" w:right="0" w:hanging="0"/>
              <w:jc w:val="left"/>
              <w:rPr/>
            </w:pPr>
            <w:hyperlink w:anchor="tAR">
              <w:r>
                <w:rPr>
                  <w:rStyle w:val="InternetLink"/>
                  <w:rFonts w:ascii="Times New Roman;Times;serif" w:hAnsi="Times New Roman;Times;serif"/>
                  <w:color w:val="000000"/>
                  <w:sz w:val="20"/>
                </w:rPr>
                <w:t>ANNUAL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2" w:type="dxa"/>
            <w:tcBorders/>
            <w:vAlign w:val="center"/>
          </w:tcPr>
          <w:p>
            <w:pPr>
              <w:pStyle w:val="TableContents"/>
              <w:bidi w:val="0"/>
              <w:spacing w:before="0" w:after="283"/>
              <w:ind w:left="9" w:right="0" w:hanging="0"/>
              <w:jc w:val="left"/>
              <w:rPr/>
            </w:pPr>
            <w:hyperlink w:anchor="tAR">
              <w:r>
                <w:rPr>
                  <w:rStyle w:val="InternetLink"/>
                  <w:rFonts w:ascii="Times New Roman;Times;serif" w:hAnsi="Times New Roman;Times;serif"/>
                  <w:color w:val="000000"/>
                  <w:sz w:val="20"/>
                </w:rPr>
                <w:t>61</w:t>
              </w:r>
            </w:hyperlink>
          </w:p>
        </w:tc>
      </w:tr>
      <w:tr>
        <w:trPr/>
        <w:tc>
          <w:tcPr>
            <w:tcW w:w="9373" w:type="dxa"/>
            <w:tcBorders/>
            <w:shd w:fill="CCEEFF" w:val="clear"/>
            <w:vAlign w:val="center"/>
          </w:tcPr>
          <w:p>
            <w:pPr>
              <w:pStyle w:val="TableContents"/>
              <w:bidi w:val="0"/>
              <w:spacing w:before="0" w:after="283"/>
              <w:ind w:left="0" w:right="0" w:hanging="0"/>
              <w:jc w:val="left"/>
              <w:rPr/>
            </w:pPr>
            <w:hyperlink w:anchor="tSPAN">
              <w:r>
                <w:rPr>
                  <w:rStyle w:val="InternetLink"/>
                  <w:rFonts w:ascii="Times New Roman;Times;serif" w:hAnsi="Times New Roman;Times;serif"/>
                  <w:color w:val="000000"/>
                  <w:sz w:val="20"/>
                </w:rPr>
                <w:t>SHAREHOLDER PROPOSALS AND NOMINATIONS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2" w:type="dxa"/>
            <w:tcBorders/>
            <w:shd w:fill="CCEEFF" w:val="clear"/>
            <w:vAlign w:val="center"/>
          </w:tcPr>
          <w:p>
            <w:pPr>
              <w:pStyle w:val="TableContents"/>
              <w:bidi w:val="0"/>
              <w:spacing w:before="0" w:after="283"/>
              <w:ind w:left="9" w:right="0" w:hanging="0"/>
              <w:jc w:val="left"/>
              <w:rPr/>
            </w:pPr>
            <w:hyperlink w:anchor="tSPAN">
              <w:r>
                <w:rPr>
                  <w:rStyle w:val="InternetLink"/>
                  <w:rFonts w:ascii="Times New Roman;Times;serif" w:hAnsi="Times New Roman;Times;serif"/>
                  <w:color w:val="000000"/>
                  <w:sz w:val="20"/>
                </w:rPr>
                <w:t>62</w:t>
              </w:r>
            </w:hyperlink>
          </w:p>
        </w:tc>
      </w:tr>
      <w:tr>
        <w:trPr/>
        <w:tc>
          <w:tcPr>
            <w:tcW w:w="9373" w:type="dxa"/>
            <w:tcBorders/>
            <w:vAlign w:val="center"/>
          </w:tcPr>
          <w:p>
            <w:pPr>
              <w:pStyle w:val="TableContents"/>
              <w:bidi w:val="0"/>
              <w:spacing w:before="0" w:after="283"/>
              <w:ind w:left="0" w:right="0" w:hanging="0"/>
              <w:jc w:val="left"/>
              <w:rPr/>
            </w:pPr>
            <w:hyperlink w:anchor="tOTM">
              <w:r>
                <w:rPr>
                  <w:rStyle w:val="InternetLink"/>
                  <w:rFonts w:ascii="Times New Roman;Times;serif" w:hAnsi="Times New Roman;Times;serif"/>
                  <w:color w:val="000000"/>
                  <w:sz w:val="20"/>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2" w:type="dxa"/>
            <w:tcBorders/>
            <w:vAlign w:val="center"/>
          </w:tcPr>
          <w:p>
            <w:pPr>
              <w:pStyle w:val="TableContents"/>
              <w:bidi w:val="0"/>
              <w:spacing w:before="0" w:after="283"/>
              <w:ind w:left="9" w:right="0" w:hanging="0"/>
              <w:jc w:val="left"/>
              <w:rPr/>
            </w:pPr>
            <w:hyperlink w:anchor="tOTM">
              <w:r>
                <w:rPr>
                  <w:rStyle w:val="InternetLink"/>
                  <w:rFonts w:ascii="Times New Roman;Times;serif" w:hAnsi="Times New Roman;Times;serif"/>
                  <w:color w:val="000000"/>
                  <w:sz w:val="20"/>
                </w:rPr>
                <w:t>63</w:t>
              </w:r>
            </w:hyperlink>
          </w:p>
        </w:tc>
      </w:tr>
      <w:tr>
        <w:trPr/>
        <w:tc>
          <w:tcPr>
            <w:tcW w:w="9373" w:type="dxa"/>
            <w:tcBorders/>
            <w:shd w:fill="CCEEFF" w:val="clear"/>
            <w:vAlign w:val="center"/>
          </w:tcPr>
          <w:p>
            <w:pPr>
              <w:pStyle w:val="TableContents"/>
              <w:bidi w:val="0"/>
              <w:spacing w:before="0" w:after="283"/>
              <w:ind w:left="0" w:right="0" w:hanging="0"/>
              <w:jc w:val="left"/>
              <w:rPr/>
            </w:pPr>
            <w:hyperlink w:anchor="tAPPA">
              <w:r>
                <w:rPr>
                  <w:rStyle w:val="InternetLink"/>
                  <w:rFonts w:ascii="Times New Roman;Times;serif" w:hAnsi="Times New Roman;Times;serif"/>
                  <w:color w:val="000000"/>
                  <w:sz w:val="20"/>
                </w:rPr>
                <w:t>APPENDIX A</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2" w:type="dxa"/>
            <w:tcBorders/>
            <w:shd w:fill="CCEEFF" w:val="clear"/>
            <w:vAlign w:val="center"/>
          </w:tcPr>
          <w:p>
            <w:pPr>
              <w:pStyle w:val="TableContents"/>
              <w:bidi w:val="0"/>
              <w:spacing w:before="0" w:after="283"/>
              <w:ind w:left="9" w:right="0" w:hanging="0"/>
              <w:jc w:val="left"/>
              <w:rPr/>
            </w:pPr>
            <w:hyperlink w:anchor="tAPPA">
              <w:r>
                <w:rPr>
                  <w:rStyle w:val="InternetLink"/>
                  <w:rFonts w:ascii="Times New Roman;Times;serif" w:hAnsi="Times New Roman;Times;serif"/>
                  <w:color w:val="000000"/>
                  <w:sz w:val="20"/>
                </w:rPr>
                <w:t>A-1</w:t>
              </w:r>
            </w:hyperlink>
          </w:p>
        </w:tc>
      </w:tr>
      <w:tr>
        <w:trPr/>
        <w:tc>
          <w:tcPr>
            <w:tcW w:w="937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2"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11" w:name="ny20083274x1_def14a_105-meeting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ANGIODYNAMICS, INC.</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14 Plaza Drive</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Latham, New York 12110</w:t>
      </w:r>
    </w:p>
    <w:p>
      <w:pPr>
        <w:pStyle w:val="TextBody"/>
        <w:bidi w:val="0"/>
        <w:spacing w:before="14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300" w:after="283"/>
        <w:jc w:val="center"/>
        <w:rPr>
          <w:rFonts w:ascii="Times New Roman;Times;serif" w:hAnsi="Times New Roman;Times;serif"/>
          <w:b/>
          <w:color w:val="000000"/>
          <w:sz w:val="20"/>
        </w:rPr>
      </w:pPr>
      <w:bookmarkStart w:id="12" w:name="tPC"/>
      <w:bookmarkEnd w:id="12"/>
      <w:r>
        <w:rPr>
          <w:rFonts w:ascii="Times New Roman;Times;serif" w:hAnsi="Times New Roman;Times;serif"/>
          <w:b/>
          <w:color w:val="000000"/>
          <w:sz w:val="20"/>
        </w:rPr>
        <w:t>PROXY STATEMENT</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ANNUAL MEETING OF SHAREHOLDERS</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OF ANGIODYNAMICS, INC.</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November 17, 2026</w:t>
      </w:r>
    </w:p>
    <w:p>
      <w:pPr>
        <w:pStyle w:val="TextBody"/>
        <w:bidi w:val="0"/>
        <w:spacing w:before="14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300" w:after="283"/>
        <w:jc w:val="center"/>
        <w:rPr>
          <w:rFonts w:ascii="Times New Roman;Times;serif" w:hAnsi="Times New Roman;Times;serif"/>
          <w:b/>
          <w:color w:val="000000"/>
          <w:sz w:val="20"/>
        </w:rPr>
      </w:pPr>
      <w:bookmarkStart w:id="13" w:name="tITD"/>
      <w:bookmarkEnd w:id="13"/>
      <w:r>
        <w:rPr>
          <w:rFonts w:ascii="Times New Roman;Times;serif" w:hAnsi="Times New Roman;Times;serif"/>
          <w:b/>
          <w:color w:val="000000"/>
          <w:sz w:val="20"/>
        </w:rPr>
        <w:t xml:space="preserve">INTRODUCTION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furnishing this proxy statement to the shareholders of AngioDynamics, Inc. in connection with the solicitation by our Board of Directors of proxies to be voted at our 2026 Annual Meeting of Shareholders referred to in the attached notice and at any adjournments or postponements thereof. The Annual Meeting will be held on November 17, 2026 at 12:00 p.m., Eastern Time. The Annual Meeting will be held virtually via live webcast at www.virtualshareholdermeeting.com/ANGO2026. There will be no physical in-person meeting. Only shareholders who held shares at the close of business on Friday, September 18, 2026 are entitled to notice of and to vote at the meeting, or at any adjournments or postponements thereof. You may vote during the Annual Meeting by visiting www.virtualshareholdermeeting.com/ANGO2026. To participate in the meeting, you must have your sixteen-digit control number located on your notice, on your proxy card or on the instructions that accompanied your proxy materials. We expect to mail this proxy statement and the accompanying proxy card or voting instruction form beginning on or around October 8, 2026 to each shareholder entitled to vote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 used in this proxy statement, the terms “we,” “us,” “our,” “the Company” and “AngioDynamics” refer to AngioDynamics, Inc. The terms “Board of Directors” and “Board” refer to the Board of Directors of AngioDynamics, Inc. Our principal executive offices are located at 14 Plaza Drive, Latham, New York 12110.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proxy statement may contain forward-looking statements within the meaning of the Private Securities Litigation Reform Act of 1995, which are based on management’s current expectations, the accuracy of which is necessarily subject to risk and uncertainties. Please refer to “Risk Factors” in our Form 10-K for the year ended May 31, 2026, for more detailed information about these and other factors that may cause actual results to differ materially from those expressed or implied.</w:t>
      </w:r>
    </w:p>
    <w:p>
      <w:pPr>
        <w:pStyle w:val="TextBody"/>
        <w:bidi w:val="0"/>
        <w:spacing w:before="300" w:after="283"/>
        <w:jc w:val="center"/>
        <w:rPr>
          <w:rFonts w:ascii="Times New Roman;Times;serif" w:hAnsi="Times New Roman;Times;serif"/>
          <w:b/>
          <w:color w:val="000000"/>
          <w:sz w:val="20"/>
        </w:rPr>
      </w:pPr>
      <w:bookmarkStart w:id="14" w:name="tGIA"/>
      <w:bookmarkEnd w:id="14"/>
      <w:r>
        <w:rPr>
          <w:rFonts w:ascii="Times New Roman;Times;serif" w:hAnsi="Times New Roman;Times;serif"/>
          <w:b/>
          <w:color w:val="000000"/>
          <w:sz w:val="20"/>
        </w:rPr>
        <w:t xml:space="preserve">GENERAL INFORMATION ABOUT THE MEETING AND VOTING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am I voting 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Annual Meeting, we will ask holders of our common stock to consider and vote upon the following items: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1. Election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election of two Class II directors, namely, Eileen O. Auen and Jan Stern Reed. Howard W. Donnelly notified the Board of his intention to retire as a Class II director at the end of his current term and as a result will not stand for reelection. If elected, these Class II directors will serve until the 2029 Annual Meeting of Shareholders and until their successors are duly elected and qualified.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2. Ratification of Appointment of Independent Registered Public Accounting Firm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Ratification of the appointment of Deloitte &amp; Touche LLP as our independent registered public accounting firm for the fiscal year ending May 31, 2027.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5" w:name="ny20083274x1_def14a_105-meeting_pg2"/>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3. Advisory Vote on the Compensation of our Named Executive Officers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“Say-on-Pay” advisory vote on the approval of the compensation of our named executive officers. </w:t>
      </w:r>
    </w:p>
    <w:p>
      <w:pPr>
        <w:pStyle w:val="TextBody"/>
        <w:bidi w:val="0"/>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4. Approval of an amendment to the AngioDynamics, Inc. 2020 Equity Incentive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amended AngioDynamics, Inc. 2020 Equity Incentive Award Plan to increase the total number of shares of common stock reserved for issuance from 9,050,000 to 10,050,000 shares.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receive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rules adopted by the U.S. Securities and Exchange Commission (the “SEC”), we are furnishing proxy materials to our shareholders primarily via the internet, instead of mailing printed copies of proxy materials to each shareholder. On or about October 8, 2026, we began mailing to our shareholders a “Notice of Internet Availability of Proxy Materials” (sometimes referred to herein as the “Notice”) containing instructions on how to access this proxy statement, the accompanying notice of Annual Meeting and our annual report for the fiscal year ended May 31, 2026 online. If you received the Notice by mail, you will not automatically receive a printed copy of the proxy materials in the mail. Instead, the Notice instructs you on how to access and review all of the important information contained in the proxy materials. The Notice also instructs you on how you may submit your proxy via the internet.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Finally, you can receive a copy of our proxy materials by following the instructions contained in the Notice regarding how you may request to receive your materials electronically or in printed form on a one-time or ongoing basis. Requests for printed copies of the proxy materials can be made through the internet at http://www.proxyvote.com, by telephone at 1-800-579-1639 or by e-mail at sendmaterial@proxyvote.com by sending a blank e-mail with your control number in the subject line.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Shareholders of record at the close of business on September 18, 2026, the record date for the Annual Meeting, are entitled to receive this proxy statement and to vote at the meeting and at any adjournment or postponement thereof. As of the close of business on the record date, there were 42,054,450 outstanding shares of our common stock entitled to notice of, and to vote at, the Annual Meeting. Holders of our common stock have one vote per share on each matter to be acted upon. A list of the shareholders of record entitled to vote at the Annual Meeting will be available at the Annual Meeting and for 10 days prior to the Annual Meeting, for any purpose germane to the meeting. Interested parties should contact our Chief Legal Officer and Corporate Secretary between the hours of 9:00 a.m. and 4:30 p.m. at our principal executive offices at 14 Plaza Drive, Latham, New York 12110.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hold your shares in “street name” (that is, through a bank, broker, trustee or other nominee), the Notice was forwarded to you by your bank, broker, trustee or other nominee. As the beneficial owner, you have the right to direct your bank, broker, trustee or other nominee as to how to vote your shares. Beneficial owners are also invited to attend the Annual Meeting. However, since a beneficial owner is not the shareholder of record, you may not vote your shares live at the Annual Meeting unless you follow your broker, bank or other nominee’s procedures for obtaining a legal proxy.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my shares without attending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shareholder of record as of the record date for the Annual Meeting, you may vote by granting a proxy. For shares held in street name, you may vote by submitting voting instructions to your broker or nominee. In most circumstances, you may vote: </w:t>
      </w:r>
    </w:p>
    <w:p>
      <w:pPr>
        <w:pStyle w:val="TextBody"/>
        <w:bidi w:val="0"/>
        <w:spacing w:before="120" w:after="283"/>
        <w:ind w:left="40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By Internet or Telephone </w:t>
      </w:r>
      <w:r>
        <w:rPr>
          <w:rFonts w:ascii="Times New Roman;Times;serif" w:hAnsi="Times New Roman;Times;serif"/>
          <w:i w:val="false"/>
          <w:caps w:val="false"/>
          <w:smallCaps w:val="false"/>
          <w:color w:val="000000"/>
          <w:sz w:val="20"/>
        </w:rPr>
        <w:t xml:space="preserve">- If you have internet or telephone access, you may submit your proxy by following the voting instructions in the Notice of Annual Meeting no later than 11:59 p.m., New York City Time, on November 9, 2026. If you vote by internet or telephone, you need not return your proxy card. </w:t>
      </w:r>
    </w:p>
    <w:p>
      <w:pPr>
        <w:pStyle w:val="TextBody"/>
        <w:bidi w:val="0"/>
        <w:spacing w:before="120" w:after="283"/>
        <w:ind w:left="40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By Mail </w:t>
      </w:r>
      <w:r>
        <w:rPr>
          <w:rFonts w:ascii="Times New Roman;Times;serif" w:hAnsi="Times New Roman;Times;serif"/>
          <w:i w:val="false"/>
          <w:caps w:val="false"/>
          <w:smallCaps w:val="false"/>
          <w:color w:val="000000"/>
          <w:sz w:val="20"/>
        </w:rPr>
        <w:t xml:space="preserve">- If you received a paper copy of this proxy statement, you may vote by mail by signing, dating and mailing your proxy card in the envelope provided which must be received in time for the annual meeting. You should sign your name exactly as it appears on the proxy card. If you are signing in a representative capacity (for example, as guardian, executor, trustee, custodian, or attorney or an officer of a corporation), you should indicate your name and title or capacity.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6" w:name="ny20083274x1_def14a_105-meeting_pg3"/>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my shares virtually at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shareholder of record as of the record date for the Annual Meeting, you can participate in the Annual Meeting live online at www.virtualshareholdermeeting.com/ANGO2026. The webcast will start on November 17, 2026 at 12:00 p.m, Eastern Time. You may vote and submit questions while attending the Annual Meeting online. You will need the sixteen-digit control number included on your Notice, on your proxy card or on the instructions that accompanied your proxy materials in order to be able to enter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Street name shareholders must provide specific instructions on how to vote your shares by completing and returning the voting instruction form provided by your bank, broker, trustee or other nominee.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Even if you plan to attend the virtual meeting, we encourage you to vote in advance by internet, telephone or mail so that your vote will be counted in the event you are unable to attend.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attend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wish to attend the meeting via live webcast, you will need to log in to the webcast using the sixteen-digit control number located on your Notice, on your proxy card or on the instructions that accompanied your proxy materials. You may log in to the webcast by visiting www.virtualshareholdermeeting.com/ANGO2026. The webcast will begin promptly at 12:00 p.m., Eastern Time on November 17, 2026. Online access will begin at 11:50 a.m., Eastern Time. We encourage you to access the webcast prior to the designated start time, to give yourself plenty of time to log in and ensure that you can hear streaming audio prior to the start of the meeting.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ask questions at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Questions may be submitted prior to the meeting or you may submit questions in real time during the meeting through our virtual shareholder forum. You must first join the meeting as described above in “How can I attend the meeting?”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proxy card or Notice?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receive more than one proxy card or Notice, it generally means that you hold shares registered in more than one account. If you received a paper copy of this proxy statement and you vote by mail, you should sign and return each proxy card. Alternatively, if you vote by internet or telephone, you should vote once for each proxy card and/or Notice you receive. If you have received more than one Notice, you should vote once for each Notice that you receive.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May I change my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Yes. If you are a shareholder of record and whether you have voted by mail, internet or telephone, you may change your vote and revoke your proxy, prior to the Annual Meeting, by: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Sending a written statement to that effect to AngioDynamics’ Chief Legal Officer at AngioDynamics Corporate headquarters at 14 Plaza Drive, Latham New York, 12110; </w:t>
            </w:r>
          </w:p>
        </w:tc>
      </w:tr>
    </w:tbl>
    <w:tbl>
      <w:tblPr>
        <w:tblW w:w="4030" w:type="dxa"/>
        <w:jc w:val="left"/>
        <w:tblInd w:w="0" w:type="dxa"/>
        <w:tblLayout w:type="fixed"/>
        <w:tblCellMar>
          <w:top w:w="0" w:type="dxa"/>
          <w:left w:w="0" w:type="dxa"/>
          <w:bottom w:w="0" w:type="dxa"/>
          <w:right w:w="0" w:type="dxa"/>
        </w:tblCellMar>
      </w:tblPr>
      <w:tblGrid>
        <w:gridCol w:w="140"/>
        <w:gridCol w:w="3890"/>
      </w:tblGrid>
      <w:tr>
        <w:trPr/>
        <w:tc>
          <w:tcPr>
            <w:tcW w:w="140" w:type="dxa"/>
            <w:tcBorders/>
            <w:vAlign w:val="center"/>
          </w:tcPr>
          <w:p>
            <w:pPr>
              <w:pStyle w:val="TableContents"/>
              <w:bidi w:val="0"/>
              <w:spacing w:before="0" w:after="0"/>
              <w:jc w:val="left"/>
              <w:rPr>
                <w:color w:val="000000"/>
              </w:rPr>
            </w:pPr>
            <w:r>
              <w:rPr>
                <w:color w:val="000000"/>
              </w:rPr>
              <w:t>•</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Voting by internet or telephone at a later time; </w:t>
            </w:r>
          </w:p>
        </w:tc>
      </w:tr>
    </w:tbl>
    <w:tbl>
      <w:tblPr>
        <w:tblW w:w="5155" w:type="dxa"/>
        <w:jc w:val="left"/>
        <w:tblInd w:w="0" w:type="dxa"/>
        <w:tblLayout w:type="fixed"/>
        <w:tblCellMar>
          <w:top w:w="0" w:type="dxa"/>
          <w:left w:w="0" w:type="dxa"/>
          <w:bottom w:w="0" w:type="dxa"/>
          <w:right w:w="0" w:type="dxa"/>
        </w:tblCellMar>
      </w:tblPr>
      <w:tblGrid>
        <w:gridCol w:w="140"/>
        <w:gridCol w:w="5015"/>
      </w:tblGrid>
      <w:tr>
        <w:trPr/>
        <w:tc>
          <w:tcPr>
            <w:tcW w:w="140" w:type="dxa"/>
            <w:tcBorders/>
            <w:vAlign w:val="center"/>
          </w:tcPr>
          <w:p>
            <w:pPr>
              <w:pStyle w:val="TableContents"/>
              <w:bidi w:val="0"/>
              <w:spacing w:before="0" w:after="0"/>
              <w:jc w:val="left"/>
              <w:rPr>
                <w:color w:val="000000"/>
              </w:rPr>
            </w:pPr>
            <w:r>
              <w:rPr>
                <w:color w:val="000000"/>
              </w:rPr>
              <w:t>•</w:t>
            </w:r>
          </w:p>
        </w:tc>
        <w:tc>
          <w:tcPr>
            <w:tcW w:w="5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Submitting a properly signed proxy card with a later date;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Voting virtually at the Annual Meeting and by filing a written notice of termination of the prior appointment of a proxy with AngioDynamics, or by filing a new written appointment of a proxy with AngioDynamics.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hold your shares in street name, your bank, broker, trustee or other nominee can provide you with instructions on how to change your vote.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majority of the outstanding shares of common stock present in person or by proxy is required to constitute a quorum at the Annual Meeting. Virtual attendance at the Annual Meeting constitutes presence in person for the purposes of a quorum. For purposes of determining the presence of a quorum for transacting business at the Annual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7" w:name="ny20083274x1_def14a_105-meeting_pg4"/>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Meeting, abstentions and broker “non-votes” (proxies from banks, brokers or nominees indicating that such persons have not received instructions from the beneficial owner or other persons entitled to vote shares on a particular matter with respect to which the banks, brokers or nominees do not have discretionary power) will be treated as shares that are present.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Board recommend that I vote?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recommends that you vote your shares: </w:t>
      </w:r>
    </w:p>
    <w:p>
      <w:pPr>
        <w:pStyle w:val="TextBody"/>
        <w:bidi w:val="0"/>
        <w:spacing w:before="160" w:after="283"/>
        <w:ind w:left="800" w:right="0" w:hanging="0"/>
        <w:jc w:val="left"/>
        <w:rPr>
          <w:color w:val="000000"/>
        </w:rPr>
      </w:pPr>
      <w:r>
        <w:rPr>
          <w:color w:val="000000"/>
        </w:rPr>
        <w:t>“</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election of the Class II directors who have been nominated by the Board of Directors; </w:t>
      </w:r>
    </w:p>
    <w:p>
      <w:pPr>
        <w:pStyle w:val="TextBody"/>
        <w:bidi w:val="0"/>
        <w:spacing w:before="120" w:after="283"/>
        <w:ind w:left="800" w:right="0" w:hanging="0"/>
        <w:jc w:val="left"/>
        <w:rPr>
          <w:color w:val="000000"/>
        </w:rPr>
      </w:pPr>
      <w:r>
        <w:rPr>
          <w:color w:val="000000"/>
        </w:rPr>
        <w:t>“</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ratification of the appointment of Deloitte &amp; Touche LLP as AngioDynamics’ independent registered public accounting firm for the fiscal year ending May 31, 2027; </w:t>
      </w:r>
    </w:p>
    <w:p>
      <w:pPr>
        <w:pStyle w:val="TextBody"/>
        <w:bidi w:val="0"/>
        <w:spacing w:before="160" w:after="283"/>
        <w:ind w:left="800" w:right="0" w:hanging="0"/>
        <w:jc w:val="left"/>
        <w:rPr>
          <w:color w:val="000000"/>
        </w:rPr>
      </w:pPr>
      <w:r>
        <w:rPr>
          <w:color w:val="000000"/>
        </w:rPr>
        <w:t>“</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approval (on an advisory basis) of the compensation of our named executive officers; </w:t>
      </w:r>
    </w:p>
    <w:p>
      <w:pPr>
        <w:pStyle w:val="TextBody"/>
        <w:bidi w:val="0"/>
        <w:spacing w:before="160" w:after="283"/>
        <w:ind w:left="800" w:right="0" w:hanging="0"/>
        <w:jc w:val="left"/>
        <w:rPr>
          <w:color w:val="000000"/>
        </w:rPr>
      </w:pPr>
      <w:r>
        <w:rPr>
          <w:color w:val="000000"/>
        </w:rPr>
        <w:t>“</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approval of an amendment to the AngioDynamics, Inc. 2020 Equity Incentive Plan; and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any other matter that may properly be brought before the Annual Meeting, in accordance with the judgment of the persons named as proxies. We do not expect that any matter other than as described in this proxy statement will be brought before the Annual Meeting.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do not give specific voting instructions?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Shareholders of Record.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If you are a shareholder of record and you indicate when voting over the internet or by telephone that you wish to vote as recommended by the Board, or sign and return a proxy card without giving specific voting instructions, then the persons named as proxies will vote your shares in the manner recommended by the Board of Directors on all matters presented in this proxy statement and as the persons named as proxies may determine in their discretion with respect to any other matters properly presented for a vote at the Annual Meeting.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Street Name Holders. </w:t>
      </w:r>
      <w:r>
        <w:rPr>
          <w:rFonts w:ascii="Times New Roman;Times;serif" w:hAnsi="Times New Roman;Times;serif"/>
          <w:i w:val="false"/>
          <w:caps w:val="false"/>
          <w:smallCaps w:val="false"/>
          <w:color w:val="000000"/>
          <w:sz w:val="20"/>
        </w:rPr>
        <w:t xml:space="preserve">If you hold your shares in “street name” and do not provide specific voting instructions, then, under the rules of the Nasdaq, the bank, broker, trustee or other nominee may generally vote on routine matters but cannot vote on non-routine matters. If you do not provide voting instructions on non-routine matters, your shares will not be voted by your bank, broker, trustee or other nominee. As a result, your bank, broker, trustee or other nominee may not vote your shares without receipt of a voting instruction form with respect to Proposal 1 (election of directors), Proposal 3 (advisory vote on executive compensation), and Proposal 4 (vote on an amendment to the AngioDynamics, Inc. 2020 Equity Incentive Plan) because each proposal is a non-routine matter, but may vote your shares without your instructions with respect to Proposal 2 (ratification of appointment of independent registered public accounting firm) because this matter is considered routine.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voting requirement to approve each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and AngioDynamics’ Amended and Restated Certificate of Incorporation and Second Amended and Restated By-Laws, if a quorum exists at the meeting, the affirmative vote of a plurality of the votes cast at the meeting is required for the election of directors (Proposal 1). A properly executed proxy marked “withhold authority” with respect to the election of one or more directors will not be voted with respect to the director or directors indicated, although it will be counted for purposes of determining whether there is a quorum. Our Corporate Governance Principles provide that, in the case of an uncontested election of directors, a director nominee who does not receive votes cast “for” his or her election or re-election in excess of 50% of the number of votes cast with respect to such nominee’s election or re-election (a “Majority Vote”), shall tender his or her resignation to the Board of Directors, with such resignation expressly stating that it is contingent upon the acceptance of the resignation by the Board of Directors in accordance with our Corporate Governance Principles. If a nominee fails to receive a Majority Vote, the Company’s Nominating, Compliance and Corporate Governance Committee, or another duly authorized committee of the Board of Directors, will consider whether to accept the nominee’s resignation and will submit a recommendation for prompt consideration by the Board of Directors. The Board of Directors shall then act on the resignation, taking into account such committee’s recommendation, within ninety (90) days following certification of the shareholder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ratification of the appointment of Deloitte &amp; Touche LLP as our independent registered public accounting firm for the fiscal year ending May 31, 2027 (Proposal 2), the affirmative vote of the holders of a majority of the shares represented in person or by proxy and entitled to vote on this item will be required for approval.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8" w:name="ny20083274x1_def14a_105-meeting_pg5"/>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“Say-on-Pay” advisory vote (Proposal 3), the affirmative vote of the holders of a majority of the shares represented in person or by proxy and entitled to vote on this item will reflect the advice of the shareholders. The approval, on an advisory basis, of the compensation paid to our named executive officers, also known as a “Say on Pay” vote, is an advisory vote mandated by the Dodd-Frank Wall Street Reform and Consumer Protection Act. This means that while we ask shareholders to approve the compensation paid to our named executive officers, it is not an action that requires shareholder approval, and shareholders are not voting to approve or disapprove the Board’s recommendation with respect to this proposal. The “Say-on-Pay” vote is an advisory vote and is non-binding on the Board, although the Board and the Compensation and Human Capital Committee welcome the input of shareholders on the Company’s compensation policies and will take the advisory votes into account in making determinations concerning executive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approval of an amendment to the AngioDynamics, Inc. 2020 Equity Incentive Plan (Proposal 4), the affirmative vote of the holders of a majority of the shares represented in person or by proxy and entitled to vote on this item will be required for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properly executed proxy marked “Abstain” with respect to any such matter will not be voted, although it will be counted for purposes of determining whether there is a quorum present. Accordingly, an abstention will have the effect of a negative vote on Proposal 2, Proposal 3, and Proposal 4 but will have no effect on the election of directors or determining whether a Majority Vote has been achieved.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a broker non-vote?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hold your shares in street name and do not provide voting instructions to your broker, your shares will not be voted on any proposal for which your broker does not have or does not exercise discretionary authority to vote (a “broker non-vote”). Shares constituting broker non-votes are not counted or deemed to be present in person or by proxy for the purpose of voting on a non-routine matter at the Annual Meeting and, therefore, will not be counted for the purpose of determining whether shareholders have approved the election of directors in Proposal 1 and the “Say-on-Pay” advisory vote in Proposal 3 and Proposal 4 (an amendment to the AngioDynamics, Inc. 2020 Equity Incentive Plan) because such proposals are considered non-routine matters. If you do not provide voting instructions to your broker, your broker only will have discretion to vote your shares on Proposal 2, because the ratification of the appointment of the independent registered public accounting firm is considered a routine matter. Broker non-votes are counted as present for the purpose of determining whether a quorum is present at the Annual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voting results of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announce preliminary voting results at the Annual Meeting and, within four business days following the date of the Annual Meeting, we will file a Current Report on Form 8-K with the SEC indicating final voting results.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bears the cost of soliciting proxies?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cost of solicitation of proxies being solicited on behalf of the Board of Directors will be borne by us. In addition to the use of the mail and the internet, proxy solicitation may be made by telephone, facsimile and personal interview by our officers, directors and employees.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9" w:name="ny20083274x1_def14a_106-prop1_pg1"/>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 w:name="tPROP1"/>
      <w:bookmarkEnd w:id="20"/>
      <w:r>
        <w:rPr>
          <w:rFonts w:ascii="Times New Roman;Times;serif" w:hAnsi="Times New Roman;Times;serif"/>
          <w:b/>
          <w:color w:val="000000"/>
          <w:sz w:val="20"/>
        </w:rPr>
        <w:t xml:space="preserve">PROPOSAL 1 - ELECTION OF DIRECTORS </w:t>
      </w:r>
    </w:p>
    <w:p>
      <w:pPr>
        <w:pStyle w:val="TextBody"/>
        <w:bidi w:val="0"/>
        <w:spacing w:before="390" w:after="283"/>
        <w:ind w:left="0" w:right="0" w:hanging="0"/>
        <w:jc w:val="left"/>
        <w:rPr>
          <w:rFonts w:ascii="Times New Roman;Times;serif" w:hAnsi="Times New Roman;Times;serif"/>
          <w:b/>
          <w:color w:val="000000"/>
          <w:sz w:val="20"/>
        </w:rPr>
      </w:pPr>
      <w:bookmarkStart w:id="21" w:name="tNOM"/>
      <w:bookmarkEnd w:id="21"/>
      <w:r>
        <w:rPr>
          <w:rFonts w:ascii="Times New Roman;Times;serif" w:hAnsi="Times New Roman;Times;serif"/>
          <w:b/>
          <w:color w:val="000000"/>
          <w:sz w:val="20"/>
        </w:rPr>
        <w:t xml:space="preserve">Nominees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currently consists of eight directors. The Board is classified into three classes, each of which has a staggered three-year term. Effective as of the conclusion of the Annual Meeting, the Board is expected to consist of seven members. At the Annual Meeting, our shareholders will be asked to elect two Class II directors, namely, Eileen O. Auen and Jan Stern Reed. If elected, Ms. Auen and Ms. Reed will hold office until the Annual Meeting of Shareholders to be held in 2029 and until each of their successors is duly elected and qualified. The Class I and Class III directors will continue in office during the terms indicated below. Unless otherwise specified, all proxies received will be voted in favor of the election of the nominee named below as a director of AngioDynamics. Directors will be elected by a plurality of the votes cast, in person or by proxy, at the Annual Meeting. Our Corporate Governance Principles provide that, in the case of an uncontested election of directors, a director nominee who does not receive a Majority Vote shall tender his or her resignation to the Board of Directors, with such resignation expressly stating that it is contingent upon the acceptance of the resignation by the Board of Directors in accordance with our Corporate Governance Principles. If a nominee fails to receive a Majority Vote, the Company’s Nominating, Compliance and Corporate Governance Committee, or another duly authorized committee of the Board of Directors, will consider whether to accept the nominee’s resignation and will submit a recommendation for prompt consideration by the Board of Directors. The Board of Directors shall then act on the resignation, taking into account such committee’s recommendation, within ninety (90) days following certification of the shareholder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current term of each of Eileen O. Auen and Jan Stern Reed expires at the Annual Meeting and when each of their successors is duly elected and qualified. Ms. Auen and Ms. Reed have each consented to be named as a nominee and, if elected, to serve as a Director. Management has no reason to believe that any of the nominees will be unable or unwilling to serve as a Director if elected. Should any of the nominees not remain a candidate for election at the date of the Annual Meeting, proxies may be voted for substitute nominees selected by the Board of Directors.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September 18, 2026, the following Directors served on the following committees: </w:t>
      </w:r>
    </w:p>
    <w:tbl>
      <w:tblPr>
        <w:tblW w:w="8165" w:type="dxa"/>
        <w:jc w:val="left"/>
        <w:tblInd w:w="0" w:type="dxa"/>
        <w:tblLayout w:type="fixed"/>
        <w:tblCellMar>
          <w:top w:w="0" w:type="dxa"/>
          <w:left w:w="0" w:type="dxa"/>
          <w:bottom w:w="0" w:type="dxa"/>
          <w:right w:w="0" w:type="dxa"/>
        </w:tblCellMar>
      </w:tblPr>
      <w:tblGrid>
        <w:gridCol w:w="1865"/>
        <w:gridCol w:w="170"/>
        <w:gridCol w:w="170"/>
        <w:gridCol w:w="335"/>
        <w:gridCol w:w="170"/>
        <w:gridCol w:w="170"/>
        <w:gridCol w:w="1085"/>
        <w:gridCol w:w="170"/>
        <w:gridCol w:w="170"/>
        <w:gridCol w:w="935"/>
        <w:gridCol w:w="170"/>
        <w:gridCol w:w="170"/>
        <w:gridCol w:w="230"/>
        <w:gridCol w:w="170"/>
        <w:gridCol w:w="170"/>
        <w:gridCol w:w="290"/>
        <w:gridCol w:w="170"/>
        <w:gridCol w:w="170"/>
        <w:gridCol w:w="290"/>
        <w:gridCol w:w="170"/>
        <w:gridCol w:w="170"/>
        <w:gridCol w:w="75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gridSpan w:val="10"/>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Committee Memberships </w:t>
            </w:r>
          </w:p>
        </w:tc>
      </w:tr>
      <w:tr>
        <w:trPr/>
        <w:tc>
          <w:tcPr>
            <w:tcW w:w="18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Director Since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Independent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NCCGC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Eileen O. Auen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Lorinda A. Burgess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Howard W. Donnelly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Wesley E. Johnson, Jr.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Karen A. Licitra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 Stern Reed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E. Tarnoff</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 Clemmer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tbl>
      <w:tblPr>
        <w:tblW w:w="7910" w:type="dxa"/>
        <w:jc w:val="left"/>
        <w:tblInd w:w="0" w:type="dxa"/>
        <w:tblLayout w:type="fixed"/>
        <w:tblCellMar>
          <w:top w:w="0" w:type="dxa"/>
          <w:left w:w="0" w:type="dxa"/>
          <w:bottom w:w="0" w:type="dxa"/>
          <w:right w:w="0" w:type="dxa"/>
        </w:tblCellMar>
      </w:tblPr>
      <w:tblGrid>
        <w:gridCol w:w="665"/>
        <w:gridCol w:w="170"/>
        <w:gridCol w:w="170"/>
        <w:gridCol w:w="4550"/>
        <w:gridCol w:w="170"/>
        <w:gridCol w:w="170"/>
        <w:gridCol w:w="245"/>
        <w:gridCol w:w="170"/>
        <w:gridCol w:w="170"/>
        <w:gridCol w:w="1430"/>
      </w:tblGrid>
      <w:tr>
        <w:trPr/>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r>
        <w:trPr/>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AC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Audit Committee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B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Board of Directors </w:t>
            </w:r>
          </w:p>
        </w:tc>
      </w:tr>
      <w:tr>
        <w:trPr/>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CC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Compensation and Human Capital Committee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Chair </w:t>
            </w:r>
          </w:p>
        </w:tc>
      </w:tr>
      <w:tr>
        <w:trPr/>
        <w:tc>
          <w:tcPr>
            <w:tcW w:w="66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NCCGC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Nominating, Compliance and Corporate Governance Committee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M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Member</w:t>
            </w:r>
          </w:p>
        </w:tc>
      </w:tr>
      <w:tr>
        <w:trPr/>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Set forth below are the names, ages and principal occupations and director positions on public companies, in each case, for the past five years, of the directors and nominees, and information relating to other positions held by them with us and other companies. Additionally, there is a brief discussion of each director’s and nominee’s experience, qualifications, attributes or skills that led to the conclusion that such person should serve as a director. There are no family relationships between or among any of the Company’s directors, executive officers and nominees for director.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22" w:name="ny20083274x1_def14a_106-prop1_pg2"/>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Class II Directors (Term expiring at the 2026 Annual Meeting):</w:t>
      </w:r>
    </w:p>
    <w:tbl>
      <w:tblPr>
        <w:tblW w:w="10205" w:type="dxa"/>
        <w:jc w:val="left"/>
        <w:tblInd w:w="0" w:type="dxa"/>
        <w:tblLayout w:type="fixed"/>
        <w:tblCellMar>
          <w:top w:w="0" w:type="dxa"/>
          <w:left w:w="0" w:type="dxa"/>
          <w:bottom w:w="0" w:type="dxa"/>
          <w:right w:w="0" w:type="dxa"/>
        </w:tblCellMar>
      </w:tblPr>
      <w:tblGrid>
        <w:gridCol w:w="4652"/>
        <w:gridCol w:w="515"/>
        <w:gridCol w:w="515"/>
        <w:gridCol w:w="4523"/>
      </w:tblGrid>
      <w:tr>
        <w:trPr/>
        <w:tc>
          <w:tcPr>
            <w:tcW w:w="4652"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4523" w:type="dxa"/>
            <w:tcBorders/>
            <w:vAlign w:val="center"/>
          </w:tcPr>
          <w:p>
            <w:pPr>
              <w:pStyle w:val="TableContents"/>
              <w:bidi w:val="0"/>
              <w:spacing w:before="0" w:after="0"/>
              <w:jc w:val="left"/>
              <w:rPr/>
            </w:pPr>
            <w:r>
              <w:rPr/>
              <w:t> </w:t>
            </w:r>
          </w:p>
        </w:tc>
      </w:tr>
      <w:tr>
        <w:trPr/>
        <w:tc>
          <w:tcPr>
            <w:tcW w:w="465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EILEEN O. AUEN</w:t>
            </w:r>
          </w:p>
        </w:tc>
        <w:tc>
          <w:tcPr>
            <w:tcW w:w="515"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4523" w:type="dxa"/>
            <w:tcBorders/>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Director since 2016 </w:t>
            </w:r>
          </w:p>
        </w:tc>
      </w:tr>
      <w:tr>
        <w:trPr/>
        <w:tc>
          <w:tcPr>
            <w:tcW w:w="465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Chair</w:t>
            </w:r>
          </w:p>
        </w:tc>
        <w:tc>
          <w:tcPr>
            <w:tcW w:w="515"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4523" w:type="dxa"/>
            <w:tcBorders/>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age 63 </w:t>
            </w:r>
          </w:p>
        </w:tc>
      </w:tr>
      <w:tr>
        <w:trPr/>
        <w:tc>
          <w:tcPr>
            <w:tcW w:w="465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Point32Health</w:t>
            </w:r>
          </w:p>
        </w:tc>
        <w:tc>
          <w:tcPr>
            <w:tcW w:w="515"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4523"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Ms. Auen serves as Executive Chair of Point32Health, a $9 billion healthcare organization that was formed by the merger of Tufts Health and Harvard Pilgrim health care companies. From September 2024 until June 2025 Ms. Auen also served as Interim Chief Executive Officer of Point32Health. Prior to this, she served as Executive Chair of Helios, a $1 billion healthcare services firm formed by the merger of PMSI, Inc. and Progressive Medical in 2013. Prior roles include Chairman and Chief Executive Officer of PMSI, Head of Healthcare Management at Aetna, and Chief Executive Officer of APS Healthcare. Ms. Auen earned a bachelor’s degree in Economics and Finance from Towson University, and an M.B.A. from the University of Virginia’s Darden School of Business. Ms. Auen also serves as the Lead Operating Director for Axia Women’s Health. She is also a member of the Board of Directors for MedRisk, a $1 billion Physical Medicine Company. Ms. Auen served on the Board of ICF (Nasdaq:ICFI) from 2008 until 2021 and was the Lead Director from 2016 to 2021. She also served on the Board of Medstar Union Memorial Hospital from 2014 until 2021 and on the Towson University Foundation Board. Ms. Auen chairs our Compensation and Human Capital Committee and is a member of our Nominating, Compliance and Corporate Governance Committee.</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0"/>
              </w:rPr>
              <w:t xml:space="preserve">Director Qualifications: </w:t>
            </w:r>
            <w:r>
              <w:rPr>
                <w:rFonts w:ascii="Times New Roman;Times;serif" w:hAnsi="Times New Roman;Times;serif"/>
                <w:color w:val="000000"/>
                <w:sz w:val="20"/>
              </w:rPr>
              <w:t>Ms. Auen’s extensive experience in the health care industry, including at PMSI, Aetna, APS Healthcare, Tufts Health Plan and Point32Health, provides the Company with significant management experience in the areas of finance, accounting, business operations, management, risk oversight, executive decision making and corporate governance. In addition, Ms. Auen’s experience in the healthcare payment environment provides reliable perspectives to our Board.</w:t>
            </w:r>
          </w:p>
        </w:tc>
      </w:tr>
      <w:tr>
        <w:trPr/>
        <w:tc>
          <w:tcPr>
            <w:tcW w:w="10205" w:type="dxa"/>
            <w:gridSpan w:val="4"/>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5374"/>
        <w:gridCol w:w="457"/>
        <w:gridCol w:w="457"/>
        <w:gridCol w:w="3917"/>
      </w:tblGrid>
      <w:tr>
        <w:trPr/>
        <w:tc>
          <w:tcPr>
            <w:tcW w:w="5374"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0"/>
              <w:jc w:val="left"/>
              <w:rPr/>
            </w:pPr>
            <w:r>
              <w:rPr/>
              <w:t> </w:t>
            </w:r>
          </w:p>
        </w:tc>
        <w:tc>
          <w:tcPr>
            <w:tcW w:w="3917" w:type="dxa"/>
            <w:tcBorders/>
            <w:vAlign w:val="center"/>
          </w:tcPr>
          <w:p>
            <w:pPr>
              <w:pStyle w:val="TableContents"/>
              <w:bidi w:val="0"/>
              <w:spacing w:before="0" w:after="0"/>
              <w:jc w:val="left"/>
              <w:rPr/>
            </w:pPr>
            <w:r>
              <w:rPr/>
              <w:t> </w:t>
            </w:r>
          </w:p>
        </w:tc>
      </w:tr>
      <w:tr>
        <w:trPr/>
        <w:tc>
          <w:tcPr>
            <w:tcW w:w="537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HOWARD W. DONNELLY </w:t>
            </w:r>
          </w:p>
        </w:tc>
        <w:tc>
          <w:tcPr>
            <w:tcW w:w="457"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0"/>
              <w:jc w:val="left"/>
              <w:rPr/>
            </w:pPr>
            <w:r>
              <w:rPr/>
              <w:t> </w:t>
            </w:r>
          </w:p>
        </w:tc>
        <w:tc>
          <w:tcPr>
            <w:tcW w:w="3917" w:type="dxa"/>
            <w:tcBorders/>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Director since 2004 </w:t>
            </w:r>
          </w:p>
        </w:tc>
      </w:tr>
      <w:tr>
        <w:trPr/>
        <w:tc>
          <w:tcPr>
            <w:tcW w:w="537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Former President and CEO </w:t>
            </w:r>
          </w:p>
        </w:tc>
        <w:tc>
          <w:tcPr>
            <w:tcW w:w="457" w:type="dxa"/>
            <w:tcBorders/>
            <w:vAlign w:val="center"/>
          </w:tcPr>
          <w:p>
            <w:pPr>
              <w:pStyle w:val="TableContents"/>
              <w:bidi w:val="0"/>
              <w:spacing w:before="0" w:after="0"/>
              <w:jc w:val="left"/>
              <w:rPr/>
            </w:pPr>
            <w:r>
              <w:rPr/>
              <w:t> </w:t>
            </w:r>
          </w:p>
        </w:tc>
        <w:tc>
          <w:tcPr>
            <w:tcW w:w="457" w:type="dxa"/>
            <w:tcBorders/>
            <w:vAlign w:val="center"/>
          </w:tcPr>
          <w:p>
            <w:pPr>
              <w:pStyle w:val="TableContents"/>
              <w:bidi w:val="0"/>
              <w:spacing w:before="0" w:after="0"/>
              <w:jc w:val="left"/>
              <w:rPr/>
            </w:pPr>
            <w:r>
              <w:rPr/>
              <w:t> </w:t>
            </w:r>
          </w:p>
        </w:tc>
        <w:tc>
          <w:tcPr>
            <w:tcW w:w="3917" w:type="dxa"/>
            <w:tcBorders/>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age 65</w:t>
            </w:r>
          </w:p>
        </w:tc>
      </w:tr>
      <w:tr>
        <w:trPr/>
        <w:tc>
          <w:tcPr>
            <w:tcW w:w="102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From 2017-2019, Mr. Donnelly was President and CEO of Bluefin Medical, a firm focused on the regional anesthesia market. In 2019 Bluefin Medical’s technology was acquired by a private European medical technology company. From 2005 to March 2018, Mr. Donnelly was President of Concert Medical LLC, a manufacturer of interventional medical devices. Concert Medical was acquired by Theragenics in March 2018. From 2010 to 2016, Mr. Donnelly was President and CEO of HydroCision Inc., a company focused on spine surgery and the pain management market. Mr. Donnelly currently serves on the Board of Directors of HydroCision, Inc. From 2002 to 2008, Mr. Donnelly was a director and member of the audit, compensation and nominating and governance committees of Vital Signs, Inc. From 1999 to 2002, he was President of Level 1, Inc., a medical device manufacturer and subsidiary of Smiths Group. From 1990 to 1999, Mr. Donnelly was employed at Pfizer, Inc., with his last position as Vice President, Business Planning and Development for Pfizer’s Medical Technology Group from 1997 to 1999. Mr. Donnelly holds a B.S. and an M.B.A. from Bryant College. Mr. Donnelly is the Chairman of the Board and will retire from this position on the date of the Annual Meeting.</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0"/>
              </w:rPr>
              <w:t xml:space="preserve">Director Qualifications: </w:t>
            </w:r>
            <w:r>
              <w:rPr>
                <w:rFonts w:ascii="Times New Roman;Times;serif" w:hAnsi="Times New Roman;Times;serif"/>
                <w:color w:val="000000"/>
                <w:sz w:val="20"/>
              </w:rPr>
              <w:t>Mr. Donnelly brings extensive industry experience as a result of his tenures as a senior executive at Pfizer, Level 1, Concert Medical and HydroCision. Mr. Donnelly provides the Board with valuable business, leadership and management insight, particularly in the areas of manufacturing and business combinations, and his prior experience as a member of the Board of Directors of several companies.</w:t>
            </w:r>
          </w:p>
        </w:tc>
      </w:tr>
      <w:tr>
        <w:trPr/>
        <w:tc>
          <w:tcPr>
            <w:tcW w:w="10205"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23" w:name="ny20083274x1_def14a_106-prop1_pg3"/>
        <w:bookmarkEnd w:id="2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7060"/>
        <w:gridCol w:w="322"/>
        <w:gridCol w:w="322"/>
        <w:gridCol w:w="2501"/>
      </w:tblGrid>
      <w:tr>
        <w:trPr/>
        <w:tc>
          <w:tcPr>
            <w:tcW w:w="7060" w:type="dxa"/>
            <w:tcBorders/>
            <w:vAlign w:val="center"/>
          </w:tcPr>
          <w:p>
            <w:pPr>
              <w:pStyle w:val="TableContents"/>
              <w:bidi w:val="0"/>
              <w:spacing w:before="0" w:after="0"/>
              <w:jc w:val="left"/>
              <w:rPr/>
            </w:pPr>
            <w:r>
              <w:rPr/>
              <w:t> </w:t>
            </w:r>
          </w:p>
        </w:tc>
        <w:tc>
          <w:tcPr>
            <w:tcW w:w="322" w:type="dxa"/>
            <w:tcBorders/>
            <w:vAlign w:val="center"/>
          </w:tcPr>
          <w:p>
            <w:pPr>
              <w:pStyle w:val="TableContents"/>
              <w:bidi w:val="0"/>
              <w:spacing w:before="0" w:after="0"/>
              <w:jc w:val="left"/>
              <w:rPr/>
            </w:pPr>
            <w:r>
              <w:rPr/>
              <w:t> </w:t>
            </w:r>
          </w:p>
        </w:tc>
        <w:tc>
          <w:tcPr>
            <w:tcW w:w="322" w:type="dxa"/>
            <w:tcBorders/>
            <w:vAlign w:val="center"/>
          </w:tcPr>
          <w:p>
            <w:pPr>
              <w:pStyle w:val="TableContents"/>
              <w:bidi w:val="0"/>
              <w:spacing w:before="0" w:after="0"/>
              <w:jc w:val="left"/>
              <w:rPr/>
            </w:pPr>
            <w:r>
              <w:rPr/>
              <w:t> </w:t>
            </w:r>
          </w:p>
        </w:tc>
        <w:tc>
          <w:tcPr>
            <w:tcW w:w="2501" w:type="dxa"/>
            <w:tcBorders/>
            <w:vAlign w:val="center"/>
          </w:tcPr>
          <w:p>
            <w:pPr>
              <w:pStyle w:val="TableContents"/>
              <w:bidi w:val="0"/>
              <w:spacing w:before="0" w:after="0"/>
              <w:jc w:val="left"/>
              <w:rPr/>
            </w:pPr>
            <w:r>
              <w:rPr/>
              <w:t> </w:t>
            </w:r>
          </w:p>
        </w:tc>
      </w:tr>
      <w:tr>
        <w:trPr/>
        <w:tc>
          <w:tcPr>
            <w:tcW w:w="70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JAN STERN REED</w:t>
            </w:r>
          </w:p>
        </w:tc>
        <w:tc>
          <w:tcPr>
            <w:tcW w:w="322" w:type="dxa"/>
            <w:tcBorders/>
            <w:vAlign w:val="center"/>
          </w:tcPr>
          <w:p>
            <w:pPr>
              <w:pStyle w:val="TableContents"/>
              <w:bidi w:val="0"/>
              <w:spacing w:before="0" w:after="0"/>
              <w:jc w:val="left"/>
              <w:rPr/>
            </w:pPr>
            <w:r>
              <w:rPr/>
              <w:t> </w:t>
            </w:r>
          </w:p>
        </w:tc>
        <w:tc>
          <w:tcPr>
            <w:tcW w:w="322" w:type="dxa"/>
            <w:tcBorders/>
            <w:vAlign w:val="center"/>
          </w:tcPr>
          <w:p>
            <w:pPr>
              <w:pStyle w:val="TableContents"/>
              <w:bidi w:val="0"/>
              <w:spacing w:before="0" w:after="0"/>
              <w:jc w:val="left"/>
              <w:rPr/>
            </w:pPr>
            <w:r>
              <w:rPr/>
              <w:t> </w:t>
            </w:r>
          </w:p>
        </w:tc>
        <w:tc>
          <w:tcPr>
            <w:tcW w:w="2501" w:type="dxa"/>
            <w:tcBorders/>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Director since 2016 </w:t>
            </w:r>
          </w:p>
        </w:tc>
      </w:tr>
      <w:tr>
        <w:trPr/>
        <w:tc>
          <w:tcPr>
            <w:tcW w:w="70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Former Senior Vice President, General Counsel and Corporate Secretary </w:t>
            </w:r>
          </w:p>
        </w:tc>
        <w:tc>
          <w:tcPr>
            <w:tcW w:w="322" w:type="dxa"/>
            <w:tcBorders/>
            <w:vAlign w:val="center"/>
          </w:tcPr>
          <w:p>
            <w:pPr>
              <w:pStyle w:val="TableContents"/>
              <w:bidi w:val="0"/>
              <w:spacing w:before="0" w:after="0"/>
              <w:jc w:val="left"/>
              <w:rPr/>
            </w:pPr>
            <w:r>
              <w:rPr/>
              <w:t> </w:t>
            </w:r>
          </w:p>
        </w:tc>
        <w:tc>
          <w:tcPr>
            <w:tcW w:w="322" w:type="dxa"/>
            <w:tcBorders/>
            <w:vAlign w:val="center"/>
          </w:tcPr>
          <w:p>
            <w:pPr>
              <w:pStyle w:val="TableContents"/>
              <w:bidi w:val="0"/>
              <w:spacing w:before="0" w:after="0"/>
              <w:jc w:val="left"/>
              <w:rPr/>
            </w:pPr>
            <w:r>
              <w:rPr/>
              <w:t> </w:t>
            </w:r>
          </w:p>
        </w:tc>
        <w:tc>
          <w:tcPr>
            <w:tcW w:w="2501" w:type="dxa"/>
            <w:tcBorders/>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age 66 </w:t>
            </w:r>
          </w:p>
        </w:tc>
      </w:tr>
      <w:tr>
        <w:trPr/>
        <w:tc>
          <w:tcPr>
            <w:tcW w:w="70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Walgreens Boots Alliance, Inc. </w:t>
            </w:r>
          </w:p>
        </w:tc>
        <w:tc>
          <w:tcPr>
            <w:tcW w:w="322" w:type="dxa"/>
            <w:tcBorders/>
            <w:vAlign w:val="center"/>
          </w:tcPr>
          <w:p>
            <w:pPr>
              <w:pStyle w:val="TableContents"/>
              <w:bidi w:val="0"/>
              <w:spacing w:before="0" w:after="0"/>
              <w:jc w:val="left"/>
              <w:rPr/>
            </w:pPr>
            <w:r>
              <w:rPr/>
              <w:t> </w:t>
            </w:r>
          </w:p>
        </w:tc>
        <w:tc>
          <w:tcPr>
            <w:tcW w:w="322" w:type="dxa"/>
            <w:tcBorders/>
            <w:vAlign w:val="center"/>
          </w:tcPr>
          <w:p>
            <w:pPr>
              <w:pStyle w:val="TableContents"/>
              <w:bidi w:val="0"/>
              <w:spacing w:before="0" w:after="0"/>
              <w:jc w:val="left"/>
              <w:rPr/>
            </w:pPr>
            <w:r>
              <w:rPr/>
              <w:t> </w:t>
            </w:r>
          </w:p>
        </w:tc>
        <w:tc>
          <w:tcPr>
            <w:tcW w:w="2501"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From 2013 to 2016, Ms. Reed served as Senior Vice President, General Counsel and Corporate Secretary (since 2015) at Walgreens Boots Alliance, Inc., a global pharmacy-led, health and wellbeing enterprise with annual revenues during her tenure in excess of $115 billion. Prior to this role, Ms. Reed served for seven years as Executive Vice President of Human Resources, General Counsel and Corporate Secretary at Solo Cup Company, and, prior thereto, as Associate General Counsel, Corporate Secretary and Chief Governance Officer at Baxter International Inc. Ms. Reed earned a Bachelor of Arts degree, with honors, in Psychology from the University of Michigan, and a Juris Doctor from Northwestern University School of Law. Ms. Reed also currently serves as Chair of the Board of Directors for AVITA Medical, Inc. (Nasdaq:RCEL; ASX; AVH) and Lead Independent Director of the Board of Directors of GMR Solutions, Inc. (NYSE:GMRS). Previously Ms. Reed served as a member of the Board of Directors for Stepan Company (NYSE:SCL) between 2015 and 2026. Ms. Reed is a member of our Audit Committee and is the Chair of the Nominating, Compliance and Corporate Governance Committee.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0"/>
              </w:rPr>
              <w:t xml:space="preserve">Director Qualifications: </w:t>
            </w:r>
            <w:r>
              <w:rPr>
                <w:rFonts w:ascii="Times New Roman;Times;serif" w:hAnsi="Times New Roman;Times;serif"/>
                <w:color w:val="000000"/>
                <w:sz w:val="20"/>
              </w:rPr>
              <w:t>Ms. Reed provides the Board of Directors with global executive leadership in legal, corporate governance, risk management, health care regulatory, compliance, manufacturing and strategic business matters as well as extensive experience with acquisitions and employee development.</w:t>
            </w:r>
          </w:p>
        </w:tc>
      </w:tr>
      <w:tr>
        <w:trPr/>
        <w:tc>
          <w:tcPr>
            <w:tcW w:w="10205" w:type="dxa"/>
            <w:gridSpan w:val="4"/>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bookmarkStart w:id="24" w:name="tRBD"/>
      <w:bookmarkEnd w:id="24"/>
      <w:r>
        <w:rPr>
          <w:rFonts w:ascii="Times New Roman;Times;serif" w:hAnsi="Times New Roman;Times;serif"/>
          <w:b/>
          <w:color w:val="000000"/>
          <w:sz w:val="20"/>
        </w:rPr>
        <w:t xml:space="preserve">Recommendation of the Board of Directors </w:t>
      </w:r>
    </w:p>
    <w:p>
      <w:pPr>
        <w:pStyle w:val="TextBody"/>
        <w:bidi w:val="0"/>
        <w:spacing w:before="1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a vote “FOR” the election of the nominees.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25" w:name="ny20083274x1_def14a_106-prop1_pg4"/>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26" w:name="tOD"/>
      <w:bookmarkEnd w:id="26"/>
      <w:r>
        <w:rPr>
          <w:rFonts w:ascii="Times New Roman;Times;serif" w:hAnsi="Times New Roman;Times;serif"/>
          <w:b/>
          <w:color w:val="000000"/>
          <w:sz w:val="20"/>
        </w:rPr>
        <w:t xml:space="preserve">Other Directors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Class I and Class III directors will continue on the Board of Directors for the terms indicated: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I Directors (Term expiring at the 2028 Annual Meeting): </w:t>
      </w:r>
    </w:p>
    <w:tbl>
      <w:tblPr>
        <w:tblW w:w="10205" w:type="dxa"/>
        <w:jc w:val="left"/>
        <w:tblInd w:w="0" w:type="dxa"/>
        <w:tblLayout w:type="fixed"/>
        <w:tblCellMar>
          <w:top w:w="0" w:type="dxa"/>
          <w:left w:w="0" w:type="dxa"/>
          <w:bottom w:w="0" w:type="dxa"/>
          <w:right w:w="0" w:type="dxa"/>
        </w:tblCellMar>
      </w:tblPr>
      <w:tblGrid>
        <w:gridCol w:w="6078"/>
        <w:gridCol w:w="400"/>
        <w:gridCol w:w="400"/>
        <w:gridCol w:w="3327"/>
      </w:tblGrid>
      <w:tr>
        <w:trPr/>
        <w:tc>
          <w:tcPr>
            <w:tcW w:w="6078" w:type="dxa"/>
            <w:tcBorders/>
            <w:vAlign w:val="center"/>
          </w:tcPr>
          <w:p>
            <w:pPr>
              <w:pStyle w:val="TableContents"/>
              <w:bidi w:val="0"/>
              <w:spacing w:before="0" w:after="0"/>
              <w:jc w:val="left"/>
              <w:rPr/>
            </w:pPr>
            <w:r>
              <w:rPr/>
              <w:t> </w:t>
            </w:r>
          </w:p>
        </w:tc>
        <w:tc>
          <w:tcPr>
            <w:tcW w:w="400" w:type="dxa"/>
            <w:tcBorders/>
            <w:vAlign w:val="center"/>
          </w:tcPr>
          <w:p>
            <w:pPr>
              <w:pStyle w:val="TableContents"/>
              <w:bidi w:val="0"/>
              <w:spacing w:before="0" w:after="0"/>
              <w:jc w:val="left"/>
              <w:rPr/>
            </w:pPr>
            <w:r>
              <w:rPr/>
              <w:t> </w:t>
            </w:r>
          </w:p>
        </w:tc>
        <w:tc>
          <w:tcPr>
            <w:tcW w:w="400" w:type="dxa"/>
            <w:tcBorders/>
            <w:vAlign w:val="center"/>
          </w:tcPr>
          <w:p>
            <w:pPr>
              <w:pStyle w:val="TableContents"/>
              <w:bidi w:val="0"/>
              <w:spacing w:before="0" w:after="0"/>
              <w:jc w:val="left"/>
              <w:rPr/>
            </w:pPr>
            <w:r>
              <w:rPr/>
              <w:t> </w:t>
            </w:r>
          </w:p>
        </w:tc>
        <w:tc>
          <w:tcPr>
            <w:tcW w:w="3327" w:type="dxa"/>
            <w:tcBorders/>
            <w:vAlign w:val="center"/>
          </w:tcPr>
          <w:p>
            <w:pPr>
              <w:pStyle w:val="TableContents"/>
              <w:bidi w:val="0"/>
              <w:spacing w:before="0" w:after="0"/>
              <w:jc w:val="left"/>
              <w:rPr/>
            </w:pPr>
            <w:r>
              <w:rPr/>
              <w:t> </w:t>
            </w:r>
          </w:p>
        </w:tc>
      </w:tr>
      <w:tr>
        <w:trPr/>
        <w:tc>
          <w:tcPr>
            <w:tcW w:w="607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JAMES C. CLEMMER</w:t>
            </w:r>
            <w:r>
              <w:rPr>
                <w:rFonts w:ascii="Times New Roman;Times;serif" w:hAnsi="Times New Roman;Times;serif"/>
                <w:b/>
                <w:color w:val="000000"/>
                <w:position w:val="7"/>
                <w:sz w:val="16"/>
                <w:sz w:val="20"/>
              </w:rPr>
              <w:t>(1)</w:t>
            </w:r>
          </w:p>
        </w:tc>
        <w:tc>
          <w:tcPr>
            <w:tcW w:w="400" w:type="dxa"/>
            <w:tcBorders/>
            <w:vAlign w:val="center"/>
          </w:tcPr>
          <w:p>
            <w:pPr>
              <w:pStyle w:val="TableContents"/>
              <w:bidi w:val="0"/>
              <w:spacing w:before="0" w:after="0"/>
              <w:jc w:val="left"/>
              <w:rPr/>
            </w:pPr>
            <w:r>
              <w:rPr/>
              <w:t> </w:t>
            </w:r>
          </w:p>
        </w:tc>
        <w:tc>
          <w:tcPr>
            <w:tcW w:w="400" w:type="dxa"/>
            <w:tcBorders/>
            <w:vAlign w:val="center"/>
          </w:tcPr>
          <w:p>
            <w:pPr>
              <w:pStyle w:val="TableContents"/>
              <w:bidi w:val="0"/>
              <w:spacing w:before="0" w:after="0"/>
              <w:jc w:val="left"/>
              <w:rPr/>
            </w:pPr>
            <w:r>
              <w:rPr/>
              <w:t> </w:t>
            </w:r>
          </w:p>
        </w:tc>
        <w:tc>
          <w:tcPr>
            <w:tcW w:w="3327" w:type="dxa"/>
            <w:tcBorders/>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Director since 2016 </w:t>
            </w:r>
          </w:p>
        </w:tc>
      </w:tr>
      <w:tr>
        <w:trPr/>
        <w:tc>
          <w:tcPr>
            <w:tcW w:w="607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President and Chief Executive Officer </w:t>
            </w:r>
          </w:p>
        </w:tc>
        <w:tc>
          <w:tcPr>
            <w:tcW w:w="400" w:type="dxa"/>
            <w:tcBorders/>
            <w:vAlign w:val="center"/>
          </w:tcPr>
          <w:p>
            <w:pPr>
              <w:pStyle w:val="TableContents"/>
              <w:bidi w:val="0"/>
              <w:spacing w:before="0" w:after="0"/>
              <w:jc w:val="left"/>
              <w:rPr/>
            </w:pPr>
            <w:r>
              <w:rPr/>
              <w:t> </w:t>
            </w:r>
          </w:p>
        </w:tc>
        <w:tc>
          <w:tcPr>
            <w:tcW w:w="400" w:type="dxa"/>
            <w:tcBorders/>
            <w:vAlign w:val="center"/>
          </w:tcPr>
          <w:p>
            <w:pPr>
              <w:pStyle w:val="TableContents"/>
              <w:bidi w:val="0"/>
              <w:spacing w:before="0" w:after="0"/>
              <w:jc w:val="left"/>
              <w:rPr/>
            </w:pPr>
            <w:r>
              <w:rPr/>
              <w:t> </w:t>
            </w:r>
          </w:p>
        </w:tc>
        <w:tc>
          <w:tcPr>
            <w:tcW w:w="3327" w:type="dxa"/>
            <w:tcBorders/>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age 62</w:t>
            </w:r>
          </w:p>
        </w:tc>
      </w:tr>
      <w:tr>
        <w:trPr/>
        <w:tc>
          <w:tcPr>
            <w:tcW w:w="607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AngioDynamics, Inc. </w:t>
            </w:r>
          </w:p>
        </w:tc>
        <w:tc>
          <w:tcPr>
            <w:tcW w:w="400" w:type="dxa"/>
            <w:tcBorders/>
            <w:vAlign w:val="center"/>
          </w:tcPr>
          <w:p>
            <w:pPr>
              <w:pStyle w:val="TableContents"/>
              <w:bidi w:val="0"/>
              <w:spacing w:before="0" w:after="0"/>
              <w:jc w:val="left"/>
              <w:rPr/>
            </w:pPr>
            <w:r>
              <w:rPr/>
              <w:t> </w:t>
            </w:r>
          </w:p>
        </w:tc>
        <w:tc>
          <w:tcPr>
            <w:tcW w:w="400" w:type="dxa"/>
            <w:tcBorders/>
            <w:vAlign w:val="center"/>
          </w:tcPr>
          <w:p>
            <w:pPr>
              <w:pStyle w:val="TableContents"/>
              <w:bidi w:val="0"/>
              <w:spacing w:before="0" w:after="0"/>
              <w:jc w:val="left"/>
              <w:rPr/>
            </w:pPr>
            <w:r>
              <w:rPr/>
              <w:t> </w:t>
            </w:r>
          </w:p>
        </w:tc>
        <w:tc>
          <w:tcPr>
            <w:tcW w:w="3327"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Mr. Clemmer joined AngioDynamics in April 2016 as our President and CEO. Prior to joining AngioDynamics, Mr. Clemmer served as President of the Medical Supplies segment at Covidien plc from September 2006 to January 2015. In this role, Mr. Clemmer directed the strategic and day-to-day operations for global business divisions that collectively manufactured 23 different product categories. In addition, he managed global manufacturing, research and development, operational excellence, business development and all other functions associated with the Medical Supplies business. Prior to his role at Covidien, Mr. Clemmer served as Group President at Kendall Healthcare from July 2004 to September 2006, where he managed the US business across five divisions and built the strategic plan for the Medical Supplies segment before it was spun off from Tyco. Mr. Clemmer served as interim president at the Massachusetts College of Liberal Arts from August 2015 until March 1, 2016. Mr. Clemmer is a graduate of the Massachusetts College of Liberal Arts.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0"/>
              </w:rPr>
              <w:t xml:space="preserve">Director Qualifications: </w:t>
            </w:r>
            <w:r>
              <w:rPr>
                <w:rFonts w:ascii="Times New Roman;Times;serif" w:hAnsi="Times New Roman;Times;serif"/>
                <w:color w:val="000000"/>
                <w:sz w:val="20"/>
              </w:rPr>
              <w:t>Through his position as our CEO and his tenure at Covidien, Mr. Clemmer brings leadership, extensive executive and operational experience, strategic expertise and a deep knowledge of the medical device industry to the Board. Mr. Clemmer’s service as a Director and CEO of AngioDynamics creates a critical link between management and the Board, enabling the Board to perform its oversight function with the benefits of management’s perspectives on the business.</w:t>
            </w:r>
          </w:p>
        </w:tc>
      </w:tr>
      <w:tr>
        <w:trPr/>
        <w:tc>
          <w:tcPr>
            <w:tcW w:w="10205" w:type="dxa"/>
            <w:gridSpan w:val="4"/>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6463"/>
        <w:gridCol w:w="370"/>
        <w:gridCol w:w="370"/>
        <w:gridCol w:w="3002"/>
      </w:tblGrid>
      <w:tr>
        <w:trPr/>
        <w:tc>
          <w:tcPr>
            <w:tcW w:w="6463" w:type="dxa"/>
            <w:tcBorders/>
            <w:vAlign w:val="center"/>
          </w:tcPr>
          <w:p>
            <w:pPr>
              <w:pStyle w:val="TableContents"/>
              <w:bidi w:val="0"/>
              <w:spacing w:before="0" w:after="0"/>
              <w:jc w:val="left"/>
              <w:rPr/>
            </w:pPr>
            <w:r>
              <w:rPr/>
              <w:t> </w:t>
            </w:r>
          </w:p>
        </w:tc>
        <w:tc>
          <w:tcPr>
            <w:tcW w:w="370" w:type="dxa"/>
            <w:tcBorders/>
            <w:vAlign w:val="center"/>
          </w:tcPr>
          <w:p>
            <w:pPr>
              <w:pStyle w:val="TableContents"/>
              <w:bidi w:val="0"/>
              <w:spacing w:before="0" w:after="0"/>
              <w:jc w:val="left"/>
              <w:rPr/>
            </w:pPr>
            <w:r>
              <w:rPr/>
              <w:t> </w:t>
            </w:r>
          </w:p>
        </w:tc>
        <w:tc>
          <w:tcPr>
            <w:tcW w:w="370" w:type="dxa"/>
            <w:tcBorders/>
            <w:vAlign w:val="center"/>
          </w:tcPr>
          <w:p>
            <w:pPr>
              <w:pStyle w:val="TableContents"/>
              <w:bidi w:val="0"/>
              <w:spacing w:before="0" w:after="0"/>
              <w:jc w:val="left"/>
              <w:rPr/>
            </w:pPr>
            <w:r>
              <w:rPr/>
              <w:t> </w:t>
            </w:r>
          </w:p>
        </w:tc>
        <w:tc>
          <w:tcPr>
            <w:tcW w:w="3002" w:type="dxa"/>
            <w:tcBorders/>
            <w:vAlign w:val="center"/>
          </w:tcPr>
          <w:p>
            <w:pPr>
              <w:pStyle w:val="TableContents"/>
              <w:bidi w:val="0"/>
              <w:spacing w:before="0" w:after="0"/>
              <w:jc w:val="left"/>
              <w:rPr/>
            </w:pPr>
            <w:r>
              <w:rPr/>
              <w:t> </w:t>
            </w:r>
          </w:p>
        </w:tc>
      </w:tr>
      <w:tr>
        <w:trPr/>
        <w:tc>
          <w:tcPr>
            <w:tcW w:w="646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MICHAEL E. TARNOFF, MD</w:t>
            </w:r>
          </w:p>
        </w:tc>
        <w:tc>
          <w:tcPr>
            <w:tcW w:w="370" w:type="dxa"/>
            <w:tcBorders/>
            <w:vAlign w:val="center"/>
          </w:tcPr>
          <w:p>
            <w:pPr>
              <w:pStyle w:val="TableContents"/>
              <w:bidi w:val="0"/>
              <w:spacing w:before="0" w:after="0"/>
              <w:jc w:val="left"/>
              <w:rPr/>
            </w:pPr>
            <w:r>
              <w:rPr/>
              <w:t> </w:t>
            </w:r>
          </w:p>
        </w:tc>
        <w:tc>
          <w:tcPr>
            <w:tcW w:w="370" w:type="dxa"/>
            <w:tcBorders/>
            <w:vAlign w:val="center"/>
          </w:tcPr>
          <w:p>
            <w:pPr>
              <w:pStyle w:val="TableContents"/>
              <w:bidi w:val="0"/>
              <w:spacing w:before="0" w:after="0"/>
              <w:jc w:val="left"/>
              <w:rPr/>
            </w:pPr>
            <w:r>
              <w:rPr/>
              <w:t> </w:t>
            </w:r>
          </w:p>
        </w:tc>
        <w:tc>
          <w:tcPr>
            <w:tcW w:w="3002" w:type="dxa"/>
            <w:tcBorders/>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Director since 2019 </w:t>
            </w:r>
          </w:p>
        </w:tc>
      </w:tr>
      <w:tr>
        <w:trPr/>
        <w:tc>
          <w:tcPr>
            <w:tcW w:w="646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Former President and CEO </w:t>
            </w:r>
          </w:p>
        </w:tc>
        <w:tc>
          <w:tcPr>
            <w:tcW w:w="370" w:type="dxa"/>
            <w:tcBorders/>
            <w:vAlign w:val="center"/>
          </w:tcPr>
          <w:p>
            <w:pPr>
              <w:pStyle w:val="TableContents"/>
              <w:bidi w:val="0"/>
              <w:spacing w:before="0" w:after="0"/>
              <w:jc w:val="left"/>
              <w:rPr/>
            </w:pPr>
            <w:r>
              <w:rPr/>
              <w:t> </w:t>
            </w:r>
          </w:p>
        </w:tc>
        <w:tc>
          <w:tcPr>
            <w:tcW w:w="370" w:type="dxa"/>
            <w:tcBorders/>
            <w:vAlign w:val="center"/>
          </w:tcPr>
          <w:p>
            <w:pPr>
              <w:pStyle w:val="TableContents"/>
              <w:bidi w:val="0"/>
              <w:spacing w:before="0" w:after="0"/>
              <w:jc w:val="left"/>
              <w:rPr/>
            </w:pPr>
            <w:r>
              <w:rPr/>
              <w:t> </w:t>
            </w:r>
          </w:p>
        </w:tc>
        <w:tc>
          <w:tcPr>
            <w:tcW w:w="3002" w:type="dxa"/>
            <w:tcBorders/>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age 58</w:t>
            </w:r>
          </w:p>
        </w:tc>
      </w:tr>
      <w:tr>
        <w:trPr/>
        <w:tc>
          <w:tcPr>
            <w:tcW w:w="646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Tufts Medical Center and Tufts Children’s Hospital</w:t>
            </w:r>
          </w:p>
        </w:tc>
        <w:tc>
          <w:tcPr>
            <w:tcW w:w="370" w:type="dxa"/>
            <w:tcBorders/>
            <w:vAlign w:val="center"/>
          </w:tcPr>
          <w:p>
            <w:pPr>
              <w:pStyle w:val="TableContents"/>
              <w:bidi w:val="0"/>
              <w:spacing w:before="0" w:after="0"/>
              <w:jc w:val="left"/>
              <w:rPr/>
            </w:pPr>
            <w:r>
              <w:rPr/>
              <w:t> </w:t>
            </w:r>
          </w:p>
        </w:tc>
        <w:tc>
          <w:tcPr>
            <w:tcW w:w="370" w:type="dxa"/>
            <w:tcBorders/>
            <w:vAlign w:val="center"/>
          </w:tcPr>
          <w:p>
            <w:pPr>
              <w:pStyle w:val="TableContents"/>
              <w:bidi w:val="0"/>
              <w:spacing w:before="0" w:after="0"/>
              <w:jc w:val="left"/>
              <w:rPr/>
            </w:pPr>
            <w:r>
              <w:rPr/>
              <w:t> </w:t>
            </w:r>
          </w:p>
        </w:tc>
        <w:tc>
          <w:tcPr>
            <w:tcW w:w="3002"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From June of 2021 to March of 2024, Dr. Tarnoff has served as President and Chief Executive Officer of Tufts Medical Center and Tufts Children’s Hospital and served in this role on an interim basis for the nine months preceding his appointment. From June 2019 until June 2021, Dr. Tarnoff was Chair of the Department of Surgery and Surgeon-in-Chief at Tufts Medical Center and Tufts University School of Medicine in Boston, Massachusetts. Dr. Tarnoff has been a surgeon at Tufts since 2001. Dr. Tarnoff was Chief Medical Officer at Medtronic from January 2015 through August 2019. From 2008 until its acquisition by Medtronic in 2015, Dr. Tarnoff served as the Chief Medical Officer and Senior Vice President for Medical Affairs at Covidien plc. Dr. Tarnoff received a BA in psychology from Washington University in St Louis, and received an MD from and completed his residency in General Surgery at the University of Medicine and Dentistry of New Jersey. Dr. Tarnoff also completed a fellowship in Advanced Minimally Invasive Surgery at the Cleveland Clinic in Cleveland, Ohio. Dr. Tarnoff also serves on the Board of Directors of AVITA Medical, Inc. (NASDAQ: RCEL) and Aspen Surgical. Dr. Tarnoff is a member of our Nominating, Compliance and Corporate Governance Committee and is a member of our Compensation and Human Capital Committee.</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0"/>
              </w:rPr>
              <w:t>Director Qualifications:</w:t>
            </w:r>
            <w:r>
              <w:rPr>
                <w:rFonts w:ascii="Times New Roman;Times;serif" w:hAnsi="Times New Roman;Times;serif"/>
                <w:color w:val="000000"/>
                <w:sz w:val="20"/>
              </w:rPr>
              <w:t xml:space="preserve"> Through his extensive experience as a surgeon and his roles in hospital administration, including his tenure as President and CEO of Tufts Medical Center, Dr. Tarnoff provides the Board of Directors with deep, expert knowledge in patient care and the United States health care system.</w:t>
            </w:r>
          </w:p>
        </w:tc>
      </w:tr>
      <w:tr>
        <w:trPr/>
        <w:tc>
          <w:tcPr>
            <w:tcW w:w="10205"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7" w:name="ny20083274x1_def14a_106-prop1_pg5"/>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Class III Directors (Term expiring at the 2027 Annual Meeting):</w:t>
      </w:r>
    </w:p>
    <w:tbl>
      <w:tblPr>
        <w:tblW w:w="10205" w:type="dxa"/>
        <w:jc w:val="left"/>
        <w:tblInd w:w="0" w:type="dxa"/>
        <w:tblLayout w:type="fixed"/>
        <w:tblCellMar>
          <w:top w:w="0" w:type="dxa"/>
          <w:left w:w="0" w:type="dxa"/>
          <w:bottom w:w="0" w:type="dxa"/>
          <w:right w:w="0" w:type="dxa"/>
        </w:tblCellMar>
      </w:tblPr>
      <w:tblGrid>
        <w:gridCol w:w="6800"/>
        <w:gridCol w:w="340"/>
        <w:gridCol w:w="340"/>
        <w:gridCol w:w="2725"/>
      </w:tblGrid>
      <w:tr>
        <w:trPr/>
        <w:tc>
          <w:tcPr>
            <w:tcW w:w="6800" w:type="dxa"/>
            <w:tcBorders/>
            <w:vAlign w:val="center"/>
          </w:tcPr>
          <w:p>
            <w:pPr>
              <w:pStyle w:val="TableContents"/>
              <w:bidi w:val="0"/>
              <w:spacing w:before="0" w:after="0"/>
              <w:jc w:val="left"/>
              <w:rPr/>
            </w:pPr>
            <w:r>
              <w:rPr/>
              <w:t> </w:t>
            </w:r>
          </w:p>
        </w:tc>
        <w:tc>
          <w:tcPr>
            <w:tcW w:w="340" w:type="dxa"/>
            <w:tcBorders/>
            <w:vAlign w:val="center"/>
          </w:tcPr>
          <w:p>
            <w:pPr>
              <w:pStyle w:val="TableContents"/>
              <w:bidi w:val="0"/>
              <w:spacing w:before="0" w:after="0"/>
              <w:jc w:val="left"/>
              <w:rPr/>
            </w:pPr>
            <w:r>
              <w:rPr/>
              <w:t> </w:t>
            </w:r>
          </w:p>
        </w:tc>
        <w:tc>
          <w:tcPr>
            <w:tcW w:w="340" w:type="dxa"/>
            <w:tcBorders/>
            <w:vAlign w:val="center"/>
          </w:tcPr>
          <w:p>
            <w:pPr>
              <w:pStyle w:val="TableContents"/>
              <w:bidi w:val="0"/>
              <w:spacing w:before="0" w:after="0"/>
              <w:jc w:val="left"/>
              <w:rPr/>
            </w:pPr>
            <w:r>
              <w:rPr/>
              <w:t> </w:t>
            </w:r>
          </w:p>
        </w:tc>
        <w:tc>
          <w:tcPr>
            <w:tcW w:w="2725" w:type="dxa"/>
            <w:tcBorders/>
            <w:vAlign w:val="center"/>
          </w:tcPr>
          <w:p>
            <w:pPr>
              <w:pStyle w:val="TableContents"/>
              <w:bidi w:val="0"/>
              <w:spacing w:before="0" w:after="0"/>
              <w:jc w:val="left"/>
              <w:rPr/>
            </w:pPr>
            <w:r>
              <w:rPr/>
              <w:t> </w:t>
            </w:r>
          </w:p>
        </w:tc>
      </w:tr>
      <w:tr>
        <w:trPr/>
        <w:tc>
          <w:tcPr>
            <w:tcW w:w="68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LORINDA A. BURGESS</w:t>
            </w:r>
          </w:p>
        </w:tc>
        <w:tc>
          <w:tcPr>
            <w:tcW w:w="340" w:type="dxa"/>
            <w:tcBorders/>
            <w:vAlign w:val="center"/>
          </w:tcPr>
          <w:p>
            <w:pPr>
              <w:pStyle w:val="TableContents"/>
              <w:bidi w:val="0"/>
              <w:spacing w:before="0" w:after="0"/>
              <w:jc w:val="left"/>
              <w:rPr/>
            </w:pPr>
            <w:r>
              <w:rPr/>
              <w:t> </w:t>
            </w:r>
          </w:p>
        </w:tc>
        <w:tc>
          <w:tcPr>
            <w:tcW w:w="340" w:type="dxa"/>
            <w:tcBorders/>
            <w:vAlign w:val="center"/>
          </w:tcPr>
          <w:p>
            <w:pPr>
              <w:pStyle w:val="TableContents"/>
              <w:bidi w:val="0"/>
              <w:spacing w:before="0" w:after="0"/>
              <w:jc w:val="left"/>
              <w:rPr/>
            </w:pPr>
            <w:r>
              <w:rPr/>
              <w:t> </w:t>
            </w:r>
          </w:p>
        </w:tc>
        <w:tc>
          <w:tcPr>
            <w:tcW w:w="2725" w:type="dxa"/>
            <w:tcBorders/>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Director since 2023 </w:t>
            </w:r>
          </w:p>
        </w:tc>
      </w:tr>
      <w:tr>
        <w:trPr/>
        <w:tc>
          <w:tcPr>
            <w:tcW w:w="68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Former Chief Financial Officer and Vice President of Finance </w:t>
            </w:r>
          </w:p>
        </w:tc>
        <w:tc>
          <w:tcPr>
            <w:tcW w:w="340" w:type="dxa"/>
            <w:tcBorders/>
            <w:vAlign w:val="center"/>
          </w:tcPr>
          <w:p>
            <w:pPr>
              <w:pStyle w:val="TableContents"/>
              <w:bidi w:val="0"/>
              <w:spacing w:before="0" w:after="0"/>
              <w:jc w:val="left"/>
              <w:rPr/>
            </w:pPr>
            <w:r>
              <w:rPr/>
              <w:t> </w:t>
            </w:r>
          </w:p>
        </w:tc>
        <w:tc>
          <w:tcPr>
            <w:tcW w:w="340" w:type="dxa"/>
            <w:tcBorders/>
            <w:vAlign w:val="center"/>
          </w:tcPr>
          <w:p>
            <w:pPr>
              <w:pStyle w:val="TableContents"/>
              <w:bidi w:val="0"/>
              <w:spacing w:before="0" w:after="0"/>
              <w:jc w:val="left"/>
              <w:rPr/>
            </w:pPr>
            <w:r>
              <w:rPr/>
              <w:t> </w:t>
            </w:r>
          </w:p>
        </w:tc>
        <w:tc>
          <w:tcPr>
            <w:tcW w:w="2725" w:type="dxa"/>
            <w:tcBorders/>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age 64</w:t>
            </w:r>
          </w:p>
        </w:tc>
      </w:tr>
      <w:tr>
        <w:trPr/>
        <w:tc>
          <w:tcPr>
            <w:tcW w:w="68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w:t>
            </w:r>
          </w:p>
        </w:tc>
        <w:tc>
          <w:tcPr>
            <w:tcW w:w="340" w:type="dxa"/>
            <w:tcBorders/>
            <w:vAlign w:val="center"/>
          </w:tcPr>
          <w:p>
            <w:pPr>
              <w:pStyle w:val="TableContents"/>
              <w:bidi w:val="0"/>
              <w:spacing w:before="0" w:after="0"/>
              <w:jc w:val="left"/>
              <w:rPr/>
            </w:pPr>
            <w:r>
              <w:rPr/>
              <w:t> </w:t>
            </w:r>
          </w:p>
        </w:tc>
        <w:tc>
          <w:tcPr>
            <w:tcW w:w="340" w:type="dxa"/>
            <w:tcBorders/>
            <w:vAlign w:val="center"/>
          </w:tcPr>
          <w:p>
            <w:pPr>
              <w:pStyle w:val="TableContents"/>
              <w:bidi w:val="0"/>
              <w:spacing w:before="0" w:after="0"/>
              <w:jc w:val="left"/>
              <w:rPr/>
            </w:pPr>
            <w:r>
              <w:rPr/>
              <w:t> </w:t>
            </w:r>
          </w:p>
        </w:tc>
        <w:tc>
          <w:tcPr>
            <w:tcW w:w="2725"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Ms. Burgess joined our Board of Directors in July of 2023. From 2015 to 2023, Ms. Burgess served as Chief Financial Officer and Vice President of Finance for the Americas Region at Medtronic, Inc. a Fortune 200 global medical device company with more than $30 billion in annual revenues. Prior to this role, Ms. Burgess also served as Vice President of Customer Care for the America and Western Europe at Medtronic, Inc. and Vice President of Finance for the Cardiovascular Group’s Sales and Marketing function. Ms. Burgess earned a Bachelor of Arts in Communication and Political Science from the University of Michigan and a Master’s in Business Administration from Ohio State University. Ms. Burgess is a member of the Board of Directors for Stepan Company. Ms. Burgess is a member of our Audit Committee and a member of our Compensation and Human Capital Committee.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0"/>
              </w:rPr>
              <w:t xml:space="preserve">Director Qualifications: </w:t>
            </w:r>
            <w:r>
              <w:rPr>
                <w:rFonts w:ascii="Times New Roman;Times;serif" w:hAnsi="Times New Roman;Times;serif"/>
                <w:color w:val="000000"/>
                <w:sz w:val="20"/>
              </w:rPr>
              <w:t>Ms. Burgess’ service as CFO and VP of Finance for the Americas Region at Medtronic, Inc. provides valuable business, leadership and management experience, particularly with respect to the numerous financial, business and strategic issues faced by a diversified medical device company.</w:t>
            </w:r>
          </w:p>
        </w:tc>
      </w:tr>
      <w:tr>
        <w:trPr/>
        <w:tc>
          <w:tcPr>
            <w:tcW w:w="10205" w:type="dxa"/>
            <w:gridSpan w:val="4"/>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7554"/>
        <w:gridCol w:w="282"/>
        <w:gridCol w:w="282"/>
        <w:gridCol w:w="2087"/>
      </w:tblGrid>
      <w:tr>
        <w:trPr/>
        <w:tc>
          <w:tcPr>
            <w:tcW w:w="7554" w:type="dxa"/>
            <w:tcBorders/>
            <w:vAlign w:val="center"/>
          </w:tcPr>
          <w:p>
            <w:pPr>
              <w:pStyle w:val="TableContents"/>
              <w:bidi w:val="0"/>
              <w:spacing w:before="0" w:after="0"/>
              <w:jc w:val="left"/>
              <w:rPr/>
            </w:pPr>
            <w:r>
              <w:rPr/>
              <w:t> </w:t>
            </w:r>
          </w:p>
        </w:tc>
        <w:tc>
          <w:tcPr>
            <w:tcW w:w="282" w:type="dxa"/>
            <w:tcBorders/>
            <w:vAlign w:val="center"/>
          </w:tcPr>
          <w:p>
            <w:pPr>
              <w:pStyle w:val="TableContents"/>
              <w:bidi w:val="0"/>
              <w:spacing w:before="0" w:after="0"/>
              <w:jc w:val="left"/>
              <w:rPr/>
            </w:pPr>
            <w:r>
              <w:rPr/>
              <w:t> </w:t>
            </w:r>
          </w:p>
        </w:tc>
        <w:tc>
          <w:tcPr>
            <w:tcW w:w="282" w:type="dxa"/>
            <w:tcBorders/>
            <w:vAlign w:val="center"/>
          </w:tcPr>
          <w:p>
            <w:pPr>
              <w:pStyle w:val="TableContents"/>
              <w:bidi w:val="0"/>
              <w:spacing w:before="0" w:after="0"/>
              <w:jc w:val="left"/>
              <w:rPr/>
            </w:pPr>
            <w:r>
              <w:rPr/>
              <w:t> </w:t>
            </w:r>
          </w:p>
        </w:tc>
        <w:tc>
          <w:tcPr>
            <w:tcW w:w="2087" w:type="dxa"/>
            <w:tcBorders/>
            <w:vAlign w:val="center"/>
          </w:tcPr>
          <w:p>
            <w:pPr>
              <w:pStyle w:val="TableContents"/>
              <w:bidi w:val="0"/>
              <w:spacing w:before="0" w:after="0"/>
              <w:jc w:val="left"/>
              <w:rPr/>
            </w:pPr>
            <w:r>
              <w:rPr/>
              <w:t> </w:t>
            </w:r>
          </w:p>
        </w:tc>
      </w:tr>
      <w:tr>
        <w:trPr/>
        <w:tc>
          <w:tcPr>
            <w:tcW w:w="755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WESLEY E. JOHNSON, JR.</w:t>
            </w:r>
          </w:p>
        </w:tc>
        <w:tc>
          <w:tcPr>
            <w:tcW w:w="282" w:type="dxa"/>
            <w:tcBorders/>
            <w:vAlign w:val="center"/>
          </w:tcPr>
          <w:p>
            <w:pPr>
              <w:pStyle w:val="TableContents"/>
              <w:bidi w:val="0"/>
              <w:spacing w:before="0" w:after="0"/>
              <w:jc w:val="left"/>
              <w:rPr/>
            </w:pPr>
            <w:r>
              <w:rPr/>
              <w:t> </w:t>
            </w:r>
          </w:p>
        </w:tc>
        <w:tc>
          <w:tcPr>
            <w:tcW w:w="282" w:type="dxa"/>
            <w:tcBorders/>
            <w:vAlign w:val="center"/>
          </w:tcPr>
          <w:p>
            <w:pPr>
              <w:pStyle w:val="TableContents"/>
              <w:bidi w:val="0"/>
              <w:spacing w:before="0" w:after="0"/>
              <w:jc w:val="left"/>
              <w:rPr/>
            </w:pPr>
            <w:r>
              <w:rPr/>
              <w:t> </w:t>
            </w:r>
          </w:p>
        </w:tc>
        <w:tc>
          <w:tcPr>
            <w:tcW w:w="2087" w:type="dxa"/>
            <w:tcBorders/>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Director since 2007 </w:t>
            </w:r>
          </w:p>
        </w:tc>
      </w:tr>
      <w:tr>
        <w:trPr/>
        <w:tc>
          <w:tcPr>
            <w:tcW w:w="755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Former CEO of medical device companies, Former Divisional Vice-President and General Manager</w:t>
            </w:r>
          </w:p>
        </w:tc>
        <w:tc>
          <w:tcPr>
            <w:tcW w:w="282" w:type="dxa"/>
            <w:tcBorders/>
            <w:vAlign w:val="center"/>
          </w:tcPr>
          <w:p>
            <w:pPr>
              <w:pStyle w:val="TableContents"/>
              <w:bidi w:val="0"/>
              <w:spacing w:before="0" w:after="0"/>
              <w:jc w:val="left"/>
              <w:rPr/>
            </w:pPr>
            <w:r>
              <w:rPr/>
              <w:t> </w:t>
            </w:r>
          </w:p>
        </w:tc>
        <w:tc>
          <w:tcPr>
            <w:tcW w:w="282" w:type="dxa"/>
            <w:tcBorders/>
            <w:vAlign w:val="center"/>
          </w:tcPr>
          <w:p>
            <w:pPr>
              <w:pStyle w:val="TableContents"/>
              <w:bidi w:val="0"/>
              <w:spacing w:before="0" w:after="0"/>
              <w:jc w:val="left"/>
              <w:rPr/>
            </w:pPr>
            <w:r>
              <w:rPr/>
              <w:t> </w:t>
            </w:r>
          </w:p>
        </w:tc>
        <w:tc>
          <w:tcPr>
            <w:tcW w:w="2087" w:type="dxa"/>
            <w:tcBorders/>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age 68 </w:t>
            </w:r>
          </w:p>
        </w:tc>
      </w:tr>
      <w:tr>
        <w:trPr/>
        <w:tc>
          <w:tcPr>
            <w:tcW w:w="755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Abbott Laboratories</w:t>
            </w:r>
          </w:p>
        </w:tc>
        <w:tc>
          <w:tcPr>
            <w:tcW w:w="282" w:type="dxa"/>
            <w:tcBorders/>
            <w:vAlign w:val="center"/>
          </w:tcPr>
          <w:p>
            <w:pPr>
              <w:pStyle w:val="TableContents"/>
              <w:bidi w:val="0"/>
              <w:spacing w:before="0" w:after="0"/>
              <w:jc w:val="left"/>
              <w:rPr/>
            </w:pPr>
            <w:r>
              <w:rPr/>
              <w:t> </w:t>
            </w:r>
          </w:p>
        </w:tc>
        <w:tc>
          <w:tcPr>
            <w:tcW w:w="282" w:type="dxa"/>
            <w:tcBorders/>
            <w:vAlign w:val="center"/>
          </w:tcPr>
          <w:p>
            <w:pPr>
              <w:pStyle w:val="TableContents"/>
              <w:bidi w:val="0"/>
              <w:spacing w:before="0" w:after="0"/>
              <w:jc w:val="left"/>
              <w:rPr/>
            </w:pPr>
            <w:r>
              <w:rPr/>
              <w:t> </w:t>
            </w:r>
          </w:p>
        </w:tc>
        <w:tc>
          <w:tcPr>
            <w:tcW w:w="2087"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From February 2013 through November 2019, Mr. Johnson served as Chief Executive Officer and Director of Admittance Technologies, Inc., a medical device company. From February 2008 to May 2012, Mr. Johnson served as President, CEO and Director of Cardiokinetix, Inc., a developer of medical devices for the treatment of congestive heart failure. From October 2005 to February 2008, Mr. Johnson served as General Manager of Abbott Spine, S.A., a division of Abbott Laboratories. From June 2003 to October 2005, Mr. Johnson served as Division Vice President, Finance for Abbott Spine, a division of Abbott Laboratories. From May 1999 to June 2003, he served as Vice President of Operations and Chief Financial Officer for Spinal Concepts. From 2003 to 2007, Mr. Johnson served as a member of the Board of RITA Medical Systems, Inc. and Chairman of its Audit Committee. Mr. Johnson holds a B.B.A. in Accounting from Texas A&amp;M University and became a certified public accountant in 1981. Mr. Johnson is chair of our Audit Committee and a member of our Nominating, Compliance and Corporate Governance Committee.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0"/>
              </w:rPr>
              <w:t xml:space="preserve">Director Qualifications: </w:t>
            </w:r>
            <w:r>
              <w:rPr>
                <w:rFonts w:ascii="Times New Roman;Times;serif" w:hAnsi="Times New Roman;Times;serif"/>
                <w:color w:val="000000"/>
                <w:sz w:val="20"/>
              </w:rPr>
              <w:t>Mr. Johnson’s service as CFO for Spinal Concepts, General Manager and Division Vice President for Abbott Laboratories and CEO of two separate medical device companies, provides valuable business, leadership and management experience, particularly with respect to the numerous financial, business and strategic issues faced by a diversified medical device company. In addition, Mr. Johnson’s experience with PricewaterhouseCoopers and his positions as a public company CFO of Urologix, Inc. and Orthofix, Inc. (formerly American Medical Electronics, Inc.) provides valuable financial and accounting experience for his position on the Audit Committee.</w:t>
            </w:r>
          </w:p>
        </w:tc>
      </w:tr>
      <w:tr>
        <w:trPr/>
        <w:tc>
          <w:tcPr>
            <w:tcW w:w="10205" w:type="dxa"/>
            <w:gridSpan w:val="4"/>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8" w:name="ny20083274x1_def14a_106-prop1_pg6"/>
        <w:bookmarkEnd w:id="2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7225"/>
        <w:gridCol w:w="309"/>
        <w:gridCol w:w="309"/>
        <w:gridCol w:w="2362"/>
      </w:tblGrid>
      <w:tr>
        <w:trPr/>
        <w:tc>
          <w:tcPr>
            <w:tcW w:w="7225" w:type="dxa"/>
            <w:tcBorders/>
            <w:vAlign w:val="center"/>
          </w:tcPr>
          <w:p>
            <w:pPr>
              <w:pStyle w:val="TableContents"/>
              <w:bidi w:val="0"/>
              <w:spacing w:before="0" w:after="0"/>
              <w:jc w:val="left"/>
              <w:rPr/>
            </w:pPr>
            <w:r>
              <w:rPr/>
              <w:t> </w:t>
            </w:r>
          </w:p>
        </w:tc>
        <w:tc>
          <w:tcPr>
            <w:tcW w:w="309" w:type="dxa"/>
            <w:tcBorders/>
            <w:vAlign w:val="center"/>
          </w:tcPr>
          <w:p>
            <w:pPr>
              <w:pStyle w:val="TableContents"/>
              <w:bidi w:val="0"/>
              <w:spacing w:before="0" w:after="0"/>
              <w:jc w:val="left"/>
              <w:rPr/>
            </w:pPr>
            <w:r>
              <w:rPr/>
              <w:t> </w:t>
            </w:r>
          </w:p>
        </w:tc>
        <w:tc>
          <w:tcPr>
            <w:tcW w:w="309" w:type="dxa"/>
            <w:tcBorders/>
            <w:vAlign w:val="center"/>
          </w:tcPr>
          <w:p>
            <w:pPr>
              <w:pStyle w:val="TableContents"/>
              <w:bidi w:val="0"/>
              <w:spacing w:before="0" w:after="0"/>
              <w:jc w:val="left"/>
              <w:rPr/>
            </w:pPr>
            <w:r>
              <w:rPr/>
              <w:t> </w:t>
            </w:r>
          </w:p>
        </w:tc>
        <w:tc>
          <w:tcPr>
            <w:tcW w:w="2362" w:type="dxa"/>
            <w:tcBorders/>
            <w:vAlign w:val="center"/>
          </w:tcPr>
          <w:p>
            <w:pPr>
              <w:pStyle w:val="TableContents"/>
              <w:bidi w:val="0"/>
              <w:spacing w:before="0" w:after="0"/>
              <w:jc w:val="left"/>
              <w:rPr/>
            </w:pPr>
            <w:r>
              <w:rPr/>
              <w:t> </w:t>
            </w:r>
          </w:p>
        </w:tc>
      </w:tr>
      <w:tr>
        <w:trPr/>
        <w:tc>
          <w:tcPr>
            <w:tcW w:w="72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KAREN A. LICITRA</w:t>
            </w:r>
          </w:p>
        </w:tc>
        <w:tc>
          <w:tcPr>
            <w:tcW w:w="309" w:type="dxa"/>
            <w:tcBorders/>
            <w:vAlign w:val="center"/>
          </w:tcPr>
          <w:p>
            <w:pPr>
              <w:pStyle w:val="TableContents"/>
              <w:bidi w:val="0"/>
              <w:spacing w:before="0" w:after="0"/>
              <w:jc w:val="left"/>
              <w:rPr/>
            </w:pPr>
            <w:r>
              <w:rPr/>
              <w:t> </w:t>
            </w:r>
          </w:p>
        </w:tc>
        <w:tc>
          <w:tcPr>
            <w:tcW w:w="309" w:type="dxa"/>
            <w:tcBorders/>
            <w:vAlign w:val="center"/>
          </w:tcPr>
          <w:p>
            <w:pPr>
              <w:pStyle w:val="TableContents"/>
              <w:bidi w:val="0"/>
              <w:spacing w:before="0" w:after="0"/>
              <w:jc w:val="left"/>
              <w:rPr/>
            </w:pPr>
            <w:r>
              <w:rPr/>
              <w:t> </w:t>
            </w:r>
          </w:p>
        </w:tc>
        <w:tc>
          <w:tcPr>
            <w:tcW w:w="2362" w:type="dxa"/>
            <w:tcBorders/>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Director since 2019 </w:t>
            </w:r>
          </w:p>
        </w:tc>
      </w:tr>
      <w:tr>
        <w:trPr/>
        <w:tc>
          <w:tcPr>
            <w:tcW w:w="72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Former Corporate Vice President for Worldwide Government Affairs and Policy</w:t>
            </w:r>
          </w:p>
        </w:tc>
        <w:tc>
          <w:tcPr>
            <w:tcW w:w="309" w:type="dxa"/>
            <w:tcBorders/>
            <w:vAlign w:val="center"/>
          </w:tcPr>
          <w:p>
            <w:pPr>
              <w:pStyle w:val="TableContents"/>
              <w:bidi w:val="0"/>
              <w:spacing w:before="0" w:after="0"/>
              <w:jc w:val="left"/>
              <w:rPr/>
            </w:pPr>
            <w:r>
              <w:rPr/>
              <w:t> </w:t>
            </w:r>
          </w:p>
        </w:tc>
        <w:tc>
          <w:tcPr>
            <w:tcW w:w="309" w:type="dxa"/>
            <w:tcBorders/>
            <w:vAlign w:val="center"/>
          </w:tcPr>
          <w:p>
            <w:pPr>
              <w:pStyle w:val="TableContents"/>
              <w:bidi w:val="0"/>
              <w:spacing w:before="0" w:after="0"/>
              <w:jc w:val="left"/>
              <w:rPr/>
            </w:pPr>
            <w:r>
              <w:rPr/>
              <w:t> </w:t>
            </w:r>
          </w:p>
        </w:tc>
        <w:tc>
          <w:tcPr>
            <w:tcW w:w="2362" w:type="dxa"/>
            <w:tcBorders/>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age 67 </w:t>
            </w:r>
          </w:p>
        </w:tc>
      </w:tr>
      <w:tr>
        <w:trPr/>
        <w:tc>
          <w:tcPr>
            <w:tcW w:w="72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Johnson and Johnson</w:t>
            </w:r>
          </w:p>
        </w:tc>
        <w:tc>
          <w:tcPr>
            <w:tcW w:w="309" w:type="dxa"/>
            <w:tcBorders/>
            <w:vAlign w:val="center"/>
          </w:tcPr>
          <w:p>
            <w:pPr>
              <w:pStyle w:val="TableContents"/>
              <w:bidi w:val="0"/>
              <w:spacing w:before="0" w:after="0"/>
              <w:jc w:val="left"/>
              <w:rPr/>
            </w:pPr>
            <w:r>
              <w:rPr/>
              <w:t> </w:t>
            </w:r>
          </w:p>
        </w:tc>
        <w:tc>
          <w:tcPr>
            <w:tcW w:w="309" w:type="dxa"/>
            <w:tcBorders/>
            <w:vAlign w:val="center"/>
          </w:tcPr>
          <w:p>
            <w:pPr>
              <w:pStyle w:val="TableContents"/>
              <w:bidi w:val="0"/>
              <w:spacing w:before="0" w:after="0"/>
              <w:jc w:val="left"/>
              <w:rPr/>
            </w:pPr>
            <w:r>
              <w:rPr/>
              <w:t> </w:t>
            </w:r>
          </w:p>
        </w:tc>
        <w:tc>
          <w:tcPr>
            <w:tcW w:w="2362"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Ms. Licitra joined our Board of Directors in July of 2019. From January 2014 through August 2015, Ms. Licitra served as Corporate Vice President, Worldwide Government Affairs &amp; Policy at Johnson &amp; Johnson, a medical devices, pharmaceutical, and consumer packaged goods manufacturer. From December 2011 to December 2013, Ms. Licitra served as the Worldwide Chairman, Global Medical Solutions at Johnson &amp; Johnson. From July 2002 to November 2011, she served as the Company Group Chairman and Worldwide Franchise Chairman at Ethicon Endo-Surgery, Inc., a Johnson &amp; Johnson medical device company. From January 2001 to June 2002, she served as the President of Ethicon Endo-Surgery. From June 2015 to June 2021, she served on the Compensation and Human Capital Committee of the Board of Directors of Si-Bone, Inc., a medical device company focusing on a minimally invasive surgical implant system to treat sacroiliac joint dysfunction, and previously served on the Board of Directors of Novadaq Technologies Inc., a provider of proven comprehensive fluorescence imaging solutions, until the company was acquired by Stryker Corporation in 2017. Ms. Licitra received a B.S. in Commerce from Rider College. Ms. Licitra is a member of our Audit Committee and our Compensation and Human Capital Committee.</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0"/>
              </w:rPr>
              <w:t xml:space="preserve">Director Qualifications: </w:t>
            </w:r>
            <w:r>
              <w:rPr>
                <w:rFonts w:ascii="Times New Roman;Times;serif" w:hAnsi="Times New Roman;Times;serif"/>
                <w:color w:val="000000"/>
                <w:sz w:val="20"/>
              </w:rPr>
              <w:t>Ms. Licitra’s service as an executive in various roles at Johnson and Johnson provides valuable business and industry experience, leadership and insight, particularly with respect to the global, industry and strategic issues faced by a diversified medical device manufacturer.</w:t>
            </w:r>
          </w:p>
        </w:tc>
      </w:tr>
      <w:tr>
        <w:trPr/>
        <w:tc>
          <w:tcPr>
            <w:tcW w:w="10205" w:type="dxa"/>
            <w:gridSpan w:val="4"/>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Additional Information:</w:t>
      </w:r>
    </w:p>
    <w:tbl>
      <w:tblPr>
        <w:tblW w:w="10205" w:type="dxa"/>
        <w:jc w:val="left"/>
        <w:tblInd w:w="0" w:type="dxa"/>
        <w:tblLayout w:type="fixed"/>
        <w:tblCellMar>
          <w:top w:w="0" w:type="dxa"/>
          <w:left w:w="0" w:type="dxa"/>
          <w:bottom w:w="0" w:type="dxa"/>
          <w:right w:w="0" w:type="dxa"/>
        </w:tblCellMar>
      </w:tblPr>
      <w:tblGrid>
        <w:gridCol w:w="7827"/>
        <w:gridCol w:w="431"/>
        <w:gridCol w:w="431"/>
        <w:gridCol w:w="1516"/>
      </w:tblGrid>
      <w:tr>
        <w:trPr/>
        <w:tc>
          <w:tcPr>
            <w:tcW w:w="7827"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c>
          <w:tcPr>
            <w:tcW w:w="1516" w:type="dxa"/>
            <w:tcBorders/>
            <w:vAlign w:val="center"/>
          </w:tcPr>
          <w:p>
            <w:pPr>
              <w:pStyle w:val="TableContents"/>
              <w:bidi w:val="0"/>
              <w:spacing w:before="0" w:after="0"/>
              <w:jc w:val="left"/>
              <w:rPr/>
            </w:pPr>
            <w:r>
              <w:rPr/>
              <w:t> </w:t>
            </w:r>
          </w:p>
        </w:tc>
      </w:tr>
      <w:tr>
        <w:trPr/>
        <w:tc>
          <w:tcPr>
            <w:tcW w:w="782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ERIC HONROTH</w:t>
            </w:r>
            <w:r>
              <w:rPr>
                <w:rFonts w:ascii="Times New Roman;Times;serif" w:hAnsi="Times New Roman;Times;serif"/>
                <w:b/>
                <w:color w:val="000000"/>
                <w:position w:val="7"/>
                <w:sz w:val="16"/>
                <w:sz w:val="20"/>
              </w:rPr>
              <w:t>(1)</w:t>
            </w:r>
          </w:p>
        </w:tc>
        <w:tc>
          <w:tcPr>
            <w:tcW w:w="431"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c>
          <w:tcPr>
            <w:tcW w:w="1516" w:type="dxa"/>
            <w:tcBorders/>
            <w:vAlign w:val="center"/>
          </w:tcPr>
          <w:p>
            <w:pPr>
              <w:pStyle w:val="TableContents"/>
              <w:bidi w:val="0"/>
              <w:spacing w:before="0" w:after="0"/>
              <w:jc w:val="left"/>
              <w:rPr>
                <w:color w:val="000000"/>
              </w:rPr>
            </w:pPr>
            <w:r>
              <w:rPr>
                <w:color w:val="000000"/>
              </w:rPr>
              <w:t> </w:t>
            </w:r>
          </w:p>
        </w:tc>
      </w:tr>
      <w:tr>
        <w:trPr/>
        <w:tc>
          <w:tcPr>
            <w:tcW w:w="782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President and Chief Executive Officer - Elect </w:t>
            </w:r>
          </w:p>
        </w:tc>
        <w:tc>
          <w:tcPr>
            <w:tcW w:w="431"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c>
          <w:tcPr>
            <w:tcW w:w="1516" w:type="dxa"/>
            <w:tcBorders/>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age 55 </w:t>
            </w:r>
          </w:p>
        </w:tc>
      </w:tr>
      <w:tr>
        <w:trPr/>
        <w:tc>
          <w:tcPr>
            <w:tcW w:w="782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AngioDynamics, Inc. </w:t>
            </w:r>
          </w:p>
        </w:tc>
        <w:tc>
          <w:tcPr>
            <w:tcW w:w="431" w:type="dxa"/>
            <w:tcBorders/>
            <w:vAlign w:val="center"/>
          </w:tcPr>
          <w:p>
            <w:pPr>
              <w:pStyle w:val="TableContents"/>
              <w:bidi w:val="0"/>
              <w:spacing w:before="0" w:after="0"/>
              <w:jc w:val="left"/>
              <w:rPr/>
            </w:pPr>
            <w:r>
              <w:rPr/>
              <w:t> </w:t>
            </w:r>
          </w:p>
        </w:tc>
        <w:tc>
          <w:tcPr>
            <w:tcW w:w="431" w:type="dxa"/>
            <w:tcBorders/>
            <w:vAlign w:val="center"/>
          </w:tcPr>
          <w:p>
            <w:pPr>
              <w:pStyle w:val="TableContents"/>
              <w:bidi w:val="0"/>
              <w:spacing w:before="0" w:after="0"/>
              <w:jc w:val="left"/>
              <w:rPr/>
            </w:pPr>
            <w:r>
              <w:rPr/>
              <w:t> </w:t>
            </w:r>
          </w:p>
        </w:tc>
        <w:tc>
          <w:tcPr>
            <w:tcW w:w="1516" w:type="dxa"/>
            <w:tcBorders/>
            <w:vAlign w:val="center"/>
          </w:tcPr>
          <w:p>
            <w:pPr>
              <w:pStyle w:val="TableContents"/>
              <w:bidi w:val="0"/>
              <w:spacing w:before="0" w:after="0"/>
              <w:jc w:val="left"/>
              <w:rPr>
                <w:color w:val="000000"/>
              </w:rPr>
            </w:pPr>
            <w:r>
              <w:rPr>
                <w:color w:val="000000"/>
              </w:rPr>
              <w:t> </w:t>
            </w:r>
          </w:p>
        </w:tc>
      </w:tr>
      <w:tr>
        <w:trPr/>
        <w:tc>
          <w:tcPr>
            <w:tcW w:w="1020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It is anticipated that Mr. Honroth will serve as the President and Chief Executive Officer of AngioDynamics, effective as of November 2, 2026. Prior to joining AngioDynamics, Mr. Honroth served as President Life Science at Getinge, AB from 2018 to 2026. Previously, Mr. Honroth served in senior leadership roles at Abbott Vascular, Becton Dickinson, CareFusion, and Boston Scientific.. Mr. Honroth is a graduate of Miami University, Farmer School of Business in Oxford, Ohio.</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b/>
                <w:color w:val="000000"/>
                <w:sz w:val="20"/>
              </w:rPr>
              <w:t xml:space="preserve">Director Qualifications: </w:t>
            </w:r>
            <w:r>
              <w:rPr>
                <w:rFonts w:ascii="Times New Roman;Times;serif" w:hAnsi="Times New Roman;Times;serif"/>
                <w:color w:val="000000"/>
                <w:sz w:val="20"/>
              </w:rPr>
              <w:t>Through his anticipated position as our CEO and his tenure at Getinge AB and prior roles across the medical device industry, Mr. Honroth will bring leadership, extensive executive and operational experience, strategic expertise and a deep knowledge of the medical device industry, both domestic and international, to the Board. Mr. Honroth’s anticipated service as a Director and CEO of AngioDynamics will create a critical link between management and the Board, enabling the Board to perform its oversight function with the benefits of management’s perspectives on the business.</w:t>
            </w:r>
          </w:p>
        </w:tc>
      </w:tr>
      <w:tr>
        <w:trPr/>
        <w:tc>
          <w:tcPr>
            <w:tcW w:w="10205" w:type="dxa"/>
            <w:gridSpan w:val="4"/>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Clemmer is currently our President and Chief Executive Officer, and a Class I director on our Board. As previously disclosed, in connection with Mr. Clemmer’s intention to retire as the President and Chief Executive Officer, on October 3, 2026 the Company entered into an employment agreement with Eric Honroth, pursuant to which Mr. Honroth will succeed Mr. Clemmer and will serve as President and Chief Executive Officer of the Company, effective as of November 2, 2026. Mr. Clemmer will retire as our President and Chief Executive Officer and as a Class I director, effective as of the same date. It is anticipated that Mr. Honroth will be appointed to the Board as a Class I director on November 2, 2026, conditioned upon his commencement of service as President and Chief Executive Officer.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9" w:name="ny20083274x1_def14a_107-corporate_pg1"/>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 w:name="tCG"/>
      <w:bookmarkEnd w:id="30"/>
      <w:r>
        <w:rPr>
          <w:rFonts w:ascii="Times New Roman;Times;serif" w:hAnsi="Times New Roman;Times;serif"/>
          <w:b/>
          <w:color w:val="000000"/>
          <w:sz w:val="20"/>
        </w:rPr>
        <w:t xml:space="preserve">CORPORATE GOVERNANCE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Independence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listing standards of Nasdaq require that a majority of a listed company’s directors qualify as independent. Our Board of Directors has determined that seven of our eight directors - Mses. Auen, Burgess, Licitra and Reed, and Messrs. Donnelly, Johnson and Tarnoff - are independent under the Nasdaq listing standards. Under the Nasdaq listing standards, an “independent director” is a director who is not an officer or employee of AngioDynamics or any subsidiary and who does not have any relationship that the Board of Directors believes would interfere with the exercise of independent judgment in carrying out the responsibilities of a director. Our Board of Directors reviews the relationships that each director has with our Company, including relationships with the Company and any family member of each such director, on an annual basis and only those directors having no direct or indirect material relationship with our Company and who qualify as independent under the Nasdaq listing standards will be considered independent directors of AngioDynamics.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Communications with the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Shareholders may communicate in writing with any particular director, the independent directors as a group, or the entire Board by sending such written communication to our Corporate Secretary at our principal executive offices, 14 Plaza Drive, Latham, New York 12110. Copies of written communications received at such address will be provided to the Board or the relevant director or directors unless such communications are determined by our outside counsel to be inappropriate for submission to the intended recipient(s). However, any communication not so delivered will be made available upon request to any director. Examples of shareholder communications that would be considered inappropriate for submission include, without limitation, customer complaints, business solicitations, product promotions, resumes and other forms of job inquiries, junk mail and mass mailings, as well as material that is unduly hostile, threatening, illegal or similarly unsuitable.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Policy on Director Attendance at Annual Meetings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Board members are encouraged to attend our Annual Meetings of Shareholders absent an emergency or other unforeseen circumstance. All of our directors who were then serving on the Board attended our 2025 Annual Meeting of Shareholders.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Compliance Program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adopted a written Code of Conduct for our Company. Our Code of Conduct is available at our website located at www.angiodynamics.com under the “Investors-Corporate Governance-Highlights-Governance Documents-Code of Conduct” caption. All Company officers, employees, and directors are required to comply with our Code of Conduct. Our Code of Conduct covers a number of topics, including conflicts of interest, insider trading, fair dealing, equal employment opportunity and harassment, anti-bribery, and confidential information, as well as requiring adherence to all laws, rules, and regulations applicable to our business. Employees are required to bring any violations and suspected violations of the Code of Conduct to the attention of the Company through management or our legal counsel or by using the Company’s confidential Compliance Hotline. The Company also maintains a Board-approved comprehensive compliance program to ensure our employees comply with applicable laws, rules, regulations, and industry codes when interacting with healthcare professionals.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maintains the Compliance Hotline for the Company employees and third parties to use as a means of raising concerns or seeking advice. The Compliance Hotline is provided by an independent third-party and is available worldwide. Individuals using the Compliance Hotline may choose to remain anonymous and all inquiries are kept confidential to the extent practicable in connection with the investigation. All Compliance Hotline inquiries are forwarded to the Company’s Corporate Compliance Group for investigation. The Audit Committee is informed of any matters reported to the Company’s Corporate Compliance Group, whether through the Compliance Hotline, management, or otherwise, involving accounting, internal control, or auditing matters. Matters reported to the Company’s Corporate Compliance Group, whether through the Compliance Hotline, management, or otherwise, involving, among other things, compliance with laws, employee health and safety, employment, and interactions with health care professionals, are generally reported to the Nominating, Compliance, and Corporate Governance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31" w:name="ny20083274x1_def14a_107-corporate_pg2"/>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Hedging and Pledging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Insider Trading Policy prohibits directors and employees, including named executive officers, from engaging in hedging or monetization transactions, such as zero-cost collars and forward sale contracts, and from engaging in borrowing against AngioDynamics’ securities held in a margin account, or pledging AngioDynamics’ securities as collateral for a loan (unless the individual can clearly demonstrate the financial capacity to repay the loan without resorting to the pledged securities).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of Directors Leadership Structure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Howard W. Donnelly is our independent, non-executive Chairman of the Board of Directors, and James C. Clemmer is our Chief Executive Officer. Our Board has determined that, following the Annual Meeting and the retirement of Mr. Donnelly, Eileen O. Auen will serve as our independent, non-executive Chair. We separate the roles of Chief Executive Officer and Chair of the Board of Directors in recognition of the differences between the two roles. The Chief Executive Officer is responsible for setting the strategic direction for the Company and the day-to-day leadership and performance of the Company, while the Chair of the Board of Directors provides guidance to the Chief Executive Officer and sets the agenda for Board meetings and presides over meetings of the Board. We also believe that separation of the positions reinforces the independence of the Board in its oversight of the business and affairs of the Company, and creates an environment that is more conducive to objective evaluation and oversight of management’s performance, increasing management accountability and improving the ability of the Board to monitor whether management’s actions are in the best interests of the Company and its shareholders.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previously disclosed, on October 3, 2026 the Company entered into an employment agreement with Eric Honroth, pursuant to which Mr. Honroth will succeed Mr. Clemmer and will serve as President and Chief Executive Officer of the Company, effective as of November 2, 2026. In connection with Mr. Clemmer’s retirement, the Company entered into a Consulting Agreement with Mr. Clemmer, pursuant to which Mr. Clemmer will retire and his employment with the Company will terminate as of November 2, 2026 and Mr. Clemmer will provide consulting services to the Company until the first anniversary of his retirement date, unless earlier terminated.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 Oversight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monitors management’s enterprise-wide approach to risk management. The full Board of Directors’ role in discussing and developing our business strategy is a key part of its understanding of the risks the Company faces and the steps management takes to manage those risks. The Board of Directors regularly assesses management’s appetite for risk and helps guide management in determining what constitutes an appropriate level of risk for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the Board of Directors has the ultimate oversight responsibility for the risk management process, various committees of the Board also have responsibility for risk management. In particular, the Audit Committee reviews management’s enterprise risk assessment, which focuses on four primary areas of risk: Strategic; Financial; Operational and Legal/Compliance. In addition, the Audit Committee focuses on financial risks, including internal controls. In setting compensation, the Compensation and Human Capital Committee strives to create incentives that encourage an appropriate level of risk-taking behavior consistent with our business strategy. The Nominating, Compliance, and Corporate Governance Committee focuses on significant legal and regulatory compliance matters, including compliance with laws, employment matters, and interactions with health care professionals.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32" w:name="ny20083274x1_def14a_108-board_pg1"/>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3" w:name="tMBC"/>
      <w:bookmarkEnd w:id="33"/>
      <w:r>
        <w:rPr>
          <w:rFonts w:ascii="Times New Roman;Times;serif" w:hAnsi="Times New Roman;Times;serif"/>
          <w:b/>
          <w:color w:val="000000"/>
          <w:sz w:val="20"/>
        </w:rPr>
        <w:t xml:space="preserve">MEETINGS AND BOARD COMMITTEES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Committees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our fiscal year ended May 31, 2026, our Board of Directors had three standing committees, the members of which have been appointed by the Board: the Audit Committee; the Compensation and Human Capital Committee; and the Nominating, Compliance and Corporate Governance Committee. Each committee is composed entirely of independent directors and the Chair and members of each committee are appointed annually by the Board. Each committee is authorized to retain its own outside counsel and other advisors as it desires, subject to, for the Nominating, Compliance and Corporate Governance Committee a $100,000 annual limitation on fees and expenses for such counsel and advisors without the full Board’s prior consent.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committee has adopted a written charter, and a brief summary of each committee’s responsibilities follows.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Audit Committee and Audit Committee Financial Expert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assists our Board of Directors in its oversight of: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integrity of our financial statements, financial reporting process, system of internal controls over financial reporting, and audit process;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compliance with, and process for monitoring compliance with, legal and regulatory requirements, in coordination with the Nominating, Compliance, and Corporate Governance Committee; </w:t>
            </w:r>
          </w:p>
        </w:tc>
      </w:tr>
    </w:tbl>
    <w:tbl>
      <w:tblPr>
        <w:tblW w:w="7585" w:type="dxa"/>
        <w:jc w:val="left"/>
        <w:tblInd w:w="0" w:type="dxa"/>
        <w:tblLayout w:type="fixed"/>
        <w:tblCellMar>
          <w:top w:w="0" w:type="dxa"/>
          <w:left w:w="0" w:type="dxa"/>
          <w:bottom w:w="0" w:type="dxa"/>
          <w:right w:w="0" w:type="dxa"/>
        </w:tblCellMar>
      </w:tblPr>
      <w:tblGrid>
        <w:gridCol w:w="140"/>
        <w:gridCol w:w="7445"/>
      </w:tblGrid>
      <w:tr>
        <w:trPr/>
        <w:tc>
          <w:tcPr>
            <w:tcW w:w="14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independent registered public accounting firm’s qualifications and independence; and </w:t>
            </w:r>
          </w:p>
        </w:tc>
      </w:tr>
    </w:tbl>
    <w:tbl>
      <w:tblPr>
        <w:tblW w:w="5950" w:type="dxa"/>
        <w:jc w:val="left"/>
        <w:tblInd w:w="0" w:type="dxa"/>
        <w:tblLayout w:type="fixed"/>
        <w:tblCellMar>
          <w:top w:w="0" w:type="dxa"/>
          <w:left w:w="0" w:type="dxa"/>
          <w:bottom w:w="0" w:type="dxa"/>
          <w:right w:w="0" w:type="dxa"/>
        </w:tblCellMar>
      </w:tblPr>
      <w:tblGrid>
        <w:gridCol w:w="140"/>
        <w:gridCol w:w="5810"/>
      </w:tblGrid>
      <w:tr>
        <w:trPr/>
        <w:tc>
          <w:tcPr>
            <w:tcW w:w="14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performance of our independent registered public accounting firm.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our Audit Committee provides an open avenue of communication between the independent registered public accounting firm and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authority and responsibilities of the Audit Committee are set forth in detail in its charter, which is available on our website located at www.angiodynamics.com under the “Investors-Corporate Governance-Highlights-Committee Charters-Audit Committee” caption. The information on our website is not a part of this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During our fiscal year ended May 31, 2026, the members of the Audit Committee were Wesley E. Johnson, Jr., Lorinda Burgess, Karen Licitra and Jan Stern Reed. Our Board has determined that each member of the Audit Committee is independent under the Nasdaq listing standards. The Board has also determined that each member of the Audit Committee is financially literate in accordance with the Nasdaq listing standards and that Mr. Johnson, who serves as the chair of the Audit Committee, is an “audit committee financial expert,” as defined under SEC rules. The Audit Committee met nine times during our fiscal year ended May 31, 2026. All of such meetings were attended, either in person or telephonically, by all of the members of the Audit Committee. The Audit Committee did not take action by unanimous written consent during the fiscal year ended May 31, 2026.</w:t>
      </w:r>
    </w:p>
    <w:p>
      <w:pPr>
        <w:pStyle w:val="TextBody"/>
        <w:bidi w:val="0"/>
        <w:spacing w:before="160" w:after="283"/>
        <w:ind w:left="0" w:right="0" w:firstLine="400"/>
        <w:jc w:val="left"/>
        <w:rPr/>
      </w:pPr>
      <w:r>
        <w:rPr>
          <w:rFonts w:ascii="Times New Roman;Times;serif" w:hAnsi="Times New Roman;Times;serif"/>
          <w:color w:val="000000"/>
          <w:sz w:val="20"/>
        </w:rPr>
        <w:t xml:space="preserve">The report of the Audit Committee begins on page </w:t>
      </w:r>
      <w:hyperlink w:anchor="tACR">
        <w:r>
          <w:rPr>
            <w:rStyle w:val="InternetLink"/>
            <w:rFonts w:ascii="Times New Roman;Times;serif" w:hAnsi="Times New Roman;Times;serif"/>
            <w:color w:val="000080"/>
            <w:sz w:val="20"/>
          </w:rPr>
          <w:t>50</w:t>
        </w:r>
      </w:hyperlink>
      <w:r>
        <w:rPr>
          <w:rFonts w:ascii="Times New Roman;Times;serif" w:hAnsi="Times New Roman;Times;serif"/>
          <w:color w:val="000000"/>
          <w:sz w:val="20"/>
        </w:rPr>
        <w:t xml:space="preserve"> of this proxy statement.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and Human Capital Committee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and Human Capital Committee is responsible for: </w:t>
      </w:r>
    </w:p>
    <w:tbl>
      <w:tblPr>
        <w:tblW w:w="7915" w:type="dxa"/>
        <w:jc w:val="left"/>
        <w:tblInd w:w="0" w:type="dxa"/>
        <w:tblLayout w:type="fixed"/>
        <w:tblCellMar>
          <w:top w:w="0" w:type="dxa"/>
          <w:left w:w="0" w:type="dxa"/>
          <w:bottom w:w="0" w:type="dxa"/>
          <w:right w:w="0" w:type="dxa"/>
        </w:tblCellMar>
      </w:tblPr>
      <w:tblGrid>
        <w:gridCol w:w="140"/>
        <w:gridCol w:w="7775"/>
      </w:tblGrid>
      <w:tr>
        <w:trPr/>
        <w:tc>
          <w:tcPr>
            <w:tcW w:w="140" w:type="dxa"/>
            <w:tcBorders/>
            <w:vAlign w:val="center"/>
          </w:tcPr>
          <w:p>
            <w:pPr>
              <w:pStyle w:val="TableContents"/>
              <w:bidi w:val="0"/>
              <w:spacing w:before="0" w:after="0"/>
              <w:jc w:val="left"/>
              <w:rPr>
                <w:color w:val="000000"/>
              </w:rPr>
            </w:pPr>
            <w:r>
              <w:rPr>
                <w:color w:val="000000"/>
              </w:rPr>
              <w:t>•</w:t>
            </w:r>
          </w:p>
        </w:tc>
        <w:tc>
          <w:tcPr>
            <w:tcW w:w="7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assisting the Board in developing and evaluating potential candidates for executive positions;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recommending to the Board each year the objectives that will be the basis for the payment of the annual incentive compensation to the NEOs and CEO; </w:t>
            </w:r>
          </w:p>
        </w:tc>
      </w:tr>
    </w:tbl>
    <w:tbl>
      <w:tblPr>
        <w:tblW w:w="3715" w:type="dxa"/>
        <w:jc w:val="left"/>
        <w:tblInd w:w="0" w:type="dxa"/>
        <w:tblLayout w:type="fixed"/>
        <w:tblCellMar>
          <w:top w:w="0" w:type="dxa"/>
          <w:left w:w="0" w:type="dxa"/>
          <w:bottom w:w="0" w:type="dxa"/>
          <w:right w:w="0" w:type="dxa"/>
        </w:tblCellMar>
      </w:tblPr>
      <w:tblGrid>
        <w:gridCol w:w="140"/>
        <w:gridCol w:w="3575"/>
      </w:tblGrid>
      <w:tr>
        <w:trPr/>
        <w:tc>
          <w:tcPr>
            <w:tcW w:w="140" w:type="dxa"/>
            <w:tcBorders/>
            <w:vAlign w:val="center"/>
          </w:tcPr>
          <w:p>
            <w:pPr>
              <w:pStyle w:val="TableContents"/>
              <w:bidi w:val="0"/>
              <w:spacing w:before="0" w:after="0"/>
              <w:jc w:val="left"/>
              <w:rPr>
                <w:color w:val="000000"/>
              </w:rPr>
            </w:pPr>
            <w:r>
              <w:rPr>
                <w:color w:val="000000"/>
              </w:rPr>
              <w:t>•</w:t>
            </w:r>
          </w:p>
        </w:tc>
        <w:tc>
          <w:tcPr>
            <w:tcW w:w="3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the compensation for our NEOs; </w:t>
            </w:r>
          </w:p>
        </w:tc>
      </w:tr>
    </w:tbl>
    <w:tbl>
      <w:tblPr>
        <w:tblW w:w="6610" w:type="dxa"/>
        <w:jc w:val="left"/>
        <w:tblInd w:w="0" w:type="dxa"/>
        <w:tblLayout w:type="fixed"/>
        <w:tblCellMar>
          <w:top w:w="0" w:type="dxa"/>
          <w:left w:w="0" w:type="dxa"/>
          <w:bottom w:w="0" w:type="dxa"/>
          <w:right w:w="0" w:type="dxa"/>
        </w:tblCellMar>
      </w:tblPr>
      <w:tblGrid>
        <w:gridCol w:w="140"/>
        <w:gridCol w:w="6470"/>
      </w:tblGrid>
      <w:tr>
        <w:trPr/>
        <w:tc>
          <w:tcPr>
            <w:tcW w:w="14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recommending to the full Board the compensation for the CEO;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our NEO’s and our CEO’s performance annually in light of the Compensation and Human Capital Committee’s established goals and objectives;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34" w:name="ny20083274x1_def14a_108-board_pg2"/>
        <w:bookmarkEnd w:id="3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the evaluation process, compensation structure and payouts for our other executive officers annually and overseeing the CEO’s decisions concerning the performance and compensation of our other executive officers;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administering our incentive compensation and other stock-based plans and recommending changes in such plans to the Board, as needed.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authority and responsibilities of the Compensation and Human Capital Committee are set forth in detail in its charter, which is available on our website located at www.angiodynamics.com under the “Investors-Corporate Governance-Highlights-Committee Charters-Compensation and Human Capital Committee” caption. The information on our website is not a part of this proxy statement. The Compensation and Human Capital Committee has authority under its charter to delegate its responsibilities to a subcommittee of the Committee, but did not do so during our fiscal year ended May 31,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During our fiscal year ended May 31, 2026, the members of the Compensation and Human Capital Committee were Eileen O. Auen, Lorinda Burgess, Karen Licitra and Michael E. Tarnoff, each of whom were determined by our Board of Directors to be independent under the Nasdaq listing standards. The Compensation and Human Capital Committee met five times during our fiscal year ended May 31, 2026. All of such meetings were attended, either in person or telephonically, by all of the then serving members of the Compensation and Human Capital Committee. The Compensation and Human Capital Committee did not take action by unanimous written consent during the fiscal year ended May 31, 2026.</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Compensation and Human Capital Committee Interlocks and Insider Participation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fiscal year 2026 and as of the date of this proxy statement, none of the members of the Compensation and Human Capital Committee was or is an officer or employee of the Company, and no executive officer of the Company served or serves on the Compensation and Human Capital Committee or Board of Directors of any company that employed or employs any member of the Company’s Compensation and Human Capital Committee or Board of Directors.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Nominating, Compliance and Corporate Governance Committee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Compliance and Corporate Governance Committee is responsible for: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assisting the Board in identifying individuals qualified to serve as directors of our Company and on committees of the Board and assessing the background and qualifications of director candidates; </w:t>
            </w:r>
          </w:p>
        </w:tc>
      </w:tr>
    </w:tbl>
    <w:tbl>
      <w:tblPr>
        <w:tblW w:w="7000" w:type="dxa"/>
        <w:jc w:val="left"/>
        <w:tblInd w:w="0" w:type="dxa"/>
        <w:tblLayout w:type="fixed"/>
        <w:tblCellMar>
          <w:top w:w="0" w:type="dxa"/>
          <w:left w:w="0" w:type="dxa"/>
          <w:bottom w:w="0" w:type="dxa"/>
          <w:right w:w="0" w:type="dxa"/>
        </w:tblCellMar>
      </w:tblPr>
      <w:tblGrid>
        <w:gridCol w:w="140"/>
        <w:gridCol w:w="6860"/>
      </w:tblGrid>
      <w:tr>
        <w:trPr/>
        <w:tc>
          <w:tcPr>
            <w:tcW w:w="140" w:type="dxa"/>
            <w:tcBorders/>
            <w:vAlign w:val="center"/>
          </w:tcPr>
          <w:p>
            <w:pPr>
              <w:pStyle w:val="TableContents"/>
              <w:bidi w:val="0"/>
              <w:spacing w:before="0" w:after="0"/>
              <w:jc w:val="left"/>
              <w:rPr>
                <w:color w:val="000000"/>
              </w:rPr>
            </w:pPr>
            <w:r>
              <w:rPr>
                <w:color w:val="000000"/>
              </w:rPr>
              <w:t>•</w:t>
            </w:r>
          </w:p>
        </w:tc>
        <w:tc>
          <w:tcPr>
            <w:tcW w:w="6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advising the Board with respect to Board composition, procedures and committees;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developing and recommending to the Board a set of corporate governance principles applicable to our Company, including principles for determining the form and amount of director compensation; </w:t>
            </w:r>
          </w:p>
        </w:tc>
      </w:tr>
    </w:tbl>
    <w:tbl>
      <w:tblPr>
        <w:tblW w:w="3820" w:type="dxa"/>
        <w:jc w:val="left"/>
        <w:tblInd w:w="0" w:type="dxa"/>
        <w:tblLayout w:type="fixed"/>
        <w:tblCellMar>
          <w:top w:w="0" w:type="dxa"/>
          <w:left w:w="0" w:type="dxa"/>
          <w:bottom w:w="0" w:type="dxa"/>
          <w:right w:w="0" w:type="dxa"/>
        </w:tblCellMar>
      </w:tblPr>
      <w:tblGrid>
        <w:gridCol w:w="140"/>
        <w:gridCol w:w="3680"/>
      </w:tblGrid>
      <w:tr>
        <w:trPr/>
        <w:tc>
          <w:tcPr>
            <w:tcW w:w="140" w:type="dxa"/>
            <w:tcBorders/>
            <w:vAlign w:val="center"/>
          </w:tcPr>
          <w:p>
            <w:pPr>
              <w:pStyle w:val="TableContents"/>
              <w:bidi w:val="0"/>
              <w:spacing w:before="0" w:after="0"/>
              <w:jc w:val="left"/>
              <w:rPr>
                <w:color w:val="000000"/>
              </w:rPr>
            </w:pPr>
            <w:r>
              <w:rPr>
                <w:color w:val="000000"/>
              </w:rPr>
              <w:t>•</w:t>
            </w:r>
          </w:p>
        </w:tc>
        <w:tc>
          <w:tcPr>
            <w:tcW w:w="3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evaluation of the Board;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Company’s compliance with, and process for monitoring compliance with, legal and regulatory requirements, in coordination with the Audit Committee, including, without limitations, FDA, SEC, DOJ and international compliance matters.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Compliance and Corporate Governance Committee’s guidelines for selecting nominees to serve on the Board are set forth in its charter and summarized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Compliance and Corporate Governance Committee may apply several criteria in selecting and assessing nominees. At a minimum, the Committee will consider: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each such nominee has demonstrated, by significant accomplishment in the nominee’s field, an ability to make a meaningful contribution to the Board’s oversight of the business and affairs of our Company; and </w:t>
            </w:r>
          </w:p>
        </w:tc>
      </w:tr>
    </w:tbl>
    <w:tbl>
      <w:tblPr>
        <w:tblW w:w="9250" w:type="dxa"/>
        <w:jc w:val="left"/>
        <w:tblInd w:w="0" w:type="dxa"/>
        <w:tblLayout w:type="fixed"/>
        <w:tblCellMar>
          <w:top w:w="0" w:type="dxa"/>
          <w:left w:w="0" w:type="dxa"/>
          <w:bottom w:w="0" w:type="dxa"/>
          <w:right w:w="0" w:type="dxa"/>
        </w:tblCellMar>
      </w:tblPr>
      <w:tblGrid>
        <w:gridCol w:w="140"/>
        <w:gridCol w:w="9110"/>
      </w:tblGrid>
      <w:tr>
        <w:trPr/>
        <w:tc>
          <w:tcPr>
            <w:tcW w:w="14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nominee’s reputation for honesty and ethical conduct in the nominee’s personal and professional activities.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35" w:name="ny20083274x1_def14a_108-board_pg3"/>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 factors that the Committee shall take into account are set forth in its charter, and include, for example, the relevance of a candidate’s specific experiences, skills, industry background and knowledge to the business and objectives of our Company; a candidate’s contribution to the diversity of the Board (including diversity of gender, race, and ethnicity); a candidate’s personal and professional integrity, character and business judgment; a candidate’s time availability in light of other commitments; any potential conflicts of interest involving a candidate; and any other factors or qualities that the Committee believes will enhance the Board’s ability to effectively oversee and direct our Company’s affairs and business, including, where applicable, the ability of Board committees to perform their duties or satisfy any independence requirements under the Nasdaq listing standards or otherwise. In identifying director candidates, the Committee also considers the composition of the Board as a whole, with the goal of achieving a balance of the above-listed criteria across the entire Board and a mix of management and independent directors, while also filling the need for particular skill sets, such as those required of the Audit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Compliance and Corporate Governance Committee will identify nominees by first evaluating the current members of our Board of Directors whose terms are expiring and who are willing to continue in service. In doing so, the Committee will balance the skills and experience of such current directors, as well as the value of continuity of their service, with that of obtaining new perspectives for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new nominees, the Committee will identify potential candidates based on input from members of the Board and management and, if the Committee deems it appropriate, from one or more third-party search firms. The Committee will seek new qualified director candidates from, among other areas, the traditional corporate/business environment, healthcare providers and other professional fields and governmental and regulatory agencies that are relevant to our Company’s business and objectives. The Committee will seek to include qualified and diverse director candidates, including women and individuals from minority groups, in the pool from which nominees are selected. In this regard, the Committee and the Board believe that a diverse Board can lead to improved company performance by encouraging new ideas, expanding the knowledge base available to the Board and management and fostering a boardroom environment and culture that promotes new perspectives, innovation and deliberation.</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Once a person has been identified by the Committee as a potential candidate, the Committee will assess, based on publicly available information regarding the person, whether the candidate should be considered further. If the Committee determines that the candidate warrants further consideration and the person expresses a willingness to be considered and to serve on the Board, the Committee will request information from the candidate, review his or her accomplishments and qualifications and conduct one or more interviews with the candidate. If the candidate appears qualified, committee members may also contact references provided by the candidate or other persons with first-hand knowledge of the candidate’s experience and accomplishments. Additionally, candidates may be requested to meet with some or all of the other members of the Board of Directors. Using the input from these interviews and the other information it has obtained, the Committee will determine whether it should recommend that the Board nominate, or elect to fill a vacancy with, a final prospective candidate. The Committee’s evaluation process is the same for candidates recommended by shareholders.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authority and responsibilities of the Nominating, Compliance and Corporate Governance Committee are set forth in detail in its charter, which is available on our website located at www.angiodynamics.com under the “Investors-Corporate Governance-Highlights-Committee Charters-Nominating, Compliance &amp; Corporate Governance Committee” caption. The information on our website is not a part of this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our fiscal year ended May 31, 2026, the members of the Nominating, Compliance and Corporate Governance Committee were Jan Stern Reed, Eileen O. Auen, Wesley E. Johnson, Jr. and Michael E. Tarnoff. Our Board has determined that each director serving on the Nominating, Compliance and Corporate Governance Committee is independent under the Nasdaq listing standards. Ms. Reed serves as the Chair of the Committee. The Nominating, Compliance and Corporate Governance Committee met four times during the fiscal year ended May 31, 2026. All of such meetings were attended, either in person or telephonically, by all of the members of the Nominating, Compliance and Corporate Governance Committee. The Nominating, Compliance and Corporate Governance Committee took action by unanimous written consent on two occasions during the fiscal year ended May 31, 2026.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Recommendations by Shareholders of Director Nominees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Shareholders may recommend individuals to the Nominating, Compliance and Corporate Governance Committee for consideration as potential director candidates by submitting their names and appropriate background and biographical information to the Nominating, Compliance and Corporate Governance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36" w:name="ny20083274x1_def14a_108-board_pg4"/>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Committee, c/o AngioDynamics, Inc., 14 Plaza Drive, Latham, New York 12110. Our shareholders also have the right to nominate director candidates without any action on the part of the Nominating, Compliance and Corporate Governance Committee or our Board of Directors by following the advance notice provisions of our by-laws as described under “Nomination of Directors.”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Meetings of the Board and Committees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held four meetings, either in person or by telephone, and took action by unanimous written consent on six occasions during our fiscal year ended May 31, 2026. Each incumbent director attended more than 75% of the meetings of the Board and of each committee of which he or she was a member that were held during the period in which he or she was a director or committee member.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Board Diversity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composition of our directors with respect to tenure and gender diversity are shown below. </w:t>
      </w:r>
    </w:p>
    <w:p>
      <w:pPr>
        <w:pStyle w:val="TextBody"/>
        <w:bidi w:val="0"/>
        <w:spacing w:before="305" w:after="283"/>
        <w:jc w:val="center"/>
        <w:rPr>
          <w:color w:val="000000"/>
        </w:rPr>
      </w:pPr>
      <w:r>
        <w:rPr>
          <w:color w:val="000000"/>
        </w:rPr>
        <w:drawing>
          <wp:inline distT="0" distB="0" distL="0" distR="0">
            <wp:extent cx="4010025" cy="1390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010025" cy="13906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matrix summarizes the diversity of our Board as of September 18, 2026. </w:t>
      </w:r>
    </w:p>
    <w:tbl>
      <w:tblPr>
        <w:tblW w:w="5360" w:type="dxa"/>
        <w:jc w:val="left"/>
        <w:tblInd w:w="0" w:type="dxa"/>
        <w:tblLayout w:type="fixed"/>
        <w:tblCellMar>
          <w:top w:w="0" w:type="dxa"/>
          <w:left w:w="0" w:type="dxa"/>
          <w:bottom w:w="0" w:type="dxa"/>
          <w:right w:w="0" w:type="dxa"/>
        </w:tblCellMar>
      </w:tblPr>
      <w:tblGrid>
        <w:gridCol w:w="3605"/>
        <w:gridCol w:w="170"/>
        <w:gridCol w:w="170"/>
        <w:gridCol w:w="575"/>
        <w:gridCol w:w="170"/>
        <w:gridCol w:w="170"/>
        <w:gridCol w:w="500"/>
      </w:tblGrid>
      <w:tr>
        <w:trPr/>
        <w:tc>
          <w:tcPr>
            <w:tcW w:w="5360" w:type="dxa"/>
            <w:gridSpan w:val="7"/>
            <w:tcBorders/>
            <w:vAlign w:val="center"/>
          </w:tcPr>
          <w:p>
            <w:pPr>
              <w:pStyle w:val="TableContents"/>
              <w:bidi w:val="0"/>
              <w:spacing w:before="0" w:after="0"/>
              <w:jc w:val="left"/>
              <w:rPr/>
            </w:pPr>
            <w:r>
              <w:rPr/>
              <w:t> </w:t>
            </w:r>
          </w:p>
        </w:tc>
      </w:tr>
      <w:tr>
        <w:trPr/>
        <w:tc>
          <w:tcPr>
            <w:tcW w:w="536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Board Diversity Matrix as of September 18, 2026 </w:t>
            </w:r>
          </w:p>
        </w:tc>
      </w:tr>
      <w:tr>
        <w:trPr/>
        <w:tc>
          <w:tcPr>
            <w:tcW w:w="36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Total Number of Directors: 8</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5"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r>
      <w:tr>
        <w:trPr/>
        <w:tc>
          <w:tcPr>
            <w:tcW w:w="36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Gender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Female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Male </w:t>
            </w:r>
          </w:p>
        </w:tc>
      </w:tr>
      <w:tr>
        <w:trPr/>
        <w:tc>
          <w:tcPr>
            <w:tcW w:w="3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 </w:t>
            </w:r>
          </w:p>
        </w:tc>
      </w:tr>
      <w:tr>
        <w:trPr/>
        <w:tc>
          <w:tcPr>
            <w:tcW w:w="3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Demographic Information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center"/>
              <w:rPr>
                <w:color w:val="000000"/>
              </w:rPr>
            </w:pPr>
            <w:r>
              <w:rPr>
                <w:color w:val="000000"/>
              </w:rPr>
              <w:t> </w:t>
            </w:r>
          </w:p>
        </w:tc>
      </w:tr>
      <w:tr>
        <w:trPr/>
        <w:tc>
          <w:tcPr>
            <w:tcW w:w="3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African American or Black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3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Alaskan Native or Native American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3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Asian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3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White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 </w:t>
            </w:r>
          </w:p>
        </w:tc>
      </w:tr>
      <w:tr>
        <w:trPr/>
        <w:tc>
          <w:tcPr>
            <w:tcW w:w="3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Two or more races or ethnicities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3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LGBTQ+</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3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Did not Disclose Demographic Background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99"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r>
      <w:tr>
        <w:trPr/>
        <w:tc>
          <w:tcPr>
            <w:tcW w:w="36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37" w:name="ny20083274x1_def14a_109-ownership_pg1"/>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 w:name="tOFS"/>
      <w:bookmarkEnd w:id="38"/>
      <w:r>
        <w:rPr>
          <w:rFonts w:ascii="Times New Roman;Times;serif" w:hAnsi="Times New Roman;Times;serif"/>
          <w:b/>
          <w:color w:val="000000"/>
          <w:sz w:val="20"/>
        </w:rPr>
        <w:t xml:space="preserve">OWNERSHIP OF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AngioDynamics common stock beneficially owned by each of our current directors, each of our named executive officers, all of our current directors and executive officers as a group and each person known by us to beneficially own more than 5% of our common stock as of September 18, 2026. Except as otherwise noted, each individual director or named executive officer had sole voting and investment power with respect to the AngioDynamics common stock. As of September 18, 2026, there were 42,054,450 shares of our common stock outstanding. As of September 18, 2026, no director or executive officer beneficially owned more than 1% of the shares of our outstanding common stock. As of September 18, 2026, AngioDynamics’ current directors and executive officers as a group beneficially owned 6.0% of the shares of common stock outstanding. </w:t>
      </w:r>
    </w:p>
    <w:tbl>
      <w:tblPr>
        <w:tblW w:w="10205" w:type="dxa"/>
        <w:jc w:val="left"/>
        <w:tblInd w:w="0" w:type="dxa"/>
        <w:tblLayout w:type="fixed"/>
        <w:tblCellMar>
          <w:top w:w="0" w:type="dxa"/>
          <w:left w:w="0" w:type="dxa"/>
          <w:bottom w:w="0" w:type="dxa"/>
          <w:right w:w="0" w:type="dxa"/>
        </w:tblCellMar>
      </w:tblPr>
      <w:tblGrid>
        <w:gridCol w:w="4317"/>
        <w:gridCol w:w="170"/>
        <w:gridCol w:w="170"/>
        <w:gridCol w:w="1547"/>
        <w:gridCol w:w="170"/>
        <w:gridCol w:w="170"/>
        <w:gridCol w:w="1314"/>
        <w:gridCol w:w="170"/>
        <w:gridCol w:w="170"/>
        <w:gridCol w:w="2007"/>
      </w:tblGrid>
      <w:tr>
        <w:trPr/>
        <w:tc>
          <w:tcPr>
            <w:tcW w:w="431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0"/>
              <w:jc w:val="left"/>
              <w:rPr/>
            </w:pPr>
            <w:r>
              <w:rPr/>
              <w:t> </w:t>
            </w:r>
          </w:p>
        </w:tc>
      </w:tr>
      <w:tr>
        <w:trPr/>
        <w:tc>
          <w:tcPr>
            <w:tcW w:w="431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Significant Shareholders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0"/>
              <w:jc w:val="left"/>
              <w:rPr>
                <w:color w:val="000000"/>
              </w:rPr>
            </w:pPr>
            <w:r>
              <w:rPr>
                <w:color w:val="000000"/>
              </w:rPr>
              <w:t> </w:t>
            </w:r>
          </w:p>
        </w:tc>
      </w:tr>
      <w:tr>
        <w:trPr/>
        <w:tc>
          <w:tcPr>
            <w:tcW w:w="431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September 18, 2026</w:t>
            </w:r>
            <w:r>
              <w:rPr>
                <w:rFonts w:ascii="Times New Roman;Times;serif" w:hAnsi="Times New Roman;Times;serif"/>
                <w:b/>
                <w:color w:val="000000"/>
                <w:position w:val="5"/>
                <w:sz w:val="13"/>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May be Acquired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Within 60 Days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18, 2026 </w:t>
            </w:r>
          </w:p>
        </w:tc>
      </w:tr>
      <w:tr>
        <w:trPr/>
        <w:tc>
          <w:tcPr>
            <w:tcW w:w="431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Owners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47"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07" w:type="dxa"/>
            <w:tcBorders/>
            <w:shd w:fill="CCEEFF" w:val="clear"/>
            <w:vAlign w:val="center"/>
          </w:tcPr>
          <w:p>
            <w:pPr>
              <w:pStyle w:val="TableContents"/>
              <w:bidi w:val="0"/>
              <w:spacing w:before="0" w:after="0"/>
              <w:jc w:val="center"/>
              <w:rPr>
                <w:color w:val="000000"/>
              </w:rPr>
            </w:pPr>
            <w:r>
              <w:rPr>
                <w:color w:val="000000"/>
              </w:rPr>
              <w:t> </w:t>
            </w:r>
          </w:p>
        </w:tc>
      </w:tr>
      <w:tr>
        <w:trPr/>
        <w:tc>
          <w:tcPr>
            <w:tcW w:w="431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BlackRock, Inc. </w:t>
            </w:r>
          </w:p>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 Hudson Yards </w:t>
            </w:r>
          </w:p>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New York, NY 10001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7" w:type="dxa"/>
            <w:tcBorders/>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rPr>
              <w:t>2,198,422</w:t>
            </w:r>
            <w:r>
              <w:rPr>
                <w:rFonts w:ascii="Times New Roman;Times;serif" w:hAnsi="Times New Roman;Times;serif"/>
                <w:color w:val="000000"/>
                <w:position w:val="7"/>
                <w:sz w:val="16"/>
                <w:sz w:val="20"/>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4" w:type="dxa"/>
            <w:tcBorders/>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283"/>
              <w:ind w:left="589" w:right="0" w:hanging="0"/>
              <w:jc w:val="left"/>
              <w:rPr>
                <w:color w:val="000000"/>
              </w:rPr>
            </w:pPr>
            <w:r>
              <w:rPr>
                <w:color w:val="000000"/>
              </w:rPr>
              <w:t xml:space="preserve">— </w:t>
            </w:r>
          </w:p>
        </w:tc>
      </w:tr>
      <w:tr>
        <w:trPr/>
        <w:tc>
          <w:tcPr>
            <w:tcW w:w="431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Systematic Financial Management LP </w:t>
            </w:r>
          </w:p>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300 Frank W. Burr Boulevard, 7th Floor </w:t>
            </w:r>
          </w:p>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Teaneck, NJ 07666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47" w:type="dxa"/>
            <w:tcBorders/>
            <w:shd w:fill="CCEEFF" w:val="clear"/>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rPr>
              <w:t>2,508,295</w:t>
            </w:r>
            <w:r>
              <w:rPr>
                <w:rFonts w:ascii="Times New Roman;Times;serif" w:hAnsi="Times New Roman;Times;serif"/>
                <w:color w:val="000000"/>
                <w:position w:val="7"/>
                <w:sz w:val="16"/>
                <w:sz w:val="20"/>
              </w:rPr>
              <w:t>(c)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4" w:type="dxa"/>
            <w:tcBorders/>
            <w:shd w:fill="CCEEFF" w:val="clear"/>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07" w:type="dxa"/>
            <w:tcBorders/>
            <w:shd w:fill="CCEEFF" w:val="clear"/>
            <w:vAlign w:val="center"/>
          </w:tcPr>
          <w:p>
            <w:pPr>
              <w:pStyle w:val="TableContents"/>
              <w:bidi w:val="0"/>
              <w:spacing w:before="0" w:after="283"/>
              <w:ind w:left="589" w:right="0" w:hanging="0"/>
              <w:jc w:val="left"/>
              <w:rPr>
                <w:color w:val="000000"/>
              </w:rPr>
            </w:pPr>
            <w:r>
              <w:rPr>
                <w:color w:val="000000"/>
              </w:rPr>
              <w:t xml:space="preserve">— </w:t>
            </w:r>
          </w:p>
        </w:tc>
      </w:tr>
      <w:tr>
        <w:trPr/>
        <w:tc>
          <w:tcPr>
            <w:tcW w:w="431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Millennium Management LLC </w:t>
            </w:r>
          </w:p>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399 Park Avenue </w:t>
            </w:r>
          </w:p>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New York, NY 10022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7" w:type="dxa"/>
            <w:tcBorders/>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rPr>
              <w:t>2,124,268</w:t>
            </w:r>
            <w:r>
              <w:rPr>
                <w:rFonts w:ascii="Times New Roman;Times;serif" w:hAnsi="Times New Roman;Times;serif"/>
                <w:color w:val="000000"/>
                <w:position w:val="7"/>
                <w:sz w:val="16"/>
                <w:sz w:val="20"/>
              </w:rPr>
              <w:t>(d)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4" w:type="dxa"/>
            <w:tcBorders/>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283"/>
              <w:ind w:left="589" w:right="0" w:hanging="0"/>
              <w:jc w:val="left"/>
              <w:rPr>
                <w:color w:val="000000"/>
              </w:rPr>
            </w:pPr>
            <w:r>
              <w:rPr>
                <w:color w:val="000000"/>
              </w:rPr>
              <w:t xml:space="preserve">— </w:t>
            </w:r>
          </w:p>
        </w:tc>
      </w:tr>
      <w:tr>
        <w:trPr/>
        <w:tc>
          <w:tcPr>
            <w:tcW w:w="431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Point72 Asset Management, L.P. </w:t>
            </w:r>
          </w:p>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 Cummings Point Road </w:t>
            </w:r>
          </w:p>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Stamford, CT 06902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47" w:type="dxa"/>
            <w:tcBorders/>
            <w:shd w:fill="CCEEFF" w:val="clear"/>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rPr>
              <w:t>3,181,829</w:t>
            </w:r>
            <w:r>
              <w:rPr>
                <w:rFonts w:ascii="Times New Roman;Times;serif" w:hAnsi="Times New Roman;Times;serif"/>
                <w:color w:val="000000"/>
                <w:position w:val="7"/>
                <w:sz w:val="16"/>
                <w:sz w:val="20"/>
              </w:rPr>
              <w:t>(e)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4" w:type="dxa"/>
            <w:tcBorders/>
            <w:shd w:fill="CCEEFF" w:val="clear"/>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07" w:type="dxa"/>
            <w:tcBorders/>
            <w:shd w:fill="CCEEFF" w:val="clear"/>
            <w:vAlign w:val="center"/>
          </w:tcPr>
          <w:p>
            <w:pPr>
              <w:pStyle w:val="TableContents"/>
              <w:bidi w:val="0"/>
              <w:spacing w:before="0" w:after="283"/>
              <w:ind w:left="589" w:right="0" w:hanging="0"/>
              <w:jc w:val="left"/>
              <w:rPr>
                <w:color w:val="000000"/>
              </w:rPr>
            </w:pPr>
            <w:r>
              <w:rPr>
                <w:color w:val="000000"/>
              </w:rPr>
              <w:t xml:space="preserve">— </w:t>
            </w:r>
          </w:p>
        </w:tc>
      </w:tr>
      <w:tr>
        <w:trPr/>
        <w:tc>
          <w:tcPr>
            <w:tcW w:w="431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Kevin Kotler </w:t>
            </w:r>
          </w:p>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 Broadfin Holdings, LLC </w:t>
            </w:r>
          </w:p>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 Broadhollow Road, Suite 207 </w:t>
            </w:r>
          </w:p>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Melville, New York 11747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7" w:type="dxa"/>
            <w:tcBorders/>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rPr>
              <w:t>2,421,526</w:t>
            </w:r>
            <w:r>
              <w:rPr>
                <w:rFonts w:ascii="Times New Roman;Times;serif" w:hAnsi="Times New Roman;Times;serif"/>
                <w:color w:val="000000"/>
                <w:position w:val="7"/>
                <w:sz w:val="16"/>
                <w:sz w:val="20"/>
              </w:rPr>
              <w:t>(f)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4" w:type="dxa"/>
            <w:tcBorders/>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283"/>
              <w:ind w:left="589" w:right="0" w:hanging="0"/>
              <w:jc w:val="left"/>
              <w:rPr>
                <w:color w:val="000000"/>
              </w:rPr>
            </w:pPr>
            <w:r>
              <w:rPr>
                <w:color w:val="000000"/>
              </w:rPr>
              <w:t xml:space="preserve">— </w:t>
            </w:r>
          </w:p>
        </w:tc>
      </w:tr>
      <w:tr>
        <w:trPr/>
        <w:tc>
          <w:tcPr>
            <w:tcW w:w="431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Beneficial Ownership of Management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47"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4"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07" w:type="dxa"/>
            <w:tcBorders/>
            <w:shd w:fill="CCEEFF" w:val="clear"/>
            <w:vAlign w:val="center"/>
          </w:tcPr>
          <w:p>
            <w:pPr>
              <w:pStyle w:val="TableContents"/>
              <w:bidi w:val="0"/>
              <w:spacing w:before="0" w:after="0"/>
              <w:jc w:val="center"/>
              <w:rPr>
                <w:color w:val="000000"/>
              </w:rPr>
            </w:pPr>
            <w:r>
              <w:rPr>
                <w:color w:val="000000"/>
              </w:rPr>
              <w:t> </w:t>
            </w:r>
          </w:p>
        </w:tc>
      </w:tr>
      <w:tr>
        <w:trPr/>
        <w:tc>
          <w:tcPr>
            <w:tcW w:w="431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Non-Employee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0"/>
              <w:jc w:val="center"/>
              <w:rPr>
                <w:color w:val="000000"/>
              </w:rPr>
            </w:pPr>
            <w:r>
              <w:rPr>
                <w:color w:val="000000"/>
              </w:rPr>
              <w:t> </w:t>
            </w:r>
          </w:p>
        </w:tc>
      </w:tr>
      <w:tr>
        <w:trPr/>
        <w:tc>
          <w:tcPr>
            <w:tcW w:w="43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Eileen O. Auen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47" w:type="dxa"/>
            <w:tcBorders/>
            <w:shd w:fill="CCEEFF" w:val="clear"/>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rPr>
              <w:t>141,605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4" w:type="dxa"/>
            <w:tcBorders/>
            <w:shd w:fill="CCEEFF" w:val="clear"/>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07" w:type="dxa"/>
            <w:tcBorders/>
            <w:shd w:fill="CCEEFF" w:val="clear"/>
            <w:vAlign w:val="center"/>
          </w:tcPr>
          <w:p>
            <w:pPr>
              <w:pStyle w:val="TableContents"/>
              <w:bidi w:val="0"/>
              <w:spacing w:before="0" w:after="283"/>
              <w:ind w:left="5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25,000 </w:t>
            </w:r>
          </w:p>
        </w:tc>
      </w:tr>
      <w:tr>
        <w:trPr/>
        <w:tc>
          <w:tcPr>
            <w:tcW w:w="43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Lorinda A. Burgess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7" w:type="dxa"/>
            <w:tcBorders/>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rPr>
              <w:t>67,144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283"/>
              <w:ind w:left="589" w:right="0" w:hanging="0"/>
              <w:jc w:val="left"/>
              <w:rPr>
                <w:color w:val="000000"/>
              </w:rPr>
            </w:pPr>
            <w:r>
              <w:rPr>
                <w:color w:val="000000"/>
              </w:rPr>
              <w:t>—</w:t>
            </w:r>
          </w:p>
        </w:tc>
      </w:tr>
      <w:tr>
        <w:trPr/>
        <w:tc>
          <w:tcPr>
            <w:tcW w:w="43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Howard W. Donnelly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47" w:type="dxa"/>
            <w:tcBorders/>
            <w:shd w:fill="CCEEFF" w:val="clear"/>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rPr>
              <w:t>178,938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4" w:type="dxa"/>
            <w:tcBorders/>
            <w:shd w:fill="CCEEFF" w:val="clear"/>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07" w:type="dxa"/>
            <w:tcBorders/>
            <w:shd w:fill="CCEEFF" w:val="clear"/>
            <w:vAlign w:val="center"/>
          </w:tcPr>
          <w:p>
            <w:pPr>
              <w:pStyle w:val="TableContents"/>
              <w:bidi w:val="0"/>
              <w:spacing w:before="0" w:after="283"/>
              <w:ind w:left="589" w:right="0" w:hanging="0"/>
              <w:jc w:val="left"/>
              <w:rPr>
                <w:color w:val="000000"/>
              </w:rPr>
            </w:pPr>
            <w:r>
              <w:rPr>
                <w:color w:val="000000"/>
              </w:rPr>
              <w:t xml:space="preserve">— </w:t>
            </w:r>
          </w:p>
        </w:tc>
      </w:tr>
      <w:tr>
        <w:trPr/>
        <w:tc>
          <w:tcPr>
            <w:tcW w:w="43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Wesley E. Johnson, Jr.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7" w:type="dxa"/>
            <w:tcBorders/>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rPr>
              <w:t>149,450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4" w:type="dxa"/>
            <w:tcBorders/>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283"/>
              <w:ind w:left="589" w:right="0" w:hanging="0"/>
              <w:jc w:val="left"/>
              <w:rPr>
                <w:color w:val="000000"/>
              </w:rPr>
            </w:pPr>
            <w:r>
              <w:rPr>
                <w:color w:val="000000"/>
              </w:rPr>
              <w:t xml:space="preserve">— </w:t>
            </w:r>
          </w:p>
        </w:tc>
      </w:tr>
      <w:tr>
        <w:trPr/>
        <w:tc>
          <w:tcPr>
            <w:tcW w:w="43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Karen A. Licitra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47" w:type="dxa"/>
            <w:tcBorders/>
            <w:shd w:fill="CCEEFF" w:val="clear"/>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rPr>
              <w:t>102,340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4" w:type="dxa"/>
            <w:tcBorders/>
            <w:shd w:fill="CCEEFF" w:val="clear"/>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07" w:type="dxa"/>
            <w:tcBorders/>
            <w:shd w:fill="CCEEFF" w:val="clear"/>
            <w:vAlign w:val="center"/>
          </w:tcPr>
          <w:p>
            <w:pPr>
              <w:pStyle w:val="TableContents"/>
              <w:bidi w:val="0"/>
              <w:spacing w:before="0" w:after="283"/>
              <w:ind w:left="589" w:right="0" w:hanging="0"/>
              <w:jc w:val="left"/>
              <w:rPr>
                <w:color w:val="000000"/>
              </w:rPr>
            </w:pPr>
            <w:r>
              <w:rPr>
                <w:color w:val="000000"/>
              </w:rPr>
              <w:t xml:space="preserve">— </w:t>
            </w:r>
          </w:p>
        </w:tc>
      </w:tr>
      <w:tr>
        <w:trPr/>
        <w:tc>
          <w:tcPr>
            <w:tcW w:w="43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 Stern Reed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7" w:type="dxa"/>
            <w:tcBorders/>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rPr>
              <w:t>141,921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4" w:type="dxa"/>
            <w:tcBorders/>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283"/>
              <w:ind w:left="5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25,000 </w:t>
            </w:r>
          </w:p>
        </w:tc>
      </w:tr>
      <w:tr>
        <w:trPr/>
        <w:tc>
          <w:tcPr>
            <w:tcW w:w="43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E. Tarnoff</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47" w:type="dxa"/>
            <w:tcBorders/>
            <w:shd w:fill="CCEEFF" w:val="clear"/>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rPr>
              <w:t>95,265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4" w:type="dxa"/>
            <w:tcBorders/>
            <w:shd w:fill="CCEEFF" w:val="clear"/>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07" w:type="dxa"/>
            <w:tcBorders/>
            <w:shd w:fill="CCEEFF" w:val="clear"/>
            <w:vAlign w:val="center"/>
          </w:tcPr>
          <w:p>
            <w:pPr>
              <w:pStyle w:val="TableContents"/>
              <w:bidi w:val="0"/>
              <w:spacing w:before="0" w:after="283"/>
              <w:ind w:left="589" w:right="0" w:hanging="0"/>
              <w:jc w:val="left"/>
              <w:rPr>
                <w:color w:val="000000"/>
              </w:rPr>
            </w:pPr>
            <w:r>
              <w:rPr>
                <w:color w:val="000000"/>
              </w:rPr>
              <w:t xml:space="preserve">— </w:t>
            </w:r>
          </w:p>
        </w:tc>
      </w:tr>
      <w:tr>
        <w:trPr/>
        <w:tc>
          <w:tcPr>
            <w:tcW w:w="431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4"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0"/>
              <w:jc w:val="center"/>
              <w:rPr>
                <w:color w:val="000000"/>
              </w:rPr>
            </w:pPr>
            <w:r>
              <w:rPr>
                <w:color w:val="000000"/>
              </w:rPr>
              <w:t> </w:t>
            </w:r>
          </w:p>
        </w:tc>
      </w:tr>
      <w:tr>
        <w:trPr/>
        <w:tc>
          <w:tcPr>
            <w:tcW w:w="43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 Clemmer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47" w:type="dxa"/>
            <w:tcBorders/>
            <w:shd w:fill="CCEEFF" w:val="clear"/>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rPr>
              <w:t>1,310,206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4" w:type="dxa"/>
            <w:tcBorders/>
            <w:shd w:fill="CCEEFF" w:val="clear"/>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07" w:type="dxa"/>
            <w:tcBorders/>
            <w:shd w:fill="CCEEFF" w:val="clear"/>
            <w:vAlign w:val="center"/>
          </w:tcPr>
          <w:p>
            <w:pPr>
              <w:pStyle w:val="TableContents"/>
              <w:bidi w:val="0"/>
              <w:spacing w:before="0" w:after="283"/>
              <w:ind w:left="5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807,344 </w:t>
            </w:r>
          </w:p>
        </w:tc>
      </w:tr>
      <w:tr>
        <w:trPr/>
        <w:tc>
          <w:tcPr>
            <w:tcW w:w="43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A. Trowbridge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7" w:type="dxa"/>
            <w:tcBorders/>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rPr>
              <w:t>392,185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4" w:type="dxa"/>
            <w:tcBorders/>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283"/>
              <w:ind w:left="5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226,281 </w:t>
            </w:r>
          </w:p>
        </w:tc>
      </w:tr>
      <w:tr>
        <w:trPr/>
        <w:tc>
          <w:tcPr>
            <w:tcW w:w="43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Lawrence T. Weiss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47" w:type="dxa"/>
            <w:tcBorders/>
            <w:shd w:fill="CCEEFF" w:val="clear"/>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rPr>
              <w:t>57,366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4" w:type="dxa"/>
            <w:tcBorders/>
            <w:shd w:fill="CCEEFF" w:val="clear"/>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07" w:type="dxa"/>
            <w:tcBorders/>
            <w:shd w:fill="CCEEFF" w:val="clear"/>
            <w:vAlign w:val="center"/>
          </w:tcPr>
          <w:p>
            <w:pPr>
              <w:pStyle w:val="TableContents"/>
              <w:bidi w:val="0"/>
              <w:spacing w:before="0" w:after="283"/>
              <w:ind w:left="5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25,913 </w:t>
            </w:r>
          </w:p>
        </w:tc>
      </w:tr>
      <w:tr>
        <w:trPr/>
        <w:tc>
          <w:tcPr>
            <w:tcW w:w="43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Laura Piccinini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7" w:type="dxa"/>
            <w:tcBorders/>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rPr>
              <w:t>131,468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4" w:type="dxa"/>
            <w:tcBorders/>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283"/>
              <w:ind w:left="5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105,255 </w:t>
            </w:r>
          </w:p>
        </w:tc>
      </w:tr>
      <w:tr>
        <w:trPr/>
        <w:tc>
          <w:tcPr>
            <w:tcW w:w="43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Warren G. Nighan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47" w:type="dxa"/>
            <w:tcBorders/>
            <w:shd w:fill="CCEEFF" w:val="clear"/>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rPr>
              <w:t>131,809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4" w:type="dxa"/>
            <w:tcBorders/>
            <w:shd w:fill="CCEEFF" w:val="clear"/>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07" w:type="dxa"/>
            <w:tcBorders/>
            <w:shd w:fill="CCEEFF" w:val="clear"/>
            <w:vAlign w:val="center"/>
          </w:tcPr>
          <w:p>
            <w:pPr>
              <w:pStyle w:val="TableContents"/>
              <w:bidi w:val="0"/>
              <w:spacing w:before="0" w:after="283"/>
              <w:ind w:left="58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104,173 </w:t>
            </w:r>
          </w:p>
        </w:tc>
      </w:tr>
      <w:tr>
        <w:trPr/>
        <w:tc>
          <w:tcPr>
            <w:tcW w:w="431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All directors and executive officers as a group (12 persons)</w:t>
            </w:r>
            <w:r>
              <w:rPr>
                <w:rFonts w:ascii="Times New Roman;Times;serif" w:hAnsi="Times New Roman;Times;serif"/>
                <w:color w:val="000000"/>
                <w:position w:val="7"/>
                <w:sz w:val="16"/>
                <w:sz w:val="20"/>
              </w:rPr>
              <w:t>(g)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7" w:type="dxa"/>
            <w:tcBorders/>
            <w:vAlign w:val="center"/>
          </w:tcPr>
          <w:p>
            <w:pPr>
              <w:pStyle w:val="TableContents"/>
              <w:bidi w:val="0"/>
              <w:spacing w:before="0" w:after="283"/>
              <w:ind w:left="337" w:right="0" w:hanging="0"/>
              <w:jc w:val="left"/>
              <w:rPr>
                <w:rFonts w:ascii="Times New Roman;Times;serif" w:hAnsi="Times New Roman;Times;serif"/>
                <w:color w:val="000000"/>
                <w:sz w:val="20"/>
              </w:rPr>
            </w:pPr>
            <w:r>
              <w:rPr>
                <w:rFonts w:ascii="Times New Roman;Times;serif" w:hAnsi="Times New Roman;Times;serif"/>
                <w:color w:val="000000"/>
                <w:sz w:val="20"/>
              </w:rPr>
              <w:t>3,065,309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4" w:type="dxa"/>
            <w:tcBorders/>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283"/>
              <w:ind w:left="589" w:right="0" w:hanging="0"/>
              <w:jc w:val="left"/>
              <w:rPr>
                <w:rFonts w:ascii="Times New Roman;Times;serif" w:hAnsi="Times New Roman;Times;serif"/>
                <w:color w:val="000000"/>
                <w:sz w:val="20"/>
              </w:rPr>
            </w:pPr>
            <w:r>
              <w:rPr>
                <w:rFonts w:ascii="Times New Roman;Times;serif" w:hAnsi="Times New Roman;Times;serif"/>
                <w:color w:val="000000"/>
                <w:sz w:val="20"/>
              </w:rPr>
              <w:t>1,423,202</w:t>
            </w:r>
          </w:p>
        </w:tc>
      </w:tr>
      <w:tr>
        <w:trPr/>
        <w:tc>
          <w:tcPr>
            <w:tcW w:w="431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7" w:type="dxa"/>
            <w:tcBorders/>
            <w:vAlign w:val="center"/>
          </w:tcPr>
          <w:p>
            <w:pPr>
              <w:pStyle w:val="TableContents"/>
              <w:bidi w:val="0"/>
              <w:spacing w:before="0" w:after="0"/>
              <w:jc w:val="left"/>
              <w:rPr/>
            </w:pPr>
            <w:r>
              <w:rPr/>
              <w:t> </w:t>
            </w:r>
          </w:p>
        </w:tc>
      </w:tr>
    </w:tbl>
    <w:tbl>
      <w:tblPr>
        <w:tblW w:w="6700" w:type="dxa"/>
        <w:jc w:val="left"/>
        <w:tblInd w:w="0" w:type="dxa"/>
        <w:tblLayout w:type="fixed"/>
        <w:tblCellMar>
          <w:top w:w="0" w:type="dxa"/>
          <w:left w:w="0" w:type="dxa"/>
          <w:bottom w:w="0" w:type="dxa"/>
          <w:right w:w="0" w:type="dxa"/>
        </w:tblCellMar>
      </w:tblPr>
      <w:tblGrid>
        <w:gridCol w:w="140"/>
        <w:gridCol w:w="656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65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less than one percent of the number of shares outstanding at September 18, 2026.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Beneficial ownership is determined in accordance with the rules of the SEC and generally includes voting or investment power with respect to securities. Under those rules, although not outstanding, shares of common stock subject to options that are exercisable or will become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39" w:name="ny20083274x1_def14a_109-ownership_pg2"/>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exercisable within 60 days of September 18, 2026 and restricted stock units that will vest within 60 days of September 18, 2026 are deemed to be outstanding and to be beneficially owned by the person holding the securities for the purpose of computing the percentage ownership of the person, but are not treated as outstanding for the purpose of computing the percentage ownership of any other person.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(b)</w:t>
            </w:r>
          </w:p>
        </w:tc>
        <w:tc>
          <w:tcPr>
            <w:tcW w:w="99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Share ownership information based upon a Schedule 13G filed by BlackRock, Inc. on April 17, 2025. According to the Schedule 13G, Blackrock, Inc. has sole voting power with respect to 2,868,268 shares and sole dispositive power with respect to 2,918,422 shares.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w:t>
            </w:r>
          </w:p>
        </w:tc>
        <w:tc>
          <w:tcPr>
            <w:tcW w:w="99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Share ownership information based upon a Schedule 13G filed by Systematic Financial Management on February 10, 2026. According to the Schedule 13G, Systematic Financial Management LP has sole voting power with respect to 1,478,345 shares and sole dispositive power with respect to 2,508,295 shares.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(d)</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Share ownership information based upon a Schedule 13G filed by Integrated Core Strategies (US) LLC on July 22, 2025, 2025. According to the Schedule 13G, the securities disclosed therein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 </w:t>
            </w:r>
          </w:p>
        </w:tc>
      </w:tr>
    </w:tbl>
    <w:tbl>
      <w:tblPr>
        <w:tblW w:w="8740" w:type="dxa"/>
        <w:jc w:val="left"/>
        <w:tblInd w:w="0" w:type="dxa"/>
        <w:tblLayout w:type="fixed"/>
        <w:tblCellMar>
          <w:top w:w="0" w:type="dxa"/>
          <w:left w:w="0" w:type="dxa"/>
          <w:bottom w:w="0" w:type="dxa"/>
          <w:right w:w="0" w:type="dxa"/>
        </w:tblCellMar>
      </w:tblPr>
      <w:tblGrid>
        <w:gridCol w:w="245"/>
        <w:gridCol w:w="8495"/>
      </w:tblGrid>
      <w:tr>
        <w:trPr/>
        <w:tc>
          <w:tcPr>
            <w:tcW w:w="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(e)</w:t>
            </w:r>
          </w:p>
        </w:tc>
        <w:tc>
          <w:tcPr>
            <w:tcW w:w="84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Share ownership information based upon a Schedule 13G/A filed by Point72 Asset Management, L.P. on May 15, 2026. </w:t>
            </w:r>
          </w:p>
        </w:tc>
      </w:tr>
    </w:tbl>
    <w:tbl>
      <w:tblPr>
        <w:tblW w:w="7420" w:type="dxa"/>
        <w:jc w:val="left"/>
        <w:tblInd w:w="0" w:type="dxa"/>
        <w:tblLayout w:type="fixed"/>
        <w:tblCellMar>
          <w:top w:w="0" w:type="dxa"/>
          <w:left w:w="0" w:type="dxa"/>
          <w:bottom w:w="0" w:type="dxa"/>
          <w:right w:w="0" w:type="dxa"/>
        </w:tblCellMar>
      </w:tblPr>
      <w:tblGrid>
        <w:gridCol w:w="230"/>
        <w:gridCol w:w="719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(f)</w:t>
            </w:r>
          </w:p>
        </w:tc>
        <w:tc>
          <w:tcPr>
            <w:tcW w:w="7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Share ownership information based upon a Schedule 13G filed by Kevin Kotler on February 9, 2026. </w:t>
            </w:r>
          </w:p>
        </w:tc>
      </w:tr>
    </w:tbl>
    <w:tbl>
      <w:tblPr>
        <w:tblW w:w="6910" w:type="dxa"/>
        <w:jc w:val="left"/>
        <w:tblInd w:w="0" w:type="dxa"/>
        <w:tblLayout w:type="fixed"/>
        <w:tblCellMar>
          <w:top w:w="0" w:type="dxa"/>
          <w:left w:w="0" w:type="dxa"/>
          <w:bottom w:w="0" w:type="dxa"/>
          <w:right w:w="0" w:type="dxa"/>
        </w:tblCellMar>
      </w:tblPr>
      <w:tblGrid>
        <w:gridCol w:w="260"/>
        <w:gridCol w:w="665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(g)</w:t>
            </w:r>
          </w:p>
        </w:tc>
        <w:tc>
          <w:tcPr>
            <w:tcW w:w="66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all of the persons identified as non-employee directors and named executive officers.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40" w:name="ny20083274x1_def14a_109-ownership_pg3"/>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41" w:name="tECP"/>
      <w:bookmarkEnd w:id="41"/>
      <w:r>
        <w:rPr>
          <w:rFonts w:ascii="Times New Roman;Times;serif" w:hAnsi="Times New Roman;Times;serif"/>
          <w:b/>
          <w:color w:val="000000"/>
          <w:sz w:val="20"/>
        </w:rPr>
        <w:t xml:space="preserve">Equity Compensation Plan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sets forth information, as of May 31, 2026, with respect to compensation plans under which our equity securities are authorized for issuance.</w:t>
      </w:r>
    </w:p>
    <w:tbl>
      <w:tblPr>
        <w:tblW w:w="10205" w:type="dxa"/>
        <w:jc w:val="left"/>
        <w:tblInd w:w="0" w:type="dxa"/>
        <w:tblLayout w:type="fixed"/>
        <w:tblCellMar>
          <w:top w:w="0" w:type="dxa"/>
          <w:left w:w="0" w:type="dxa"/>
          <w:bottom w:w="0" w:type="dxa"/>
          <w:right w:w="0" w:type="dxa"/>
        </w:tblCellMar>
      </w:tblPr>
      <w:tblGrid>
        <w:gridCol w:w="3920"/>
        <w:gridCol w:w="170"/>
        <w:gridCol w:w="170"/>
        <w:gridCol w:w="1655"/>
        <w:gridCol w:w="170"/>
        <w:gridCol w:w="170"/>
        <w:gridCol w:w="1578"/>
        <w:gridCol w:w="170"/>
        <w:gridCol w:w="170"/>
        <w:gridCol w:w="2032"/>
      </w:tblGrid>
      <w:tr>
        <w:trPr/>
        <w:tc>
          <w:tcPr>
            <w:tcW w:w="3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7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32" w:type="dxa"/>
            <w:tcBorders/>
            <w:vAlign w:val="center"/>
          </w:tcPr>
          <w:p>
            <w:pPr>
              <w:pStyle w:val="TableContents"/>
              <w:bidi w:val="0"/>
              <w:spacing w:before="0" w:after="0"/>
              <w:jc w:val="left"/>
              <w:rPr/>
            </w:pPr>
            <w:r>
              <w:rPr/>
              <w:t> </w:t>
            </w:r>
          </w:p>
        </w:tc>
      </w:tr>
      <w:tr>
        <w:trPr/>
        <w:tc>
          <w:tcPr>
            <w:tcW w:w="39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3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 </w:t>
            </w:r>
          </w:p>
        </w:tc>
      </w:tr>
      <w:tr>
        <w:trPr/>
        <w:tc>
          <w:tcPr>
            <w:tcW w:w="39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be issued upon 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outstanding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 and rights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 and rights</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3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securities 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available for future issuance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 equity 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plans (excluding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reflected in column (a)</w:t>
            </w:r>
            <w:r>
              <w:rPr>
                <w:rFonts w:ascii="Times New Roman;Times;serif" w:hAnsi="Times New Roman;Times;serif"/>
                <w:b/>
                <w:color w:val="000000"/>
                <w:position w:val="5"/>
                <w:sz w:val="13"/>
                <w:sz w:val="16"/>
              </w:rPr>
              <w:t>(4)</w:t>
            </w:r>
            <w:r>
              <w:rPr>
                <w:rFonts w:ascii="Times New Roman;Times;serif" w:hAnsi="Times New Roman;Times;serif"/>
                <w:b/>
                <w:color w:val="000000"/>
                <w:sz w:val="16"/>
              </w:rPr>
              <w:t xml:space="preserve"> </w:t>
            </w:r>
          </w:p>
        </w:tc>
      </w:tr>
      <w:tr>
        <w:trPr/>
        <w:tc>
          <w:tcPr>
            <w:tcW w:w="392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2004 Equity compensation plan approved by security 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478" w:right="0" w:hanging="0"/>
              <w:jc w:val="left"/>
              <w:rPr>
                <w:rFonts w:ascii="Times New Roman;Times;serif" w:hAnsi="Times New Roman;Times;serif"/>
                <w:color w:val="000000"/>
                <w:sz w:val="20"/>
              </w:rPr>
            </w:pPr>
            <w:r>
              <w:rPr>
                <w:rFonts w:ascii="Times New Roman;Times;serif" w:hAnsi="Times New Roman;Times;serif"/>
                <w:color w:val="000000"/>
                <w:sz w:val="20"/>
              </w:rPr>
              <w:t>1,069,024</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78" w:type="dxa"/>
            <w:tcBorders/>
            <w:shd w:fill="CCEEFF" w:val="clear"/>
            <w:vAlign w:val="center"/>
          </w:tcPr>
          <w:p>
            <w:pPr>
              <w:pStyle w:val="TableContents"/>
              <w:bidi w:val="0"/>
              <w:spacing w:before="0" w:after="283"/>
              <w:ind w:left="475" w:right="0" w:hanging="0"/>
              <w:jc w:val="left"/>
              <w:rPr>
                <w:rFonts w:ascii="Times New Roman;Times;serif" w:hAnsi="Times New Roman;Times;serif"/>
                <w:color w:val="000000"/>
                <w:sz w:val="20"/>
              </w:rPr>
            </w:pPr>
            <w:r>
              <w:rPr>
                <w:rFonts w:ascii="Times New Roman;Times;serif" w:hAnsi="Times New Roman;Times;serif"/>
                <w:color w:val="000000"/>
                <w:sz w:val="20"/>
              </w:rPr>
              <w:t>$15.62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32" w:type="dxa"/>
            <w:tcBorders/>
            <w:shd w:fill="CCEEFF" w:val="clear"/>
            <w:vAlign w:val="center"/>
          </w:tcPr>
          <w:p>
            <w:pPr>
              <w:pStyle w:val="TableContents"/>
              <w:bidi w:val="0"/>
              <w:spacing w:before="0" w:after="283"/>
              <w:ind w:left="679" w:right="0" w:hanging="0"/>
              <w:jc w:val="left"/>
              <w:rPr>
                <w:color w:val="000000"/>
              </w:rPr>
            </w:pPr>
            <w:r>
              <w:rPr>
                <w:color w:val="000000"/>
              </w:rPr>
              <w:t xml:space="preserve">— </w:t>
            </w:r>
          </w:p>
        </w:tc>
      </w:tr>
      <w:tr>
        <w:trPr/>
        <w:tc>
          <w:tcPr>
            <w:tcW w:w="392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2020 Equity compensation plan approved by security 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478" w:right="0" w:hanging="0"/>
              <w:jc w:val="left"/>
              <w:rPr>
                <w:rFonts w:ascii="Times New Roman;Times;serif" w:hAnsi="Times New Roman;Times;serif"/>
                <w:color w:val="000000"/>
                <w:sz w:val="20"/>
              </w:rPr>
            </w:pPr>
            <w:r>
              <w:rPr>
                <w:rFonts w:ascii="Times New Roman;Times;serif" w:hAnsi="Times New Roman;Times;serif"/>
                <w:color w:val="000000"/>
                <w:sz w:val="20"/>
              </w:rPr>
              <w:t>4,843,386</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78" w:type="dxa"/>
            <w:tcBorders/>
            <w:vAlign w:val="center"/>
          </w:tcPr>
          <w:p>
            <w:pPr>
              <w:pStyle w:val="TableContents"/>
              <w:bidi w:val="0"/>
              <w:spacing w:before="0" w:after="283"/>
              <w:ind w:left="475" w:right="0" w:hanging="0"/>
              <w:jc w:val="left"/>
              <w:rPr>
                <w:rFonts w:ascii="Times New Roman;Times;serif" w:hAnsi="Times New Roman;Times;serif"/>
                <w:color w:val="000000"/>
                <w:sz w:val="20"/>
              </w:rPr>
            </w:pPr>
            <w:r>
              <w:rPr>
                <w:rFonts w:ascii="Times New Roman;Times;serif" w:hAnsi="Times New Roman;Times;serif"/>
                <w:color w:val="000000"/>
                <w:sz w:val="20"/>
              </w:rPr>
              <w:t>$13.26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32" w:type="dxa"/>
            <w:tcBorders/>
            <w:vAlign w:val="center"/>
          </w:tcPr>
          <w:p>
            <w:pPr>
              <w:pStyle w:val="TableContents"/>
              <w:bidi w:val="0"/>
              <w:spacing w:before="0" w:after="283"/>
              <w:ind w:left="67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2,610,868 </w:t>
            </w:r>
          </w:p>
        </w:tc>
      </w:tr>
      <w:tr>
        <w:trPr/>
        <w:tc>
          <w:tcPr>
            <w:tcW w:w="3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478" w:right="0" w:hanging="0"/>
              <w:jc w:val="left"/>
              <w:rPr>
                <w:rFonts w:ascii="Times New Roman;Times;serif" w:hAnsi="Times New Roman;Times;serif"/>
                <w:color w:val="000000"/>
                <w:sz w:val="20"/>
              </w:rPr>
            </w:pPr>
            <w:r>
              <w:rPr>
                <w:rFonts w:ascii="Times New Roman;Times;serif" w:hAnsi="Times New Roman;Times;serif"/>
                <w:color w:val="000000"/>
                <w:sz w:val="20"/>
              </w:rPr>
              <w:t>5,912,410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78" w:type="dxa"/>
            <w:tcBorders/>
            <w:shd w:fill="CCEEFF" w:val="clear"/>
            <w:vAlign w:val="center"/>
          </w:tcPr>
          <w:p>
            <w:pPr>
              <w:pStyle w:val="TableContents"/>
              <w:bidi w:val="0"/>
              <w:spacing w:before="0" w:after="283"/>
              <w:ind w:left="475" w:right="0" w:hanging="0"/>
              <w:jc w:val="left"/>
              <w:rPr>
                <w:rFonts w:ascii="Times New Roman;Times;serif" w:hAnsi="Times New Roman;Times;serif"/>
                <w:color w:val="000000"/>
                <w:sz w:val="20"/>
              </w:rPr>
            </w:pPr>
            <w:r>
              <w:rPr>
                <w:rFonts w:ascii="Times New Roman;Times;serif" w:hAnsi="Times New Roman;Times;serif"/>
                <w:color w:val="000000"/>
                <w:sz w:val="20"/>
              </w:rPr>
              <w:t>$14.26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32" w:type="dxa"/>
            <w:tcBorders/>
            <w:shd w:fill="CCEEFF" w:val="clear"/>
            <w:vAlign w:val="center"/>
          </w:tcPr>
          <w:p>
            <w:pPr>
              <w:pStyle w:val="TableContents"/>
              <w:bidi w:val="0"/>
              <w:spacing w:before="0" w:after="283"/>
              <w:ind w:left="679" w:right="0" w:hanging="0"/>
              <w:jc w:val="left"/>
              <w:rPr>
                <w:rFonts w:ascii="Times New Roman;Times;serif" w:hAnsi="Times New Roman;Times;serif"/>
                <w:color w:val="000000"/>
                <w:sz w:val="20"/>
              </w:rPr>
            </w:pPr>
            <w:r>
              <w:rPr>
                <w:rFonts w:ascii="Times New Roman;Times;serif" w:hAnsi="Times New Roman;Times;serif"/>
                <w:color w:val="000000"/>
                <w:sz w:val="20"/>
              </w:rPr>
              <w:t>2,610,868</w:t>
            </w:r>
          </w:p>
        </w:tc>
      </w:tr>
      <w:tr>
        <w:trPr/>
        <w:tc>
          <w:tcPr>
            <w:tcW w:w="39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7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032" w:type="dxa"/>
            <w:tcBorders/>
            <w:shd w:fill="CCEEFF" w:val="clear"/>
            <w:vAlign w:val="center"/>
          </w:tcPr>
          <w:p>
            <w:pPr>
              <w:pStyle w:val="TableContents"/>
              <w:bidi w:val="0"/>
              <w:spacing w:before="0" w:after="0"/>
              <w:jc w:val="left"/>
              <w:rPr/>
            </w:pPr>
            <w:r>
              <w:rPr/>
              <w:t> </w:t>
            </w:r>
          </w:p>
        </w:tc>
      </w:tr>
    </w:tbl>
    <w:tbl>
      <w:tblPr>
        <w:tblW w:w="6415" w:type="dxa"/>
        <w:jc w:val="left"/>
        <w:tblInd w:w="0" w:type="dxa"/>
        <w:tblLayout w:type="fixed"/>
        <w:tblCellMar>
          <w:top w:w="0" w:type="dxa"/>
          <w:left w:w="0" w:type="dxa"/>
          <w:bottom w:w="0" w:type="dxa"/>
          <w:right w:w="0" w:type="dxa"/>
        </w:tblCellMar>
      </w:tblPr>
      <w:tblGrid>
        <w:gridCol w:w="260"/>
        <w:gridCol w:w="615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1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1,069,024 stock options with a weighted-average exercise price of $15.62.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5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1,435,596 stock options with a weighted-average exercise price of $13.26, (ii) 1,947,894 restricted stock units and (iii) 1,459,896 performance share units.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6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Because there is no exercise price associated with restricted stock units and performance share units, such equity awards are not included in the calculation of the weighted-average exercise price shown here. </w:t>
            </w:r>
          </w:p>
        </w:tc>
      </w:tr>
    </w:tbl>
    <w:tbl>
      <w:tblPr>
        <w:tblW w:w="9565" w:type="dxa"/>
        <w:jc w:val="left"/>
        <w:tblInd w:w="0" w:type="dxa"/>
        <w:tblLayout w:type="fixed"/>
        <w:tblCellMar>
          <w:top w:w="0" w:type="dxa"/>
          <w:left w:w="0" w:type="dxa"/>
          <w:bottom w:w="0" w:type="dxa"/>
          <w:right w:w="0" w:type="dxa"/>
        </w:tblCellMar>
      </w:tblPr>
      <w:tblGrid>
        <w:gridCol w:w="260"/>
        <w:gridCol w:w="930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3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Reflects the number of securities remaining available for future issuance under the AngioDynamics, Inc. 2020 Equity Incentive Plan.</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42" w:name="ny20083274x1_def14a_110-executive_pg1"/>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3" w:name="tEC"/>
      <w:bookmarkEnd w:id="43"/>
      <w:r>
        <w:rPr>
          <w:rFonts w:ascii="Times New Roman;Times;serif" w:hAnsi="Times New Roman;Times;serif"/>
          <w:b/>
          <w:color w:val="000000"/>
          <w:sz w:val="20"/>
        </w:rPr>
        <w:t xml:space="preserve">EXECUTIVE COMPENSATION </w:t>
      </w:r>
    </w:p>
    <w:p>
      <w:pPr>
        <w:pStyle w:val="TextBody"/>
        <w:bidi w:val="0"/>
        <w:spacing w:before="390" w:after="283"/>
        <w:jc w:val="center"/>
        <w:rPr>
          <w:rFonts w:ascii="Times New Roman;Times;serif" w:hAnsi="Times New Roman;Times;serif"/>
          <w:b/>
          <w:color w:val="000000"/>
          <w:sz w:val="20"/>
        </w:rPr>
      </w:pPr>
      <w:bookmarkStart w:id="44" w:name="tCDA"/>
      <w:bookmarkEnd w:id="44"/>
      <w:r>
        <w:rPr>
          <w:rFonts w:ascii="Times New Roman;Times;serif" w:hAnsi="Times New Roman;Times;serif"/>
          <w:b/>
          <w:color w:val="000000"/>
          <w:sz w:val="20"/>
        </w:rPr>
        <w:t xml:space="preserve">Compensation Discussion and Analysis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Business and Performance Overview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fiscal year 2026, we continued to execute on our strategic transformation, including: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Focusing on technologies and innovations that compete in large, fast growing, high-margin markets to produce measurable patient outcomes; </w:t>
            </w:r>
          </w:p>
        </w:tc>
      </w:tr>
    </w:tbl>
    <w:tbl>
      <w:tblPr>
        <w:tblW w:w="7615" w:type="dxa"/>
        <w:jc w:val="left"/>
        <w:tblInd w:w="0" w:type="dxa"/>
        <w:tblLayout w:type="fixed"/>
        <w:tblCellMar>
          <w:top w:w="0" w:type="dxa"/>
          <w:left w:w="0" w:type="dxa"/>
          <w:bottom w:w="0" w:type="dxa"/>
          <w:right w:w="0" w:type="dxa"/>
        </w:tblCellMar>
      </w:tblPr>
      <w:tblGrid>
        <w:gridCol w:w="140"/>
        <w:gridCol w:w="7475"/>
      </w:tblGrid>
      <w:tr>
        <w:trPr/>
        <w:tc>
          <w:tcPr>
            <w:tcW w:w="140" w:type="dxa"/>
            <w:tcBorders/>
            <w:vAlign w:val="center"/>
          </w:tcPr>
          <w:p>
            <w:pPr>
              <w:pStyle w:val="TableContents"/>
              <w:bidi w:val="0"/>
              <w:spacing w:before="0" w:after="0"/>
              <w:jc w:val="left"/>
              <w:rPr>
                <w:color w:val="000000"/>
              </w:rPr>
            </w:pPr>
            <w:r>
              <w:rPr>
                <w:color w:val="000000"/>
              </w:rPr>
              <w:t>•</w:t>
            </w:r>
          </w:p>
        </w:tc>
        <w:tc>
          <w:tcPr>
            <w:tcW w:w="7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Leveraging research and development and clinical and regulatory pathway expansion; and </w:t>
            </w:r>
          </w:p>
        </w:tc>
      </w:tr>
    </w:tbl>
    <w:tbl>
      <w:tblPr>
        <w:tblW w:w="3085" w:type="dxa"/>
        <w:jc w:val="left"/>
        <w:tblInd w:w="0" w:type="dxa"/>
        <w:tblLayout w:type="fixed"/>
        <w:tblCellMar>
          <w:top w:w="0" w:type="dxa"/>
          <w:left w:w="0" w:type="dxa"/>
          <w:bottom w:w="0" w:type="dxa"/>
          <w:right w:w="0" w:type="dxa"/>
        </w:tblCellMar>
      </w:tblPr>
      <w:tblGrid>
        <w:gridCol w:w="140"/>
        <w:gridCol w:w="2945"/>
      </w:tblGrid>
      <w:tr>
        <w:trPr/>
        <w:tc>
          <w:tcPr>
            <w:tcW w:w="140" w:type="dxa"/>
            <w:tcBorders/>
            <w:vAlign w:val="center"/>
          </w:tcPr>
          <w:p>
            <w:pPr>
              <w:pStyle w:val="TableContents"/>
              <w:bidi w:val="0"/>
              <w:spacing w:before="0" w:after="0"/>
              <w:jc w:val="left"/>
              <w:rPr>
                <w:color w:val="000000"/>
              </w:rPr>
            </w:pPr>
            <w:r>
              <w:rPr>
                <w:color w:val="000000"/>
              </w:rPr>
              <w:t>•</w:t>
            </w:r>
          </w:p>
        </w:tc>
        <w:tc>
          <w:tcPr>
            <w:tcW w:w="2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Attracting and retaining top talent.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our strategic transformation, we have organized our portfolio into two key platforms: Med Tech and Med Device. Med Tech comprises our high growth technology platforms including: our peripheral arterial disease Auryon Atherectomy laser, our Mechanical Thrombectomy products, including our AngioVac and AlphaVac products and our solid tumor ablation NanoKnife irreversible electroporation products. Med Device comprises our angiographic catheters, our EVLT products, our port products and our other Oncology products.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Global macroeconomic conditions continued to impact our business in fiscal year 2026. The market continues to experience disruptions with respect to inflationary pressures, consumer demand, hospital operating procedures and workflow. Despite these persistent challenges, we made significant progress in our transformation into a customer-focused, technology-driven, growth-oriented company. We maintained our focus on disciplined investments in talent and technologies to drive revenue growth for our company in large, fast growing, highly profitable markets. In fiscal year 2026, we initiated and executed on strategic research &amp; development and sales &amp; marketing investments in our growth platforms, which drove growth in fiscal year 2026 and we believe positions us well for fiscal year 2027.</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Highlights include: </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Financial Highlights </w:t>
      </w:r>
    </w:p>
    <w:tbl>
      <w:tblPr>
        <w:tblW w:w="5185" w:type="dxa"/>
        <w:jc w:val="left"/>
        <w:tblInd w:w="0" w:type="dxa"/>
        <w:tblLayout w:type="fixed"/>
        <w:tblCellMar>
          <w:top w:w="0" w:type="dxa"/>
          <w:left w:w="0" w:type="dxa"/>
          <w:bottom w:w="0" w:type="dxa"/>
          <w:right w:w="0" w:type="dxa"/>
        </w:tblCellMar>
      </w:tblPr>
      <w:tblGrid>
        <w:gridCol w:w="140"/>
        <w:gridCol w:w="5045"/>
      </w:tblGrid>
      <w:tr>
        <w:trPr/>
        <w:tc>
          <w:tcPr>
            <w:tcW w:w="140" w:type="dxa"/>
            <w:tcBorders/>
            <w:vAlign w:val="center"/>
          </w:tcPr>
          <w:p>
            <w:pPr>
              <w:pStyle w:val="TableContents"/>
              <w:bidi w:val="0"/>
              <w:spacing w:before="0" w:after="0"/>
              <w:jc w:val="left"/>
              <w:rPr>
                <w:color w:val="000000"/>
              </w:rPr>
            </w:pPr>
            <w:r>
              <w:rPr>
                <w:color w:val="000000"/>
              </w:rPr>
              <w:t>•</w:t>
            </w:r>
          </w:p>
        </w:tc>
        <w:tc>
          <w:tcPr>
            <w:tcW w:w="5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GAAP reported revenue increased by 9.5% to $320.2 million </w:t>
            </w:r>
          </w:p>
        </w:tc>
      </w:tr>
    </w:tbl>
    <w:tbl>
      <w:tblPr>
        <w:tblW w:w="5755" w:type="dxa"/>
        <w:jc w:val="left"/>
        <w:tblInd w:w="0" w:type="dxa"/>
        <w:tblLayout w:type="fixed"/>
        <w:tblCellMar>
          <w:top w:w="0" w:type="dxa"/>
          <w:left w:w="0" w:type="dxa"/>
          <w:bottom w:w="0" w:type="dxa"/>
          <w:right w:w="0" w:type="dxa"/>
        </w:tblCellMar>
      </w:tblPr>
      <w:tblGrid>
        <w:gridCol w:w="140"/>
        <w:gridCol w:w="5615"/>
      </w:tblGrid>
      <w:tr>
        <w:trPr/>
        <w:tc>
          <w:tcPr>
            <w:tcW w:w="140" w:type="dxa"/>
            <w:tcBorders/>
            <w:vAlign w:val="center"/>
          </w:tcPr>
          <w:p>
            <w:pPr>
              <w:pStyle w:val="TableContents"/>
              <w:bidi w:val="0"/>
              <w:spacing w:before="0" w:after="0"/>
              <w:jc w:val="left"/>
              <w:rPr>
                <w:color w:val="000000"/>
              </w:rPr>
            </w:pPr>
            <w:r>
              <w:rPr>
                <w:color w:val="000000"/>
              </w:rPr>
              <w:t>•</w:t>
            </w:r>
          </w:p>
        </w:tc>
        <w:tc>
          <w:tcPr>
            <w:tcW w:w="5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Med Tech and Med Device growth of 18.4% and 2.6%, respectively </w:t>
            </w:r>
          </w:p>
        </w:tc>
      </w:tr>
    </w:tbl>
    <w:tbl>
      <w:tblPr>
        <w:tblW w:w="3820" w:type="dxa"/>
        <w:jc w:val="left"/>
        <w:tblInd w:w="0" w:type="dxa"/>
        <w:tblLayout w:type="fixed"/>
        <w:tblCellMar>
          <w:top w:w="0" w:type="dxa"/>
          <w:left w:w="0" w:type="dxa"/>
          <w:bottom w:w="0" w:type="dxa"/>
          <w:right w:w="0" w:type="dxa"/>
        </w:tblCellMar>
      </w:tblPr>
      <w:tblGrid>
        <w:gridCol w:w="140"/>
        <w:gridCol w:w="3680"/>
      </w:tblGrid>
      <w:tr>
        <w:trPr/>
        <w:tc>
          <w:tcPr>
            <w:tcW w:w="140" w:type="dxa"/>
            <w:tcBorders/>
            <w:vAlign w:val="center"/>
          </w:tcPr>
          <w:p>
            <w:pPr>
              <w:pStyle w:val="TableContents"/>
              <w:bidi w:val="0"/>
              <w:spacing w:before="0" w:after="0"/>
              <w:jc w:val="left"/>
              <w:rPr>
                <w:color w:val="000000"/>
              </w:rPr>
            </w:pPr>
            <w:r>
              <w:rPr>
                <w:color w:val="000000"/>
              </w:rPr>
              <w:t>•</w:t>
            </w:r>
          </w:p>
        </w:tc>
        <w:tc>
          <w:tcPr>
            <w:tcW w:w="3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Gross margin increased by 70 bps to 54.6%; </w:t>
            </w:r>
          </w:p>
        </w:tc>
      </w:tr>
    </w:tbl>
    <w:tbl>
      <w:tblPr>
        <w:tblW w:w="4795" w:type="dxa"/>
        <w:jc w:val="left"/>
        <w:tblInd w:w="0" w:type="dxa"/>
        <w:tblLayout w:type="fixed"/>
        <w:tblCellMar>
          <w:top w:w="0" w:type="dxa"/>
          <w:left w:w="0" w:type="dxa"/>
          <w:bottom w:w="0" w:type="dxa"/>
          <w:right w:w="0" w:type="dxa"/>
        </w:tblCellMar>
      </w:tblPr>
      <w:tblGrid>
        <w:gridCol w:w="140"/>
        <w:gridCol w:w="4655"/>
      </w:tblGrid>
      <w:tr>
        <w:trPr/>
        <w:tc>
          <w:tcPr>
            <w:tcW w:w="14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Net loss increased by $2.7 million to $36.7 million; and </w:t>
            </w:r>
          </w:p>
        </w:tc>
      </w:tr>
    </w:tbl>
    <w:tbl>
      <w:tblPr>
        <w:tblW w:w="4450" w:type="dxa"/>
        <w:jc w:val="left"/>
        <w:tblInd w:w="0" w:type="dxa"/>
        <w:tblLayout w:type="fixed"/>
        <w:tblCellMar>
          <w:top w:w="0" w:type="dxa"/>
          <w:left w:w="0" w:type="dxa"/>
          <w:bottom w:w="0" w:type="dxa"/>
          <w:right w:w="0" w:type="dxa"/>
        </w:tblCellMar>
      </w:tblPr>
      <w:tblGrid>
        <w:gridCol w:w="140"/>
        <w:gridCol w:w="4310"/>
      </w:tblGrid>
      <w:tr>
        <w:trPr/>
        <w:tc>
          <w:tcPr>
            <w:tcW w:w="140" w:type="dxa"/>
            <w:tcBorders/>
            <w:vAlign w:val="center"/>
          </w:tcPr>
          <w:p>
            <w:pPr>
              <w:pStyle w:val="TableContents"/>
              <w:bidi w:val="0"/>
              <w:spacing w:before="0" w:after="0"/>
              <w:jc w:val="left"/>
              <w:rPr>
                <w:color w:val="000000"/>
              </w:rPr>
            </w:pPr>
            <w:r>
              <w:rPr>
                <w:color w:val="000000"/>
              </w:rPr>
              <w:t>•</w:t>
            </w:r>
          </w:p>
        </w:tc>
        <w:tc>
          <w:tcPr>
            <w:tcW w:w="4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Loss per share increased by $0.05 to a loss of $0.88. </w:t>
            </w:r>
          </w:p>
        </w:tc>
      </w:tr>
    </w:tbl>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Highlights </w:t>
      </w:r>
    </w:p>
    <w:tbl>
      <w:tblPr>
        <w:tblW w:w="6835" w:type="dxa"/>
        <w:jc w:val="left"/>
        <w:tblInd w:w="0" w:type="dxa"/>
        <w:tblLayout w:type="fixed"/>
        <w:tblCellMar>
          <w:top w:w="0" w:type="dxa"/>
          <w:left w:w="0" w:type="dxa"/>
          <w:bottom w:w="0" w:type="dxa"/>
          <w:right w:w="0" w:type="dxa"/>
        </w:tblCellMar>
      </w:tblPr>
      <w:tblGrid>
        <w:gridCol w:w="140"/>
        <w:gridCol w:w="6695"/>
      </w:tblGrid>
      <w:tr>
        <w:trPr/>
        <w:tc>
          <w:tcPr>
            <w:tcW w:w="14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Enrolled the first patients in both the AMBITION BTK and RECOVER-AV trials; </w:t>
            </w:r>
          </w:p>
        </w:tc>
      </w:tr>
    </w:tbl>
    <w:tbl>
      <w:tblPr>
        <w:tblW w:w="6775" w:type="dxa"/>
        <w:jc w:val="left"/>
        <w:tblInd w:w="0" w:type="dxa"/>
        <w:tblLayout w:type="fixed"/>
        <w:tblCellMar>
          <w:top w:w="0" w:type="dxa"/>
          <w:left w:w="0" w:type="dxa"/>
          <w:bottom w:w="0" w:type="dxa"/>
          <w:right w:w="0" w:type="dxa"/>
        </w:tblCellMar>
      </w:tblPr>
      <w:tblGrid>
        <w:gridCol w:w="140"/>
        <w:gridCol w:w="6635"/>
      </w:tblGrid>
      <w:tr>
        <w:trPr/>
        <w:tc>
          <w:tcPr>
            <w:tcW w:w="140" w:type="dxa"/>
            <w:tcBorders/>
            <w:vAlign w:val="center"/>
          </w:tcPr>
          <w:p>
            <w:pPr>
              <w:pStyle w:val="TableContents"/>
              <w:bidi w:val="0"/>
              <w:spacing w:before="0" w:after="0"/>
              <w:jc w:val="left"/>
              <w:rPr>
                <w:color w:val="000000"/>
              </w:rPr>
            </w:pPr>
            <w:r>
              <w:rPr>
                <w:color w:val="000000"/>
              </w:rPr>
              <w:t>•</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Published the NanoKnife PRESERVE study in the journal of European Urology;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Received FDA IDE approval for APEX-Return study evaluating AlphaReturn Blood Management System when used with AlphaVac F1885 System;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Received FDA IDE approval for PAVE clinical study evaluating AngioVac System for treatment of right-sided infective endocarditis; </w:t>
            </w:r>
          </w:p>
        </w:tc>
      </w:tr>
    </w:tbl>
    <w:tbl>
      <w:tblPr>
        <w:tblW w:w="8725" w:type="dxa"/>
        <w:jc w:val="left"/>
        <w:tblInd w:w="0" w:type="dxa"/>
        <w:tblLayout w:type="fixed"/>
        <w:tblCellMar>
          <w:top w:w="0" w:type="dxa"/>
          <w:left w:w="0" w:type="dxa"/>
          <w:bottom w:w="0" w:type="dxa"/>
          <w:right w:w="0" w:type="dxa"/>
        </w:tblCellMar>
      </w:tblPr>
      <w:tblGrid>
        <w:gridCol w:w="140"/>
        <w:gridCol w:w="8585"/>
      </w:tblGrid>
      <w:tr>
        <w:trPr/>
        <w:tc>
          <w:tcPr>
            <w:tcW w:w="140" w:type="dxa"/>
            <w:tcBorders/>
            <w:vAlign w:val="center"/>
          </w:tcPr>
          <w:p>
            <w:pPr>
              <w:pStyle w:val="TableContents"/>
              <w:bidi w:val="0"/>
              <w:spacing w:before="0" w:after="0"/>
              <w:jc w:val="left"/>
              <w:rPr>
                <w:color w:val="000000"/>
              </w:rPr>
            </w:pPr>
            <w:r>
              <w:rPr>
                <w:color w:val="000000"/>
              </w:rPr>
              <w:t>•</w:t>
            </w:r>
          </w:p>
        </w:tc>
        <w:tc>
          <w:tcPr>
            <w:tcW w:w="8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Received FDA 510(k) clearance for modified AlphaVac F1885 System with expanded indication for use;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Presented the two-year follow up data from its PRESERVE pivotal trial at AUA 2026 demonstrating NanoKnife’s durable prostate cancer outcomes;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Finalized a local coverage determination with Palmetto covering NanoKnife IRE for qualifying Medicare patients in prostate and liver cancer, effective July 5, 2026;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Received FDA IDE approval for the RELIEF BPH study evaluating NanoKnife IRE for the treatment of benign prostatic hyperplasia; </w:t>
            </w:r>
          </w:p>
        </w:tc>
      </w:tr>
    </w:tbl>
    <w:tbl>
      <w:tblPr>
        <w:tblW w:w="4420" w:type="dxa"/>
        <w:jc w:val="left"/>
        <w:tblInd w:w="0" w:type="dxa"/>
        <w:tblLayout w:type="fixed"/>
        <w:tblCellMar>
          <w:top w:w="0" w:type="dxa"/>
          <w:left w:w="0" w:type="dxa"/>
          <w:bottom w:w="0" w:type="dxa"/>
          <w:right w:w="0" w:type="dxa"/>
        </w:tblCellMar>
      </w:tblPr>
      <w:tblGrid>
        <w:gridCol w:w="140"/>
        <w:gridCol w:w="4280"/>
      </w:tblGrid>
      <w:tr>
        <w:trPr/>
        <w:tc>
          <w:tcPr>
            <w:tcW w:w="140" w:type="dxa"/>
            <w:tcBorders/>
            <w:vAlign w:val="center"/>
          </w:tcPr>
          <w:p>
            <w:pPr>
              <w:pStyle w:val="TableContents"/>
              <w:bidi w:val="0"/>
              <w:spacing w:before="0" w:after="0"/>
              <w:jc w:val="left"/>
              <w:rPr>
                <w:color w:val="000000"/>
              </w:rPr>
            </w:pPr>
            <w:r>
              <w:rPr>
                <w:color w:val="000000"/>
              </w:rPr>
              <w:t>•</w:t>
            </w:r>
          </w:p>
        </w:tc>
        <w:tc>
          <w:tcPr>
            <w:tcW w:w="4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Continued focus on training of the sales teams; and </w:t>
            </w:r>
          </w:p>
        </w:tc>
      </w:tr>
    </w:tbl>
    <w:tbl>
      <w:tblPr>
        <w:tblW w:w="9430" w:type="dxa"/>
        <w:jc w:val="left"/>
        <w:tblInd w:w="0" w:type="dxa"/>
        <w:tblLayout w:type="fixed"/>
        <w:tblCellMar>
          <w:top w:w="0" w:type="dxa"/>
          <w:left w:w="0" w:type="dxa"/>
          <w:bottom w:w="0" w:type="dxa"/>
          <w:right w:w="0" w:type="dxa"/>
        </w:tblCellMar>
      </w:tblPr>
      <w:tblGrid>
        <w:gridCol w:w="140"/>
        <w:gridCol w:w="9290"/>
      </w:tblGrid>
      <w:tr>
        <w:trPr/>
        <w:tc>
          <w:tcPr>
            <w:tcW w:w="140" w:type="dxa"/>
            <w:tcBorders/>
            <w:vAlign w:val="center"/>
          </w:tcPr>
          <w:p>
            <w:pPr>
              <w:pStyle w:val="TableContents"/>
              <w:bidi w:val="0"/>
              <w:spacing w:before="0" w:after="0"/>
              <w:jc w:val="left"/>
              <w:rPr>
                <w:color w:val="000000"/>
              </w:rPr>
            </w:pPr>
            <w:r>
              <w:rPr>
                <w:color w:val="000000"/>
              </w:rPr>
              <w:t>•</w:t>
            </w:r>
          </w:p>
        </w:tc>
        <w:tc>
          <w:tcPr>
            <w:tcW w:w="9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Conducted targeted physician trainings and symposiums both in the U.S. and internationally throughout the year.</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45" w:name="ny20083274x1_def14a_110-executive_pg2"/>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Key Compensation Program Features and Governance Practices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set forth below certain key features of our executive compensation program applicable to our named executive officers and key compensation governance practices that strengthen the alignment of our named executive officers’ interests with those of our shareholders: </w:t>
      </w:r>
    </w:p>
    <w:tbl>
      <w:tblPr>
        <w:tblW w:w="10205" w:type="dxa"/>
        <w:jc w:val="left"/>
        <w:tblInd w:w="0" w:type="dxa"/>
        <w:tblLayout w:type="fixed"/>
        <w:tblCellMar>
          <w:top w:w="0" w:type="dxa"/>
          <w:left w:w="0" w:type="dxa"/>
          <w:bottom w:w="0" w:type="dxa"/>
          <w:right w:w="0" w:type="dxa"/>
        </w:tblCellMar>
      </w:tblPr>
      <w:tblGrid>
        <w:gridCol w:w="185"/>
        <w:gridCol w:w="170"/>
        <w:gridCol w:w="170"/>
        <w:gridCol w:w="4947"/>
        <w:gridCol w:w="170"/>
        <w:gridCol w:w="170"/>
        <w:gridCol w:w="170"/>
        <w:gridCol w:w="170"/>
        <w:gridCol w:w="170"/>
        <w:gridCol w:w="3883"/>
      </w:tblGrid>
      <w:tr>
        <w:trPr/>
        <w:tc>
          <w:tcPr>
            <w:tcW w:w="5472"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93" w:type="dxa"/>
            <w:gridSpan w:val="4"/>
            <w:tcBorders/>
            <w:vAlign w:val="center"/>
          </w:tcPr>
          <w:p>
            <w:pPr>
              <w:pStyle w:val="TableContents"/>
              <w:bidi w:val="0"/>
              <w:spacing w:before="0" w:after="0"/>
              <w:jc w:val="left"/>
              <w:rPr/>
            </w:pPr>
            <w:r>
              <w:rPr/>
              <w:t> </w:t>
            </w:r>
          </w:p>
        </w:tc>
      </w:tr>
      <w:tr>
        <w:trPr/>
        <w:tc>
          <w:tcPr>
            <w:tcW w:w="5472"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Key Compensation Program Features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9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Key Compensation Governance Practices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fiscal year 2026, 64% of our CEO’s target total compensation was performance-based (including performance shares, options and short-term incentive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Robust stock ownership guidelines to align executives with our shareholders regarding our long-term performance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Mix of fixed and variable compensation, with a strong emphasis on variable, at-risk performance-based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Clawback policy that allows the Company to recoup incentive-based compensation paid to executive officers under certain circumstances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 and long-term compensation opportunities with performance metrics tied to our strategy and performance (including relative total shareholder return)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option repricing or cash buyout of underwater options without shareholder approval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 of target long-term incentive opportunity is performance-contingent and measured over a three-year period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Engagement of an independent compensation consultant with no other ties to the Company or management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awards with four-year vesting to promote retention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Change in control agreements with double trigger severance arrangements </w:t>
            </w:r>
          </w:p>
        </w:tc>
      </w:tr>
      <w:tr>
        <w:trPr/>
        <w:tc>
          <w:tcPr>
            <w:tcW w:w="1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Double trigger change in control provision in the 2020 Long Term Incentive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Active engagement with investors</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83" w:type="dxa"/>
            <w:tcBorders/>
            <w:vAlign w:val="center"/>
          </w:tcPr>
          <w:p>
            <w:pPr>
              <w:pStyle w:val="TableContents"/>
              <w:bidi w:val="0"/>
              <w:spacing w:before="0" w:after="0"/>
              <w:jc w:val="left"/>
              <w:rPr/>
            </w:pPr>
            <w:r>
              <w:rPr/>
              <w:t> </w:t>
            </w:r>
          </w:p>
        </w:tc>
      </w:tr>
    </w:tbl>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2025 Shareholder Advisory Vote on Executive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At our 2025 annual meeting, our shareholders approved, on an advisory basis, the compensation paid to our named executive officers, as disclosed under the compensation disclosure rules of the SEC, including the compensation discussion and analysis, the compensation tables and any related materials disclosed in the proxy statement for the 2025 annual meeting. The shareholder vote in favor of our named executive officer compensation totaled approximately 93.1 percent of all votes cast, including abstentions. The Compensation and Human Capital Committee considered the results of the 2025 vote and views the outcome as evidence of strong shareholder support of our executive compensation decisions and policies. Accordingly, the Compensation and Human Capital Committee did not change its general approach to executive compensation in fiscal year 2026.</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Philosophy and Objectives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AngioDynamics operates in an extremely competitive industry. Our compensation philosophy is designed to: </w:t>
      </w:r>
    </w:p>
    <w:tbl>
      <w:tblPr>
        <w:tblW w:w="9085" w:type="dxa"/>
        <w:jc w:val="left"/>
        <w:tblInd w:w="0" w:type="dxa"/>
        <w:tblLayout w:type="fixed"/>
        <w:tblCellMar>
          <w:top w:w="0" w:type="dxa"/>
          <w:left w:w="0" w:type="dxa"/>
          <w:bottom w:w="0" w:type="dxa"/>
          <w:right w:w="0" w:type="dxa"/>
        </w:tblCellMar>
      </w:tblPr>
      <w:tblGrid>
        <w:gridCol w:w="140"/>
        <w:gridCol w:w="8945"/>
      </w:tblGrid>
      <w:tr>
        <w:trPr/>
        <w:tc>
          <w:tcPr>
            <w:tcW w:w="140" w:type="dxa"/>
            <w:tcBorders/>
            <w:vAlign w:val="center"/>
          </w:tcPr>
          <w:p>
            <w:pPr>
              <w:pStyle w:val="TableContents"/>
              <w:bidi w:val="0"/>
              <w:spacing w:before="0" w:after="0"/>
              <w:jc w:val="left"/>
              <w:rPr>
                <w:color w:val="000000"/>
              </w:rPr>
            </w:pPr>
            <w:r>
              <w:rPr>
                <w:color w:val="000000"/>
              </w:rPr>
              <w:t>•</w:t>
            </w:r>
          </w:p>
        </w:tc>
        <w:tc>
          <w:tcPr>
            <w:tcW w:w="8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align our executive officers’ compensation with our business objectives and the interests of our shareholders;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enable us to attract, motivate, engage and retain successful, qualified senior executive leadership talent necessary to achieve our long-term goals; and </w:t>
            </w:r>
          </w:p>
        </w:tc>
      </w:tr>
    </w:tbl>
    <w:tbl>
      <w:tblPr>
        <w:tblW w:w="7795" w:type="dxa"/>
        <w:jc w:val="left"/>
        <w:tblInd w:w="0" w:type="dxa"/>
        <w:tblLayout w:type="fixed"/>
        <w:tblCellMar>
          <w:top w:w="0" w:type="dxa"/>
          <w:left w:w="0" w:type="dxa"/>
          <w:bottom w:w="0" w:type="dxa"/>
          <w:right w:w="0" w:type="dxa"/>
        </w:tblCellMar>
      </w:tblPr>
      <w:tblGrid>
        <w:gridCol w:w="140"/>
        <w:gridCol w:w="7655"/>
      </w:tblGrid>
      <w:tr>
        <w:trPr/>
        <w:tc>
          <w:tcPr>
            <w:tcW w:w="140" w:type="dxa"/>
            <w:tcBorders/>
            <w:vAlign w:val="center"/>
          </w:tcPr>
          <w:p>
            <w:pPr>
              <w:pStyle w:val="TableContents"/>
              <w:bidi w:val="0"/>
              <w:spacing w:before="0" w:after="0"/>
              <w:jc w:val="left"/>
              <w:rPr>
                <w:color w:val="000000"/>
              </w:rPr>
            </w:pPr>
            <w:r>
              <w:rPr>
                <w:color w:val="000000"/>
              </w:rPr>
              <w:t>•</w:t>
            </w:r>
          </w:p>
        </w:tc>
        <w:tc>
          <w:tcPr>
            <w:tcW w:w="7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reward performance, company growth and advancement of our long-term strategic initiatives.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AngioDynamics generally sets executive compensation targets for cash and equity-based compensation within a competitive range of the 50th percentile of companies in a pre-determined comparable group through a combination of fixed and variable compensation. Our compensation program supports our “pay for performance” philosophy by targeting compensation within a competitive range of the 50th percentile with the opportunity to earn higher percentile actual pay when warranted by performance. Conversely, if performance falls below objectives, the programs are structured such that actual realized pay would vary accordingly.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AngioDynamics views these ranges of compensation targets as a guideline in setting and adjusting our compensation programs. While the Compensation and Human Capital Committee attempts to base compensation decisions on the most recent market data available, it also recognizes the importance of flexibility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46" w:name="ny20083274x1_def14a_110-executive_pg3"/>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customization, and may go above or below the targeted ranges for any individual or for any specific element of compensation based on considerations such as individual performance, experience, history and scope of position, current market conditions and the specific needs of the business at critical points in time.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Within this overall philosophy, the Compensation and Human Capital Committee’s objectives are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offer a total compensation package that takes into consideration the compensation practices of similarly situated companies with which we compete for exceptional senior level talent;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annual cash incentive awards relative to attaining certain pre-determined financial metrics, along with completion of individual objectives;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align financial incentives with shareholders’ interests through significant equity-based long-term incentives to senior management;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reward overachievement of goals with programs designed to have upside opportunity for participants, but also providing downsides if performance falls short.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Named Executive Officers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AngioDynamics’ named executive officers (or “NEOs”) for fiscal year 2026 are as follows: </w:t>
      </w:r>
    </w:p>
    <w:tbl>
      <w:tblPr>
        <w:tblW w:w="8705" w:type="dxa"/>
        <w:jc w:val="left"/>
        <w:tblInd w:w="0" w:type="dxa"/>
        <w:tblLayout w:type="fixed"/>
        <w:tblCellMar>
          <w:top w:w="0" w:type="dxa"/>
          <w:left w:w="0" w:type="dxa"/>
          <w:bottom w:w="0" w:type="dxa"/>
          <w:right w:w="0" w:type="dxa"/>
        </w:tblCellMar>
      </w:tblPr>
      <w:tblGrid>
        <w:gridCol w:w="1940"/>
        <w:gridCol w:w="170"/>
        <w:gridCol w:w="170"/>
        <w:gridCol w:w="6425"/>
      </w:tblGrid>
      <w:tr>
        <w:trPr/>
        <w:tc>
          <w:tcPr>
            <w:tcW w:w="1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25" w:type="dxa"/>
            <w:tcBorders/>
            <w:vAlign w:val="center"/>
          </w:tcPr>
          <w:p>
            <w:pPr>
              <w:pStyle w:val="TableContents"/>
              <w:bidi w:val="0"/>
              <w:spacing w:before="0" w:after="0"/>
              <w:jc w:val="left"/>
              <w:rPr/>
            </w:pPr>
            <w:r>
              <w:rPr/>
              <w:t> </w:t>
            </w:r>
          </w:p>
        </w:tc>
      </w:tr>
      <w:tr>
        <w:trPr/>
        <w:tc>
          <w:tcPr>
            <w:tcW w:w="19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Title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 Clemmer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A. Trowbridge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and Chief Financial Officer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Lawrence T. Weiss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Chief Legal Officer &amp; Corporate Secretary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Laura Piccinini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and General Manager, Cardiovascular and International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Warren G. Nighan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Global Supply Chain, Quality and Regulatory Affairs</w:t>
            </w:r>
          </w:p>
        </w:tc>
      </w:tr>
      <w:tr>
        <w:trPr/>
        <w:tc>
          <w:tcPr>
            <w:tcW w:w="19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42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Compensation Discussion and Analysis and the tables that follow describe compensation decisions regarding our NEOs.</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Mix of Executive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charts depict the mix of components of target compensation for our CEO and our other named executive officers established by our Compensation and Human Capital Committee for our fiscal year ended May 31, 2026. As demonstrated by the charts, a majority of each of our executive’s target compensation is performance-based and at risk. Each of the components is described in more detail below. </w:t>
      </w:r>
    </w:p>
    <w:p>
      <w:pPr>
        <w:pStyle w:val="TextBody"/>
        <w:bidi w:val="0"/>
        <w:spacing w:before="305" w:after="283"/>
        <w:jc w:val="center"/>
        <w:rPr>
          <w:color w:val="000000"/>
        </w:rPr>
      </w:pPr>
      <w:r>
        <w:rPr>
          <w:color w:val="000000"/>
        </w:rPr>
        <w:drawing>
          <wp:inline distT="0" distB="0" distL="0" distR="0">
            <wp:extent cx="5791200" cy="1038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91200" cy="10382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05" w:after="283"/>
        <w:jc w:val="center"/>
        <w:rPr>
          <w:color w:val="000000"/>
        </w:rPr>
      </w:pPr>
      <w:r>
        <w:rPr>
          <w:color w:val="000000"/>
        </w:rPr>
        <w:drawing>
          <wp:inline distT="0" distB="0" distL="0" distR="0">
            <wp:extent cx="3762375" cy="1209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762375" cy="12096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47" w:name="ny20083274x1_def14a_110-executive_pg4"/>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Compensation and Human Capital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and Human Capital Committee is responsible for: (i) assisting the Board in developing and evaluating potential candidates for executive positions; (ii) reviewing and recommending to the Board the corporate goals and objectives with respect to our CEO’s compensation on an annual basis; (iii) reviewing our CEO’s performance annually in light of the Committee’s established goals and objectives and recommending to the full Board (exclusive of the CEO) the compensation payable to the CEO; (iv) reviewing and approving the evaluation process, compensation structure and payouts for our other named executive officers annually and overseeing the CEO’s decisions concerning the performance and compensation of our other named executive officers; and (v) reviewing and ensuring our incentive compensation and other stock-based plans are administered consistent with the terms of such plans and recommending changes in such plans to the Board, as needed. The authority and responsibilities of the Compensation and Human Capital Committee are set forth in detail in its charter, which is available on our website located at www.angiodynamics.com under the “Investors-Corporate Governance-Highlights-Committee Charters-Compensation and Human Capital Committee” caption. The information on our website is not a part of this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determined that all of the directors who were members of the Compensation and Human Capital Committee during our fiscal year ended May 31, 2026, Ms. Auen, Ms. Burgess, Ms. Licitra, and Mr. Tarnoff, are independent under the Nasdaq listing standards. Although the Compensation and Human Capital Committee comprises solely independent directors, it does consider the recommendations, if any, provided by our CEO in determining the appropriate levels of compensation for our named executive officers, other than the CEO.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Independent Compensation Consultant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Committee has the authority, in its sole discretion, to retain compensation consultants. In establishing executive compensation for fiscal year 2026, the Committee retained Meridian Compensation Partners, LLC (“Meridian”) as its compensation consultant based on its expertise and past service to the Committee. Meridian provided research, data analyses, benchmarking information and design expertise in developing compensation programs for executives and incentive programs for eligible employees. Meridian kept the Compensation and Human Capital Committee apprised of regulatory developments and market trends related to executive compensation practices. Meridian does not determine or recommend the exact amount or form of executive compensation for any of our executive officers or directors. Representatives of Meridian attended meetings of the Compensation and Human Capital Committee, as requested. The Committee assessed the independence of Meridian and concluded that no conflict of interest exists with respect to its services to the Compensation and Human Capital Committee. Among other things in fiscal year 2026, Meridian: </w:t>
      </w:r>
    </w:p>
    <w:tbl>
      <w:tblPr>
        <w:tblW w:w="6535" w:type="dxa"/>
        <w:jc w:val="left"/>
        <w:tblInd w:w="0" w:type="dxa"/>
        <w:tblLayout w:type="fixed"/>
        <w:tblCellMar>
          <w:top w:w="0" w:type="dxa"/>
          <w:left w:w="0" w:type="dxa"/>
          <w:bottom w:w="0" w:type="dxa"/>
          <w:right w:w="0" w:type="dxa"/>
        </w:tblCellMar>
      </w:tblPr>
      <w:tblGrid>
        <w:gridCol w:w="140"/>
        <w:gridCol w:w="6395"/>
      </w:tblGrid>
      <w:tr>
        <w:trPr/>
        <w:tc>
          <w:tcPr>
            <w:tcW w:w="140" w:type="dxa"/>
            <w:tcBorders/>
            <w:vAlign w:val="center"/>
          </w:tcPr>
          <w:p>
            <w:pPr>
              <w:pStyle w:val="TableContents"/>
              <w:bidi w:val="0"/>
              <w:spacing w:before="0" w:after="0"/>
              <w:jc w:val="left"/>
              <w:rPr>
                <w:color w:val="000000"/>
              </w:rPr>
            </w:pPr>
            <w:r>
              <w:rPr>
                <w:color w:val="000000"/>
              </w:rPr>
              <w:t>•</w:t>
            </w:r>
          </w:p>
        </w:tc>
        <w:tc>
          <w:tcPr>
            <w:tcW w:w="6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analyzed our historical and current compensation practices and philosophies;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performed a proxy pay level benchmarking review using peer group data and other industry specific surveys to analyze base salary, annual cash incentives, total cash compensation, long-term incentives, and total direct compensation paid to executives and summarized its findings in the form of a competitive pay analysis to inform fiscal year 2026 target compensation;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presented recommendations for comprehensive executive plan strategy and pay structure for fiscal year 2026, including base salary levels, design of the annual bonus program, design of long-term incentive programs and amount and allocation of short-term and long-term incentive compensation components.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48" w:name="ny20083274x1_def14a_110-executive_pg5"/>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Peer Group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fiscal year 2026 compensation decisions, Meridian reassessed the list of peer companies to be used in compensation benchmarking analysis, focusing on publicly-traded medical device companies with revenues of approximately 1/3x to 3x our current revenue at the time of selection. The result of the analysis was the following peer group of 16 companies with our revenue positioned at approximately the median of the group at the time of selection.</w:t>
      </w:r>
    </w:p>
    <w:tbl>
      <w:tblPr>
        <w:tblW w:w="9305" w:type="dxa"/>
        <w:jc w:val="left"/>
        <w:tblInd w:w="0" w:type="dxa"/>
        <w:tblLayout w:type="fixed"/>
        <w:tblCellMar>
          <w:top w:w="0" w:type="dxa"/>
          <w:left w:w="0" w:type="dxa"/>
          <w:bottom w:w="0" w:type="dxa"/>
          <w:right w:w="0" w:type="dxa"/>
        </w:tblCellMar>
      </w:tblPr>
      <w:tblGrid>
        <w:gridCol w:w="1985"/>
        <w:gridCol w:w="170"/>
        <w:gridCol w:w="170"/>
        <w:gridCol w:w="1760"/>
        <w:gridCol w:w="170"/>
        <w:gridCol w:w="170"/>
        <w:gridCol w:w="1940"/>
        <w:gridCol w:w="170"/>
        <w:gridCol w:w="170"/>
        <w:gridCol w:w="2600"/>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Accuray Incorporated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AxoGen,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LeMaitre Vascular,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STAAR Surgical Company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Alphatec Holdings,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Cutera,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Orthofix Medical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SI-Bone, Inc.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Artivion,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Glaukos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Orthopediatrics Corp.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Treace Medical Concepts, Inc.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AtriCure,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Inari Medical,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Nevro Corp.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Zynex, Inc.</w:t>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00"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Components of Executive Compensation for Fiscal Year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three components of the compensation program for named executive officers are base salary, annual cash incentive compensation and long-term equity-based incentive awards in the form of performance share awards, stock options and restricted stock unit awards. The Compensation and Human Capital Committee administers these components with the goal of providing total compensation that is competitive in the marketplace, while recognizing meaningful differences in individual performance and offering the opportunity to earn superior rewards when merited by individual performance.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Base Salaries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base salary for each named executive officer is determined at levels considered appropriate for comparable positions at similarly situated companies, while generally targeting the 50th percentile for total cash compensation of executives at such similarly situated companies. Adjustments to each individual’s base salary are made based on annual performance reviews with consideration given to the executive’s performance as well as his/her salary compared with the range of those listed in the aforementioned survey and our executives generally. Among the criteria used in the annual performance reviews are the work and supervisory performance of the executive, demonstrated management and leadership skills, performance to specific established personal goals, and the strengths and weaknesses that the executive demonstrates on the job.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 salary increases for the named executive officers occurred in fiscal year 2026, that were effective September 1, 2025 as summarized in the below table: </w:t>
      </w:r>
    </w:p>
    <w:tbl>
      <w:tblPr>
        <w:tblW w:w="5750" w:type="dxa"/>
        <w:jc w:val="left"/>
        <w:tblInd w:w="0" w:type="dxa"/>
        <w:tblLayout w:type="fixed"/>
        <w:tblCellMar>
          <w:top w:w="0" w:type="dxa"/>
          <w:left w:w="0" w:type="dxa"/>
          <w:bottom w:w="0" w:type="dxa"/>
          <w:right w:w="0" w:type="dxa"/>
        </w:tblCellMar>
      </w:tblPr>
      <w:tblGrid>
        <w:gridCol w:w="1940"/>
        <w:gridCol w:w="170"/>
        <w:gridCol w:w="170"/>
        <w:gridCol w:w="920"/>
        <w:gridCol w:w="170"/>
        <w:gridCol w:w="170"/>
        <w:gridCol w:w="920"/>
        <w:gridCol w:w="170"/>
        <w:gridCol w:w="170"/>
        <w:gridCol w:w="950"/>
      </w:tblGrid>
      <w:tr>
        <w:trPr/>
        <w:tc>
          <w:tcPr>
            <w:tcW w:w="1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19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2026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Increase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 Clemmer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$810,400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$834,717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A. Trowbridge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$461,194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$475,030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Lawrence T. Weiss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$430,000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$442,900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Laura Piccinini</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$413,064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$463,353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Warren G. Nighan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$404,481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$420,660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4.0%</w:t>
            </w:r>
          </w:p>
        </w:tc>
      </w:tr>
      <w:tr>
        <w:trPr/>
        <w:tc>
          <w:tcPr>
            <w:tcW w:w="19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Piccinini is paid in Euros, which was converted to U.S. Dollars using a period average exchange rate for fiscal years 2026 and 2025 of 1.17 Euro per Dollar and 1.08 Euro per Dollar, respectively. Based upon the spot rate on the date that Ms. Piccinini’s base salary was set for fiscal year 2026, she received a 4% base salary increase. </w:t>
            </w:r>
          </w:p>
        </w:tc>
      </w:tr>
    </w:tbl>
    <w:p>
      <w:pPr>
        <w:pStyle w:val="TextBody"/>
        <w:bidi w:val="0"/>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Annual Cash Incentives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and Human Capital Committee believes that a meaningful portion of the annual compensation of each named executive officer should be in the form of annual cash incentive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49" w:name="ny20083274x1_def14a_110-executive_pg6"/>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our fiscal year ended May 31, 2026, annual cash incentive targets were based upon a mix of pre-determined financial metrics and the achievement of pre-determined corporate objectives with compensation up to a maximum of 200% of the target incentive payment amounts if we overachieve our targets. The table below sets forth the targets set by the Compensation and Human Capital Committee, the rationale for the particular goal and achievement against targets: </w:t>
      </w:r>
    </w:p>
    <w:tbl>
      <w:tblPr>
        <w:tblW w:w="10205" w:type="dxa"/>
        <w:jc w:val="left"/>
        <w:tblInd w:w="0" w:type="dxa"/>
        <w:tblLayout w:type="fixed"/>
        <w:tblCellMar>
          <w:top w:w="0" w:type="dxa"/>
          <w:left w:w="0" w:type="dxa"/>
          <w:bottom w:w="0" w:type="dxa"/>
          <w:right w:w="0" w:type="dxa"/>
        </w:tblCellMar>
      </w:tblPr>
      <w:tblGrid>
        <w:gridCol w:w="185"/>
        <w:gridCol w:w="1290"/>
        <w:gridCol w:w="170"/>
        <w:gridCol w:w="170"/>
        <w:gridCol w:w="1110"/>
        <w:gridCol w:w="170"/>
        <w:gridCol w:w="170"/>
        <w:gridCol w:w="1160"/>
        <w:gridCol w:w="170"/>
        <w:gridCol w:w="170"/>
        <w:gridCol w:w="605"/>
        <w:gridCol w:w="170"/>
        <w:gridCol w:w="170"/>
        <w:gridCol w:w="1273"/>
        <w:gridCol w:w="170"/>
        <w:gridCol w:w="170"/>
        <w:gridCol w:w="981"/>
        <w:gridCol w:w="170"/>
        <w:gridCol w:w="170"/>
        <w:gridCol w:w="575"/>
        <w:gridCol w:w="170"/>
        <w:gridCol w:w="170"/>
        <w:gridCol w:w="429"/>
        <w:gridCol w:w="217"/>
      </w:tblGrid>
      <w:tr>
        <w:trPr/>
        <w:tc>
          <w:tcPr>
            <w:tcW w:w="185" w:type="dxa"/>
            <w:tcBorders/>
            <w:vAlign w:val="center"/>
          </w:tcPr>
          <w:p>
            <w:pPr>
              <w:pStyle w:val="TableContents"/>
              <w:bidi w:val="0"/>
              <w:spacing w:before="0" w:after="0"/>
              <w:jc w:val="left"/>
              <w:rPr/>
            </w:pPr>
            <w:r>
              <w:rPr/>
              <w:t> </w:t>
            </w:r>
          </w:p>
        </w:tc>
        <w:tc>
          <w:tcPr>
            <w:tcW w:w="129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73"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1"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290" w:type="dxa"/>
            <w:tcBorders>
              <w:bottom w:val="single" w:sz="8" w:space="0" w:color="000000"/>
            </w:tcBorders>
            <w:tcMar>
              <w:bottom w:w="48" w:type="dxa"/>
            </w:tcMar>
            <w:vAlign w:val="center"/>
          </w:tcPr>
          <w:p>
            <w:pPr>
              <w:pStyle w:val="TableContents"/>
              <w:bidi w:val="0"/>
              <w:spacing w:before="0" w:after="283"/>
              <w:ind w:left="35" w:right="0" w:hanging="0"/>
              <w:jc w:val="left"/>
              <w:rPr>
                <w:rFonts w:ascii="Times New Roman;Times;serif" w:hAnsi="Times New Roman;Times;serif"/>
                <w:b/>
                <w:color w:val="000000"/>
                <w:sz w:val="16"/>
              </w:rPr>
            </w:pPr>
            <w:r>
              <w:rPr>
                <w:rFonts w:ascii="Times New Roman;Times;serif" w:hAnsi="Times New Roman;Times;serif"/>
                <w:b/>
                <w:color w:val="000000"/>
                <w:sz w:val="16"/>
              </w:rPr>
              <w:t>Goal</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Rationale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7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Achievement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Achievement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 Percent)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34" w:type="dxa"/>
            <w:gridSpan w:val="19"/>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Financial Metrics: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29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Net Sales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110" w:type="dxa"/>
            <w:vMerge w:val="restart"/>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Directly linked to creating long-term value for shareholders</w:t>
            </w:r>
          </w:p>
        </w:tc>
        <w:tc>
          <w:tcPr>
            <w:tcW w:w="170" w:type="dxa"/>
            <w:vMerge w:val="restart"/>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6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$312 million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0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73"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$320.2 million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1"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29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Adjusted EBITDA</w:t>
            </w:r>
            <w:r>
              <w:rPr>
                <w:rFonts w:ascii="Times New Roman;Times;serif" w:hAnsi="Times New Roman;Times;serif"/>
                <w:color w:val="000000"/>
                <w:position w:val="7"/>
                <w:sz w:val="16"/>
                <w:sz w:val="20"/>
              </w:rPr>
              <w:t>(1)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110" w:type="dxa"/>
            <w:vMerge w:val="continue"/>
            <w:tcBorders>
              <w:bottom w:val="single" w:sz="8" w:space="0" w:color="000000"/>
            </w:tcBorders>
            <w:tcMar>
              <w:bottom w:w="43"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tcMar>
              <w:bottom w:w="28" w:type="dxa"/>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6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$10.5 million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0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73"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$18.2 million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1"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34" w:type="dxa"/>
            <w:gridSpan w:val="19"/>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Corporate Objectives: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29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Execute on manufacturing transfer program milestones to achieve savings goals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11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Directly linked to strategic plan and creating long-term value for shareholders</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16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Qualitative</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60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273"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Achieved target expectations</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81"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57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w:t>
            </w:r>
          </w:p>
        </w:tc>
        <w:tc>
          <w:tcPr>
            <w:tcW w:w="170" w:type="dxa"/>
            <w:vMerge w:val="restart"/>
            <w:tcBorders>
              <w:right w:val="single" w:sz="8" w:space="0" w:color="000000"/>
            </w:tcBorders>
            <w:tcMar>
              <w:right w:w="28" w:type="dxa"/>
            </w:tcMar>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429" w:type="dxa"/>
            <w:vMerge w:val="restart"/>
            <w:tcBorders/>
            <w:vAlign w:val="center"/>
          </w:tcPr>
          <w:p>
            <w:pPr>
              <w:pStyle w:val="TableContents"/>
              <w:bidi w:val="0"/>
              <w:spacing w:before="0" w:after="283"/>
              <w:jc w:val="center"/>
              <w:rPr>
                <w:rFonts w:ascii="Times New Roman;Times;serif" w:hAnsi="Times New Roman;Times;serif"/>
                <w:color w:val="000000"/>
                <w:sz w:val="80"/>
              </w:rPr>
            </w:pPr>
            <w:r>
              <w:rPr>
                <w:rFonts w:ascii="Times New Roman;Times;serif" w:hAnsi="Times New Roman;Times;serif"/>
                <w:color w:val="000000"/>
                <w:sz w:val="80"/>
              </w:rPr>
              <w:t>}</w:t>
            </w:r>
            <w:r>
              <w:rPr>
                <w:rFonts w:ascii="Times New Roman;Times;serif" w:hAnsi="Times New Roman;Times;serif"/>
                <w:color w:val="000000"/>
                <w:sz w:val="20"/>
              </w:rPr>
              <w:t xml:space="preserve">180% </w:t>
            </w:r>
          </w:p>
        </w:tc>
        <w:tc>
          <w:tcPr>
            <w:tcW w:w="217" w:type="dxa"/>
            <w:vMerge w:val="restart"/>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29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Develop private/payer reimbursement plan for NanoKnife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1110"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160"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6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273"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81"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57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429" w:type="dxa"/>
            <w:vMerge w:val="continue"/>
            <w:tcBorders/>
            <w:vAlign w:val="center"/>
          </w:tcPr>
          <w:p>
            <w:pPr>
              <w:pStyle w:val="Normal"/>
              <w:bidi w:val="0"/>
              <w:jc w:val="left"/>
              <w:rPr/>
            </w:pPr>
            <w:r>
              <w:rPr/>
            </w:r>
          </w:p>
        </w:tc>
        <w:tc>
          <w:tcPr>
            <w:tcW w:w="217" w:type="dxa"/>
            <w:vMerge w:val="continue"/>
            <w:tcBorders/>
            <w:vAlign w:val="center"/>
          </w:tcPr>
          <w:p>
            <w:pPr>
              <w:pStyle w:val="Normal"/>
              <w:bidi w:val="0"/>
              <w:jc w:val="left"/>
              <w:rPr/>
            </w:pPr>
            <w:r>
              <w:rPr/>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29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Achieve milestones in the Ambition/BTK plan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1110"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160"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6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273"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81"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57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90" w:type="dxa"/>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Obtain clarity on pathway for AngioVac endocarditis</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1110"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160"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60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273"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81"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575" w:type="dxa"/>
            <w:vMerge w:val="continue"/>
            <w:tcBorders/>
            <w:vAlign w:val="center"/>
          </w:tcPr>
          <w:p>
            <w:pPr>
              <w:pStyle w:val="Normal"/>
              <w:bidi w:val="0"/>
              <w:jc w:val="left"/>
              <w:rPr/>
            </w:pPr>
            <w:r>
              <w:rPr/>
            </w:r>
          </w:p>
        </w:tc>
        <w:tc>
          <w:tcPr>
            <w:tcW w:w="170" w:type="dxa"/>
            <w:vMerge w:val="continue"/>
            <w:tcBorders>
              <w:right w:val="single" w:sz="8" w:space="0" w:color="000000"/>
            </w:tcBorders>
            <w:tcMar>
              <w:right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2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29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1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6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73"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1"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9" w:type="dxa"/>
            <w:tcBorders>
              <w:bottom w:val="single" w:sz="8" w:space="0" w:color="000000"/>
            </w:tcBorders>
            <w:tcMar>
              <w:bottom w:w="28" w:type="dxa"/>
            </w:tcMar>
            <w:vAlign w:val="center"/>
          </w:tcPr>
          <w:p>
            <w:pPr>
              <w:pStyle w:val="TableContents"/>
              <w:bidi w:val="0"/>
              <w:spacing w:before="0" w:after="0"/>
              <w:jc w:val="left"/>
              <w:rPr/>
            </w:pPr>
            <w:r>
              <w:rPr/>
              <w:t>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Adjusted EBITDA, excludes the amortization of intangibles, change in fair value of contingent consideration, acquisition, restructuring and other items.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achievement on the financial metrics as a percent of target is based upon pre-determined quantitative levels of achievements. For our corporate objectives, the Committee takes both a goal specific and a comprehensive evaluation approach to determine total achievement. Assessing the overall specifics with respect to each goal, as well as the impact of these activities on the Company’s strategic transformation and the fiscal year operating resulting, including revenue growth, gross margin and adjusted earnings per share, the Committee awarded attainment of 100% of our corporate objective metrics.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fiscal year 2026, the target incentive payment amounts and the actual payout amounts, each as a percentage of base salary, for the named executive officers were as follows: </w:t>
      </w:r>
    </w:p>
    <w:tbl>
      <w:tblPr>
        <w:tblW w:w="8045" w:type="dxa"/>
        <w:jc w:val="left"/>
        <w:tblInd w:w="0" w:type="dxa"/>
        <w:tblLayout w:type="fixed"/>
        <w:tblCellMar>
          <w:top w:w="0" w:type="dxa"/>
          <w:left w:w="0" w:type="dxa"/>
          <w:bottom w:w="0" w:type="dxa"/>
          <w:right w:w="0" w:type="dxa"/>
        </w:tblCellMar>
      </w:tblPr>
      <w:tblGrid>
        <w:gridCol w:w="1940"/>
        <w:gridCol w:w="170"/>
        <w:gridCol w:w="170"/>
        <w:gridCol w:w="1955"/>
        <w:gridCol w:w="170"/>
        <w:gridCol w:w="170"/>
        <w:gridCol w:w="1595"/>
        <w:gridCol w:w="170"/>
        <w:gridCol w:w="170"/>
        <w:gridCol w:w="1535"/>
      </w:tblGrid>
      <w:tr>
        <w:trPr/>
        <w:tc>
          <w:tcPr>
            <w:tcW w:w="1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r>
      <w:tr>
        <w:trPr/>
        <w:tc>
          <w:tcPr>
            <w:tcW w:w="19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as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Percentage of 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 Payout as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Percentage of 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Amount Paid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 Clemmer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55" w:type="dxa"/>
            <w:tcBorders/>
            <w:shd w:fill="CCEEFF" w:val="clear"/>
            <w:vAlign w:val="center"/>
          </w:tcPr>
          <w:p>
            <w:pPr>
              <w:pStyle w:val="TableContents"/>
              <w:bidi w:val="0"/>
              <w:spacing w:before="0" w:after="283"/>
              <w:ind w:left="735"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180%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19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$1,502,490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A. Trowbridge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735" w:right="0" w:hanging="0"/>
              <w:jc w:val="left"/>
              <w:rPr>
                <w:rFonts w:ascii="Times New Roman;Times;serif" w:hAnsi="Times New Roman;Times;serif"/>
                <w:color w:val="000000"/>
                <w:sz w:val="20"/>
              </w:rPr>
            </w:pPr>
            <w:r>
              <w:rPr>
                <w:rFonts w:ascii="Times New Roman;Times;serif" w:hAnsi="Times New Roman;Times;serif"/>
                <w:color w:val="000000"/>
                <w:sz w:val="20"/>
              </w:rPr>
              <w:t>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180%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19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598,537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Lawrence T. Weiss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55" w:type="dxa"/>
            <w:tcBorders/>
            <w:shd w:fill="CCEEFF" w:val="clear"/>
            <w:vAlign w:val="center"/>
          </w:tcPr>
          <w:p>
            <w:pPr>
              <w:pStyle w:val="TableContents"/>
              <w:bidi w:val="0"/>
              <w:spacing w:before="0" w:after="283"/>
              <w:ind w:left="735"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180%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19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478,332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Laura Piccinini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735"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180%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19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500,422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Warren G. Nighan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55" w:type="dxa"/>
            <w:tcBorders/>
            <w:shd w:fill="CCEEFF" w:val="clear"/>
            <w:vAlign w:val="center"/>
          </w:tcPr>
          <w:p>
            <w:pPr>
              <w:pStyle w:val="TableContents"/>
              <w:bidi w:val="0"/>
              <w:spacing w:before="0" w:after="283"/>
              <w:ind w:left="735"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ind w:left="555" w:right="0" w:hanging="0"/>
              <w:jc w:val="left"/>
              <w:rPr>
                <w:rFonts w:ascii="Times New Roman;Times;serif" w:hAnsi="Times New Roman;Times;serif"/>
                <w:color w:val="000000"/>
                <w:sz w:val="20"/>
              </w:rPr>
            </w:pPr>
            <w:r>
              <w:rPr>
                <w:rFonts w:ascii="Times New Roman;Times;serif" w:hAnsi="Times New Roman;Times;serif"/>
                <w:color w:val="000000"/>
                <w:sz w:val="20"/>
              </w:rPr>
              <w:t>180%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19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454,313</w:t>
            </w:r>
          </w:p>
        </w:tc>
      </w:tr>
      <w:tr>
        <w:trPr/>
        <w:tc>
          <w:tcPr>
            <w:tcW w:w="19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50" w:name="ny20083274x1_def14a_110-executive_pg7"/>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Long-Term, Equity-Based Incentive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2020, we adopted the AngioDynamics, Inc. 2020 Equity Incentive Plan, (the “2020 Plan”). The 2020 Plan provides for the grant of incentive awards, including performance share awards, performance unit awards, restricted stock awards and restricted stock unit awards, as well as incentive and non-qualified stock options and stock appreciation rights. The Compensation and Human Capital Committee believes that including equity grants as a significant component of executive compensation aligns our executives’ interest with those of our shareholders. The Compensation and Human Capital Committee has made grants of stock options, restricted stock unit awards and performance share awards and, in the future, expects to offer additional awards under equity plans approved by the shareholders in order to provide named executive officers with an opportunity to share, along with shareholders, in our long-term performance and to reward these individuals for their contribution to our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target value of stock options, restricted stock units or performance share awards granted to each named executive officer is based upon several factors, including: (i) position with AngioDynamics; (ii) base salary; (iii) performance; and (iv) the grants made, on average, by similarly situated companies to executives with similar responsibilities. For our fiscal year ended May 31, 2026, the Compensation and Human Capital Committee set targets of total long-term incentive awards as follows: </w:t>
      </w:r>
    </w:p>
    <w:tbl>
      <w:tblPr>
        <w:tblW w:w="8790" w:type="dxa"/>
        <w:jc w:val="left"/>
        <w:tblInd w:w="0" w:type="dxa"/>
        <w:tblLayout w:type="fixed"/>
        <w:tblCellMar>
          <w:top w:w="0" w:type="dxa"/>
          <w:left w:w="0" w:type="dxa"/>
          <w:bottom w:w="0" w:type="dxa"/>
          <w:right w:w="0" w:type="dxa"/>
        </w:tblCellMar>
      </w:tblPr>
      <w:tblGrid>
        <w:gridCol w:w="1940"/>
        <w:gridCol w:w="170"/>
        <w:gridCol w:w="170"/>
        <w:gridCol w:w="2885"/>
        <w:gridCol w:w="170"/>
        <w:gridCol w:w="170"/>
        <w:gridCol w:w="315"/>
        <w:gridCol w:w="170"/>
        <w:gridCol w:w="170"/>
        <w:gridCol w:w="2630"/>
      </w:tblGrid>
      <w:tr>
        <w:trPr/>
        <w:tc>
          <w:tcPr>
            <w:tcW w:w="1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0"/>
              <w:jc w:val="left"/>
              <w:rPr/>
            </w:pPr>
            <w:r>
              <w:rPr/>
              <w:t> </w:t>
            </w:r>
          </w:p>
        </w:tc>
      </w:tr>
      <w:tr>
        <w:trPr/>
        <w:tc>
          <w:tcPr>
            <w:tcW w:w="19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 Long-term Incentive Awards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Composition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 Clemmer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 of 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0"/>
              <w:jc w:val="left"/>
              <w:rPr>
                <w:color w:val="000000"/>
              </w:rPr>
            </w:pPr>
            <w:r>
              <w:rPr>
                <w:color w:val="000000"/>
              </w:rPr>
              <w:t>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A. Trowbridge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315% of base salary </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315" w:type="dxa"/>
            <w:vMerge w:val="restart"/>
            <w:tcBorders/>
            <w:vAlign w:val="center"/>
          </w:tcPr>
          <w:p>
            <w:pPr>
              <w:pStyle w:val="TableContents"/>
              <w:bidi w:val="0"/>
              <w:spacing w:before="0" w:after="283"/>
              <w:jc w:val="center"/>
              <w:rPr>
                <w:color w:val="000000"/>
              </w:rPr>
            </w:pPr>
            <w:r>
              <w:rPr>
                <w:color w:val="000000"/>
              </w:rPr>
              <w:drawing>
                <wp:inline distT="0" distB="0" distL="0" distR="0">
                  <wp:extent cx="180975" cy="5619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80975" cy="5619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263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50% performance share awards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50% restricted stock units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Lawrence T. Weiss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 of base salary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31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2630" w:type="dxa"/>
            <w:vMerge w:val="continue"/>
            <w:tcBorders/>
            <w:vAlign w:val="center"/>
          </w:tcPr>
          <w:p>
            <w:pPr>
              <w:pStyle w:val="Normal"/>
              <w:bidi w:val="0"/>
              <w:jc w:val="left"/>
              <w:rPr/>
            </w:pPr>
            <w:r>
              <w:rPr/>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Laura Piccinini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 of base salary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31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2630" w:type="dxa"/>
            <w:vMerge w:val="continue"/>
            <w:tcBorders/>
            <w:vAlign w:val="center"/>
          </w:tcPr>
          <w:p>
            <w:pPr>
              <w:pStyle w:val="Normal"/>
              <w:bidi w:val="0"/>
              <w:jc w:val="left"/>
              <w:rPr/>
            </w:pPr>
            <w:r>
              <w:rPr/>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Warren G. Nighan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 of base salary</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31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2630" w:type="dxa"/>
            <w:vMerge w:val="continue"/>
            <w:tcBorders/>
            <w:vAlign w:val="center"/>
          </w:tcPr>
          <w:p>
            <w:pPr>
              <w:pStyle w:val="Normal"/>
              <w:bidi w:val="0"/>
              <w:jc w:val="left"/>
              <w:rPr/>
            </w:pPr>
            <w:r>
              <w:rPr/>
            </w:r>
          </w:p>
        </w:tc>
      </w:tr>
      <w:tr>
        <w:trPr/>
        <w:tc>
          <w:tcPr>
            <w:tcW w:w="1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3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long term inventive awards made in fiscal year 2026, the Committee determined to grant each of the named executive officers 100% of target.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Compensation and Human Capital Committee and the Board of Directors believe that this annual long-term incentive program provides a strong pay for performance orientation while effectively incentivizing management decision making and providing appropriate retention incentives. Performance share award payouts are directly tied to AngioDynamics’ performance and total shareholder return relative to a peer group of companies with similar risk profiles to AngioDynamics. Restricted stock units are intended to retain key management through vesting periods, with the opportunity for capital accumulation and more predictable long-term incentive value than stock options. Restricted stock unit awards, including fiscal year 2026 awards, typically vest equally over a four-year period and are settled in shares of AngioDynamics’ common stock if the employee remains active with the Company through the vesting date.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Performance share awards are generally made each year with awards having a three-year term with payouts to be made in shares of AngioDynamics’ common stock at the end of the term depending on performance against pre-determined goals. For the fiscal year 2026 awards (granted on July 16, 2025), 70 percent of the performance shares will be measured based on our revenue and 30 percent will be measured based on our adjusted EBITDA over the three-year performance period. At the beginning of the performance period, the threshold, target and maximum revenue goals were set by the Compensation and Human Capital Committee for the entire three-year performance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end of the performance period, the total number of shares eligible to vest is subject to a relative total shareholder return (“TSR”) modifier to more closely align management and shareholder interests. The TSR modifier can adjust the aggregate number of shares eligible to vest at the end of the three-year period up or down by 20% based on performance relative to a peer group of companies with similar risk profiles to AngioDynamics. No modifier will apply if relative TSR performance between the 75th and 25th percentiles. If relative TSR performance exceeds the 75th percentile, the number of shares eligible to vest will increase by 20%. If relative TSR performance is below the 25th percentile, the number of shares eligible to vest will decrease by 20%. Therefore, with the TSR modifier applied, 0% to 240% of the total target number of shares subject to the fiscal year 2026 performance share unit awards will be eligible to vest at the end of the three-year performance period. For the fiscal year 2026 award, the relative TSR peer group consisted of 47 publicly traded healthcare equipment companies with revenue greater than $200 million at the time of selection.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51" w:name="ny20083274x1_def14a_110-executive_pg8"/>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and Human Capital Committee approves all equity awards granted to our NEOs and Board on or before the grant date. Annual equity awards are generally granted effective after our applicable fiscal year-end earnings release following the decision to make the grant, regardless of the timing of the decision. Our Compensation and Human Capital Committee has elected to grant equity-based awards shortly following our earnings releases so that the equity-based awards are granted (and valued) at a point in time when the most important information about our company then known to management and our board is likely to have been disseminated in the market. The Compensation and Human Capital Committee may also grant equity awards at other times during the year due to special circumstances, including to new executive officers upon hire or promotion or a change in an executive officer’s role. As a matter of good corporate governance, we do not grant equity awards in anticipation of the release of material nonpublic information and, in any event, we do not time the release of material nonpublic information in coordination with grants of equity awards in a manner that intentionally benefits our NEOs or directors. The Compensation and Human Capital Committee did not take material nonpublic information into account when determining the timing and terms of equity awards in fiscal year 2026.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peer group for performance share awards granted in fiscal year 2026 is set forth in the table below. </w:t>
      </w:r>
    </w:p>
    <w:tbl>
      <w:tblPr>
        <w:tblW w:w="9050" w:type="dxa"/>
        <w:jc w:val="left"/>
        <w:tblInd w:w="0" w:type="dxa"/>
        <w:tblLayout w:type="fixed"/>
        <w:tblCellMar>
          <w:top w:w="0" w:type="dxa"/>
          <w:left w:w="0" w:type="dxa"/>
          <w:bottom w:w="0" w:type="dxa"/>
          <w:right w:w="0" w:type="dxa"/>
        </w:tblCellMar>
      </w:tblPr>
      <w:tblGrid>
        <w:gridCol w:w="2510"/>
        <w:gridCol w:w="170"/>
        <w:gridCol w:w="170"/>
        <w:gridCol w:w="3095"/>
        <w:gridCol w:w="170"/>
        <w:gridCol w:w="170"/>
        <w:gridCol w:w="2765"/>
      </w:tblGrid>
      <w:tr>
        <w:trPr/>
        <w:tc>
          <w:tcPr>
            <w:tcW w:w="2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0"/>
              <w:jc w:val="left"/>
              <w:rPr/>
            </w:pPr>
            <w:r>
              <w:rPr/>
              <w:t> </w:t>
            </w:r>
          </w:p>
        </w:tc>
      </w:tr>
      <w:tr>
        <w:trPr/>
        <w:tc>
          <w:tcPr>
            <w:tcW w:w="25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Abbott Laboratories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Globus Medical,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Orthofix Medical Inc. </w:t>
            </w:r>
          </w:p>
        </w:tc>
      </w:tr>
      <w:tr>
        <w:trPr/>
        <w:tc>
          <w:tcPr>
            <w:tcW w:w="25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Accuray Incorporated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IDEXX Laboratories,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Penumbra, Inc. </w:t>
            </w:r>
          </w:p>
        </w:tc>
      </w:tr>
      <w:tr>
        <w:trPr/>
        <w:tc>
          <w:tcPr>
            <w:tcW w:w="25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Alphatec Holdings,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InMode Ltd.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PROCEPT BioRobotics Corporation </w:t>
            </w:r>
          </w:p>
        </w:tc>
      </w:tr>
      <w:tr>
        <w:trPr/>
        <w:tc>
          <w:tcPr>
            <w:tcW w:w="25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Artivion,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Inogen,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QuidelOrtho Corporation </w:t>
            </w:r>
          </w:p>
        </w:tc>
      </w:tr>
      <w:tr>
        <w:trPr/>
        <w:tc>
          <w:tcPr>
            <w:tcW w:w="25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AtriCure,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Inspire Medical Systems,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ResMed Inc. </w:t>
            </w:r>
          </w:p>
        </w:tc>
      </w:tr>
      <w:tr>
        <w:trPr/>
        <w:tc>
          <w:tcPr>
            <w:tcW w:w="25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Axogen,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Insulet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SI-BONE, Inc. </w:t>
            </w:r>
          </w:p>
        </w:tc>
      </w:tr>
      <w:tr>
        <w:trPr/>
        <w:tc>
          <w:tcPr>
            <w:tcW w:w="25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Baxter International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Integer Holdings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STERIS plc </w:t>
            </w:r>
          </w:p>
        </w:tc>
      </w:tr>
      <w:tr>
        <w:trPr/>
        <w:tc>
          <w:tcPr>
            <w:tcW w:w="25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Becton, Dickinson and Company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Integra LifeSciences Holdings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Stryker Corporation </w:t>
            </w:r>
          </w:p>
        </w:tc>
      </w:tr>
      <w:tr>
        <w:trPr/>
        <w:tc>
          <w:tcPr>
            <w:tcW w:w="25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Boston Scientific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Intuitive Surgical,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Tactile Systems Technology, Inc. </w:t>
            </w:r>
          </w:p>
        </w:tc>
      </w:tr>
      <w:tr>
        <w:trPr/>
        <w:tc>
          <w:tcPr>
            <w:tcW w:w="25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CONMED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iRhythm Technologies,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Tandem Diabetes Care, Inc. </w:t>
            </w:r>
          </w:p>
        </w:tc>
      </w:tr>
      <w:tr>
        <w:trPr/>
        <w:tc>
          <w:tcPr>
            <w:tcW w:w="25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DexCom,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Kewaunee Scientific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Teleflex Incorporated </w:t>
            </w:r>
          </w:p>
        </w:tc>
      </w:tr>
      <w:tr>
        <w:trPr/>
        <w:tc>
          <w:tcPr>
            <w:tcW w:w="25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Edwards Lifesciences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LeMaitre Vascular,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TransMedics Group, Inc. </w:t>
            </w:r>
          </w:p>
        </w:tc>
      </w:tr>
      <w:tr>
        <w:trPr/>
        <w:tc>
          <w:tcPr>
            <w:tcW w:w="25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Enovis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LivaNova PLC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Treace Medical Concepts, Inc. </w:t>
            </w:r>
          </w:p>
        </w:tc>
      </w:tr>
      <w:tr>
        <w:trPr/>
        <w:tc>
          <w:tcPr>
            <w:tcW w:w="25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Envista Holdings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Medtronic plc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Varex Imaging Corporation </w:t>
            </w:r>
          </w:p>
        </w:tc>
      </w:tr>
      <w:tr>
        <w:trPr/>
        <w:tc>
          <w:tcPr>
            <w:tcW w:w="25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GE HealthCare Technologies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NovoCure Limited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Zimmer Biomet Holdings, Inc. </w:t>
            </w:r>
          </w:p>
        </w:tc>
      </w:tr>
      <w:tr>
        <w:trPr/>
        <w:tc>
          <w:tcPr>
            <w:tcW w:w="25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Glaukos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Omnicell,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0"/>
              <w:jc w:val="left"/>
              <w:rPr>
                <w:color w:val="000000"/>
              </w:rPr>
            </w:pPr>
            <w:r>
              <w:rPr>
                <w:color w:val="000000"/>
              </w:rPr>
              <w:t> </w:t>
            </w:r>
          </w:p>
        </w:tc>
      </w:tr>
      <w:tr>
        <w:trPr/>
        <w:tc>
          <w:tcPr>
            <w:tcW w:w="2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described below under “Potential Payments Upon Termination or Change in Control,” in the event of the named executive officer’s termination of employment, all of his or her unvested options, restricted stock units and performance share awards are generally forfeited in accordance with the provisions of the 2004 Plan, the 2020 Plan and the applicable grant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our fiscal year ended May 31, 2026, based upon the closing price for our common stock as of July 16, 2025, the Compensation and Human Capital Committee granted the following restricted stock units for our named executive officers, which vest ratably over four years: </w:t>
      </w:r>
    </w:p>
    <w:tbl>
      <w:tblPr>
        <w:tblW w:w="6080" w:type="dxa"/>
        <w:jc w:val="left"/>
        <w:tblInd w:w="0" w:type="dxa"/>
        <w:tblLayout w:type="fixed"/>
        <w:tblCellMar>
          <w:top w:w="0" w:type="dxa"/>
          <w:left w:w="0" w:type="dxa"/>
          <w:bottom w:w="0" w:type="dxa"/>
          <w:right w:w="0" w:type="dxa"/>
        </w:tblCellMar>
      </w:tblPr>
      <w:tblGrid>
        <w:gridCol w:w="1940"/>
        <w:gridCol w:w="170"/>
        <w:gridCol w:w="170"/>
        <w:gridCol w:w="1655"/>
        <w:gridCol w:w="170"/>
        <w:gridCol w:w="170"/>
        <w:gridCol w:w="1805"/>
      </w:tblGrid>
      <w:tr>
        <w:trPr/>
        <w:tc>
          <w:tcPr>
            <w:tcW w:w="1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r>
      <w:tr>
        <w:trPr/>
        <w:tc>
          <w:tcPr>
            <w:tcW w:w="19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Restricted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Units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Fair Value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 Clemmer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415" w:right="0" w:hanging="0"/>
              <w:jc w:val="left"/>
              <w:rPr>
                <w:rFonts w:ascii="Times New Roman;Times;serif" w:hAnsi="Times New Roman;Times;serif"/>
                <w:color w:val="000000"/>
                <w:sz w:val="20"/>
              </w:rPr>
            </w:pPr>
            <w:r>
              <w:rPr>
                <w:rFonts w:ascii="Times New Roman;Times;serif" w:hAnsi="Times New Roman;Times;serif"/>
                <w:color w:val="000000"/>
                <w:sz w:val="20"/>
              </w:rPr>
              <w:t>206,253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ind w:left="3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$1,773,776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A. Trowbridge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415" w:right="0" w:hanging="0"/>
              <w:jc w:val="left"/>
              <w:rPr>
                <w:rFonts w:ascii="Times New Roman;Times;serif" w:hAnsi="Times New Roman;Times;serif"/>
                <w:color w:val="000000"/>
                <w:sz w:val="20"/>
              </w:rPr>
            </w:pPr>
            <w:r>
              <w:rPr>
                <w:rFonts w:ascii="Times New Roman;Times;serif" w:hAnsi="Times New Roman;Times;serif"/>
                <w:color w:val="000000"/>
                <w:sz w:val="20"/>
              </w:rPr>
              <w:t>86,997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748,174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Lawrence T. Weiss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415" w:right="0" w:hanging="0"/>
              <w:jc w:val="left"/>
              <w:rPr>
                <w:rFonts w:ascii="Times New Roman;Times;serif" w:hAnsi="Times New Roman;Times;serif"/>
                <w:color w:val="000000"/>
                <w:sz w:val="20"/>
              </w:rPr>
            </w:pPr>
            <w:r>
              <w:rPr>
                <w:rFonts w:ascii="Times New Roman;Times;serif" w:hAnsi="Times New Roman;Times;serif"/>
                <w:color w:val="000000"/>
                <w:sz w:val="20"/>
              </w:rPr>
              <w:t>30,900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ind w:left="3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265,740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Laura Piccinini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415" w:right="0" w:hanging="0"/>
              <w:jc w:val="left"/>
              <w:rPr>
                <w:rFonts w:ascii="Times New Roman;Times;serif" w:hAnsi="Times New Roman;Times;serif"/>
                <w:color w:val="000000"/>
                <w:sz w:val="20"/>
              </w:rPr>
            </w:pPr>
            <w:r>
              <w:rPr>
                <w:rFonts w:ascii="Times New Roman;Times;serif" w:hAnsi="Times New Roman;Times;serif"/>
                <w:color w:val="000000"/>
                <w:sz w:val="20"/>
              </w:rPr>
              <w:t>32,423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278,838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Warren G. Nighan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415" w:right="0" w:hanging="0"/>
              <w:jc w:val="left"/>
              <w:rPr>
                <w:rFonts w:ascii="Times New Roman;Times;serif" w:hAnsi="Times New Roman;Times;serif"/>
                <w:color w:val="000000"/>
                <w:sz w:val="20"/>
              </w:rPr>
            </w:pPr>
            <w:r>
              <w:rPr>
                <w:rFonts w:ascii="Times New Roman;Times;serif" w:hAnsi="Times New Roman;Times;serif"/>
                <w:color w:val="000000"/>
                <w:sz w:val="20"/>
              </w:rPr>
              <w:t>29,349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ind w:left="3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252,401</w:t>
            </w:r>
          </w:p>
        </w:tc>
      </w:tr>
      <w:tr>
        <w:trPr/>
        <w:tc>
          <w:tcPr>
            <w:tcW w:w="19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our fiscal year ended May 31, 2026, the Compensation and Human Capital Committee granted the following performance share awards for our named executive officers with a target number of performance shares as follows: </w:t>
      </w:r>
    </w:p>
    <w:tbl>
      <w:tblPr>
        <w:tblW w:w="5555" w:type="dxa"/>
        <w:jc w:val="left"/>
        <w:tblInd w:w="0" w:type="dxa"/>
        <w:tblLayout w:type="fixed"/>
        <w:tblCellMar>
          <w:top w:w="0" w:type="dxa"/>
          <w:left w:w="0" w:type="dxa"/>
          <w:bottom w:w="0" w:type="dxa"/>
          <w:right w:w="0" w:type="dxa"/>
        </w:tblCellMar>
      </w:tblPr>
      <w:tblGrid>
        <w:gridCol w:w="1550"/>
        <w:gridCol w:w="170"/>
        <w:gridCol w:w="170"/>
        <w:gridCol w:w="1520"/>
        <w:gridCol w:w="170"/>
        <w:gridCol w:w="170"/>
        <w:gridCol w:w="1805"/>
      </w:tblGrid>
      <w:tr>
        <w:trPr/>
        <w:tc>
          <w:tcPr>
            <w:tcW w:w="15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r>
      <w:tr>
        <w:trPr/>
        <w:tc>
          <w:tcPr>
            <w:tcW w:w="15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Performance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Fair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at Target </w:t>
            </w:r>
          </w:p>
        </w:tc>
      </w:tr>
      <w:tr>
        <w:trPr/>
        <w:tc>
          <w:tcPr>
            <w:tcW w:w="15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 Clemmer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369" w:right="0" w:hanging="0"/>
              <w:jc w:val="left"/>
              <w:rPr>
                <w:rFonts w:ascii="Times New Roman;Times;serif" w:hAnsi="Times New Roman;Times;serif"/>
                <w:color w:val="000000"/>
                <w:sz w:val="20"/>
              </w:rPr>
            </w:pPr>
            <w:r>
              <w:rPr>
                <w:rFonts w:ascii="Times New Roman;Times;serif" w:hAnsi="Times New Roman;Times;serif"/>
                <w:color w:val="000000"/>
                <w:sz w:val="20"/>
              </w:rPr>
              <w:t>206,253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ind w:left="3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$1,916,090 </w:t>
            </w:r>
          </w:p>
        </w:tc>
      </w:tr>
      <w:tr>
        <w:trPr/>
        <w:tc>
          <w:tcPr>
            <w:tcW w:w="15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52" w:name="ny20083274x1_def14a_110-executive_pg9"/>
        <w:bookmarkEnd w:id="52"/>
        <w:r>
          <w:rPr>
            <w:rStyle w:val="InternetLink"/>
            <w:rFonts w:ascii="Times New Roman;Times;Serif" w:hAnsi="Times New Roman;Times;Serif"/>
            <w:b/>
            <w:caps w:val="false"/>
            <w:smallCaps w:val="false"/>
            <w:color w:val="000000"/>
            <w:sz w:val="16"/>
          </w:rPr>
          <w:t>TABLE OF CONTENTS</w:t>
        </w:r>
      </w:hyperlink>
    </w:p>
    <w:tbl>
      <w:tblPr>
        <w:tblW w:w="5945" w:type="dxa"/>
        <w:jc w:val="left"/>
        <w:tblInd w:w="0" w:type="dxa"/>
        <w:tblLayout w:type="fixed"/>
        <w:tblCellMar>
          <w:top w:w="0" w:type="dxa"/>
          <w:left w:w="0" w:type="dxa"/>
          <w:bottom w:w="0" w:type="dxa"/>
          <w:right w:w="0" w:type="dxa"/>
        </w:tblCellMar>
      </w:tblPr>
      <w:tblGrid>
        <w:gridCol w:w="1940"/>
        <w:gridCol w:w="170"/>
        <w:gridCol w:w="170"/>
        <w:gridCol w:w="1520"/>
        <w:gridCol w:w="170"/>
        <w:gridCol w:w="170"/>
        <w:gridCol w:w="1805"/>
      </w:tblGrid>
      <w:tr>
        <w:trPr/>
        <w:tc>
          <w:tcPr>
            <w:tcW w:w="1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r>
      <w:tr>
        <w:trPr/>
        <w:tc>
          <w:tcPr>
            <w:tcW w:w="19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Performance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Fair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at Target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A. Trowbridge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419" w:right="0" w:hanging="0"/>
              <w:jc w:val="left"/>
              <w:rPr>
                <w:rFonts w:ascii="Times New Roman;Times;serif" w:hAnsi="Times New Roman;Times;serif"/>
                <w:color w:val="000000"/>
                <w:sz w:val="20"/>
              </w:rPr>
            </w:pPr>
            <w:r>
              <w:rPr>
                <w:rFonts w:ascii="Times New Roman;Times;serif" w:hAnsi="Times New Roman;Times;serif"/>
                <w:color w:val="000000"/>
                <w:sz w:val="20"/>
              </w:rPr>
              <w:t>86,997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ind w:left="3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$808,202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Lawrence T. Weiss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419" w:right="0" w:hanging="0"/>
              <w:jc w:val="left"/>
              <w:rPr>
                <w:rFonts w:ascii="Times New Roman;Times;serif" w:hAnsi="Times New Roman;Times;serif"/>
                <w:color w:val="000000"/>
                <w:sz w:val="20"/>
              </w:rPr>
            </w:pPr>
            <w:r>
              <w:rPr>
                <w:rFonts w:ascii="Times New Roman;Times;serif" w:hAnsi="Times New Roman;Times;serif"/>
                <w:color w:val="000000"/>
                <w:sz w:val="20"/>
              </w:rPr>
              <w:t>30,900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$287,061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Laura Piccinini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419" w:right="0" w:hanging="0"/>
              <w:jc w:val="left"/>
              <w:rPr>
                <w:rFonts w:ascii="Times New Roman;Times;serif" w:hAnsi="Times New Roman;Times;serif"/>
                <w:color w:val="000000"/>
                <w:sz w:val="20"/>
              </w:rPr>
            </w:pPr>
            <w:r>
              <w:rPr>
                <w:rFonts w:ascii="Times New Roman;Times;serif" w:hAnsi="Times New Roman;Times;serif"/>
                <w:color w:val="000000"/>
                <w:sz w:val="20"/>
              </w:rPr>
              <w:t>32,423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ind w:left="3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$301,209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Warren G. Nighan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419" w:right="0" w:hanging="0"/>
              <w:jc w:val="left"/>
              <w:rPr>
                <w:rFonts w:ascii="Times New Roman;Times;serif" w:hAnsi="Times New Roman;Times;serif"/>
                <w:color w:val="000000"/>
                <w:sz w:val="20"/>
              </w:rPr>
            </w:pPr>
            <w:r>
              <w:rPr>
                <w:rFonts w:ascii="Times New Roman;Times;serif" w:hAnsi="Times New Roman;Times;serif"/>
                <w:color w:val="000000"/>
                <w:sz w:val="20"/>
              </w:rPr>
              <w:t>29,349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90" w:right="0" w:hanging="0"/>
              <w:jc w:val="left"/>
              <w:rPr>
                <w:rFonts w:ascii="Times New Roman;Times;serif" w:hAnsi="Times New Roman;Times;serif"/>
                <w:color w:val="000000"/>
                <w:sz w:val="20"/>
              </w:rPr>
            </w:pPr>
            <w:r>
              <w:rPr>
                <w:rFonts w:ascii="Times New Roman;Times;serif" w:hAnsi="Times New Roman;Times;serif"/>
                <w:color w:val="000000"/>
                <w:sz w:val="20"/>
              </w:rPr>
              <w:t>$272,652</w:t>
            </w:r>
          </w:p>
        </w:tc>
      </w:tr>
      <w:tr>
        <w:trPr/>
        <w:tc>
          <w:tcPr>
            <w:tcW w:w="1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Equity grants made to our named executive officers in fiscal year 2026 are set forth below in the table titled “Grants of Plan-Based Awards for Fiscal Year 2026.” </w:t>
      </w:r>
    </w:p>
    <w:p>
      <w:pPr>
        <w:pStyle w:val="TextBody"/>
        <w:bidi w:val="0"/>
        <w:spacing w:before="3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Vesting of Fiscal 2024 Performance Share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Fiscal 2024 Performance Share Awards had a three year performance period from June 1, 2023 through May 31, 2026. These grants were structured with performance targets linked to cumulative revenue over a three year performance period. Performance against these financial targets was then modified by relative TSR achievement over the performance period against a pre-determined comparator group. As noted above, the TSR modifier can adjust the aggregate number of shares eligible to vest at the end of the performance period up or down by a maximum of 20% at the 75th and 25th percentile.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achieved revenue of $883.6 million, which resulted in 94.7% achievement and corresponded to a payout percentage of 23%. The Company achieved a relative TSR ranking versus the applicable peer group of the 89th percentile which resulted in a 20% increase of the ultimate payout percentage. As a result, 28.4% of Mr. Clemmer’s, Mr. Trowbridge’s, Ms. Piccinini’s and Mr. Nighan’s fiscal 2024 grant of performance share awards were earned. </w:t>
      </w:r>
    </w:p>
    <w:tbl>
      <w:tblPr>
        <w:tblW w:w="6335" w:type="dxa"/>
        <w:jc w:val="left"/>
        <w:tblInd w:w="0" w:type="dxa"/>
        <w:tblLayout w:type="fixed"/>
        <w:tblCellMar>
          <w:top w:w="0" w:type="dxa"/>
          <w:left w:w="0" w:type="dxa"/>
          <w:bottom w:w="0" w:type="dxa"/>
          <w:right w:w="0" w:type="dxa"/>
        </w:tblCellMar>
      </w:tblPr>
      <w:tblGrid>
        <w:gridCol w:w="1940"/>
        <w:gridCol w:w="170"/>
        <w:gridCol w:w="170"/>
        <w:gridCol w:w="815"/>
        <w:gridCol w:w="170"/>
        <w:gridCol w:w="170"/>
        <w:gridCol w:w="725"/>
        <w:gridCol w:w="170"/>
        <w:gridCol w:w="170"/>
        <w:gridCol w:w="785"/>
        <w:gridCol w:w="170"/>
        <w:gridCol w:w="170"/>
        <w:gridCol w:w="710"/>
      </w:tblGrid>
      <w:tr>
        <w:trPr/>
        <w:tc>
          <w:tcPr>
            <w:tcW w:w="1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19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Threshold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Maximum</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 Clemmer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184,361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368,722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52,358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A. Trowbridge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5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57,381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114,762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16,296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Lawrence T. Weiss</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Laura Piccinini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5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28,336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56,672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8,047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Warren G. Nighan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5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40,104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5,694</w:t>
            </w:r>
          </w:p>
        </w:tc>
      </w:tr>
      <w:tr>
        <w:trPr/>
        <w:tc>
          <w:tcPr>
            <w:tcW w:w="19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tbl>
      <w:tblPr>
        <w:tblW w:w="2140" w:type="dxa"/>
        <w:jc w:val="left"/>
        <w:tblInd w:w="0" w:type="dxa"/>
        <w:tblLayout w:type="fixed"/>
        <w:tblCellMar>
          <w:top w:w="0" w:type="dxa"/>
          <w:left w:w="0" w:type="dxa"/>
          <w:bottom w:w="0" w:type="dxa"/>
          <w:right w:w="0" w:type="dxa"/>
        </w:tblCellMar>
      </w:tblPr>
      <w:tblGrid>
        <w:gridCol w:w="260"/>
        <w:gridCol w:w="18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8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Excluding TSR modifier. </w:t>
            </w:r>
          </w:p>
        </w:tc>
      </w:tr>
    </w:tbl>
    <w:tbl>
      <w:tblPr>
        <w:tblW w:w="6985" w:type="dxa"/>
        <w:jc w:val="left"/>
        <w:tblInd w:w="0" w:type="dxa"/>
        <w:tblLayout w:type="fixed"/>
        <w:tblCellMar>
          <w:top w:w="0" w:type="dxa"/>
          <w:left w:w="0" w:type="dxa"/>
          <w:bottom w:w="0" w:type="dxa"/>
          <w:right w:w="0" w:type="dxa"/>
        </w:tblCellMar>
      </w:tblPr>
      <w:tblGrid>
        <w:gridCol w:w="260"/>
        <w:gridCol w:w="672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7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Weiss was hired in December 2024 and did not receive performance share awards in 2024. </w:t>
            </w:r>
          </w:p>
        </w:tc>
      </w:tr>
    </w:tbl>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Compensation Considerations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James Clemmer CEO Employment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 2016, AngioDynamics entered into an employment agreement with James C. Clemmer, appointing Mr. Clemmer as President and Chief Executive Officer of the Company, effective April 4, 2016. Pursuant to that employment agreement, Mr. Clemmer, serves as the Company’s President and CEO for successive one-year terms unless either party notifies the other in writing not later than March 1 immediately prior to the anniversary of the employment agreement effective date. Mr. Clemmer’s employment agreement provides him with an annual base salary ($834,700 in fiscal year 2026) and eligibility for an annual bonus with a target level of 100% of his base salary, payable based upon our achievement of pre-determined financial metrics as discussed in further detail above. In addition, pursuant to the agreement, Mr. Clemmer is eligible to receive (i) an executive car allowance of $1,500 per month (less applicable taxes) and (ii) reimbursement for reasonable business expenses incurred during the period of employment subject to the Company’s expense reimbursement policies. Mr. Clemmer is eligible to participate in the benefit and perquisite plans and programs generally available to senior executives of the Company, including health insurance, life and disability insurance, the Employee Stock Purchase Plan, 401(k) plan and flexible spending plan. The employment agreement also provides Mr. Clemmer with severance benefits in certain circumstances, as more fully described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previously disclosed, Mr. Clemmer has announced his intention to retire on the earlier of November 30, 2026 and appointment of a successor Chief Executive Officer. In connection with Mr. Clemmer’s intention to retire, the Company and Mr. Clemmer entered into a Transition and Retirement Agreement (the “Retirement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53" w:name="ny20083274x1_def14a_110-executive_pg10"/>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which Mr. Clemmer will continue to serve as President and Chief Executive Officer of the Company until the earlier to occur of (i) the appointment of a successor in the role of Chief Executive Officer of the Company and (ii) November 30, 2026. In the absence of a previously established retirement program, the Board of Directors of the Company entered into the Retirement Agreement to allow for the continued vesting of Mr. Clemmer’s previously issued and outstanding equity awards until the later of the termination of Mr. Clemmer’s service to the Company as a consultant or director on the Board (such later date, the “Separation of Service Date”) and certain other related terms. Following the Separation of Service Date, stock options and service-based restricted stock units previously granted to Mr. Clemmer will immediately vest and each outstanding restricted stock unit granted to Mr. Clemmer that is subject to performance-based vesting conditions will remain outstanding and eligible to performance vest in accordance with its terms.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previously disclosed, in connection with Mr. Clemmer’s intention to retire as the President and Chief Executive Officer, on October 3, 2026 the Company entered into an employment agreement with Eric Honroth (the “Honroth Employment Agreement”), pursuant to which Mr. Honroth will succeed Mr. Clemmer and will serve as President and Chief Executive Officer of the Company, effective as of November 2, 2026. In connection with Mr. Honroth’s appointment as President and Chief Executive Officer and in order to support continuity and a smooth transition, on October 5, 2026, Mr. Clemmer entered into a consulting agreement with the Company (the “Consulting Agreement”), pursuant to which Mr. Clemmer will retire and his employment with the Company will terminate as of November 2, 2026 and Mr. Clemmer will provide consulting services to the Company until the first anniversary of his retirement date, unless earlier terminated. In exchange for his services during the term of the Consulting Agreement, Mr. Clemmer will be entitled to receive a consulting fee equal to $30,000 per month and reimbursement of reasonable out-of-pocket expenses, including pre-approved travel expenses. In the event that the Company terminates the Consulting Agreement prior to the end of the term, the Company will pay Mr. Clemmer a lump-sum payment for the balance of the consulting fees that would have been paid to him had the term not been terminated early.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Eric Honroth CEO Employment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previously disclosed, pursuant to the Honroth Employment Agreement, Mr. Honroth will serve as the Company’s President and Chief Executive Officer, commencing on November 2, 2026, for an initial one-year term, which automatically renews for successive one-year periods unless either party notifies the other in writing at least sixty days prior to each anniversary. Mr. Honroth will receive a base salary of $735,000 per year and will be eligible for annual bonuses at a target level of 95% of his base salary, with the annual bonus opportunity in the first calendar year prorated based on the effective date of the Honroth Employment Agreement. Mr. Honroth is eligible to participate in the benefit and perquisite plans and programs generally available to senior executives of the Company, including health insurance, life and disability insurance, the Employee Stock Purchase Plan, 401(k) plan and flexible spending plan. Mr. Honroth’s initial target annual long-term incentive grant value shall equal 350% of his base salary, with the award in the first calendar year prorated based on the effective date of the Honroth Employment Agreement. The initial annual grant shall consist of 50% restricted stock units and 50% performance share units, subject to the terms and conditions of the applicable award agreements and the 2020 Plan. Under the terms of the Employment Agreement and contingent upon the commencement of Mr. Honroth’s service as President and Chief Executive Officer, Mr. Honroth will receive the following grants, effective as of the effective date of the Honroth Employment Agreement: (i) a long-term incentive award equal to 350% of his base salary, with such award prorated based on the effective date of the Honroth Employment Agreement in relation to the Company’s fiscal year and consisting of 50% restricted stock units and 50% performance share units, subject to the terms and conditions of the applicable award agreement, (ii), in order to replace compensation forfeited by Mr. Honroth from his prior employer, a one-time award of restricted stock units with grant-date value equal to $450,000, which such award will vest in two equal installments on the first and second anniversaries of the effective date, subject to Mr. Honroth’s continued employment and (iii) a cash sign-on bonus of $350,000.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the Honroth Employment Agreement, if Mr. Honroth voluntarily resigns from employment without Good Reason (as defined in the Honroth Employment Agreement) or is terminated for Cause (as defined in the Honroth Employment Agreement) before the first anniversary of the effective date, Mr. Honroth shall repay the gross amount of the cash sign-on bonus to the Company within ninety days following the date of termination. No repayment shall be required if Mr. Honroth’s employment terminates due to death, Disability (as defined in the Honroth Employment Agreement), termination by the Company without Cause, or resignation by Mr. Honroth for Good Reason.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54" w:name="ny20083274x1_def14a_110-executive_pg11"/>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Mr. Honroth’s employment is terminated for any reason, Mr. Honroth shall be entitled to: (i) any accrued and unpaid base salary; (ii) payment for accrued and unused vacation time, if required by Company policy or applicable law; (iii) reimbursement for any approved business expenses incurred during the term of employment; and (iv) any rights surviving termination of employment under any employee benefit plan or program or compensation arrangement in which Mr. Honroth participates (the “Accrued Benefits”). If the Company terminates Mr. Honroth’s employment without Cause or Mr. Honroth terminates his employment for Good Reason, Mr. Honroth shall, in addition to the Accrued Benefits, be entitled to the following: (A) continued payment of base salary for a period of 18 months; (B) payment of any earned but unpaid prior year’s annual bonus; (C) continued health insurance, at the Company’s expense, for a period of 18 months, subject to certain exceptions; and (D) all of Mr. Honroth’s outstanding, unvested equity awards granted under the Company’s equity plans shall continue to vest for a period of 12 months, subject to the achievement of any performance vesting conditions, if 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(i) a Change in Control (as defined in the Honroth Employment Agreement) occurs during the term of Mr. Honroth’s employment and (ii) within the 24-month period immediately following such Change in Control, the Company terminates Mr. Honroth’s employment without Cause (other than by reason of death or Disability) or Mr. Honroth resigns for Good Reason, then, subject to the terms of the Honroth Employment Agreement, Mr. Honroth shall be entitled to receive, in addition to the Accrued Benefits, but in lieu of the other payments described above: (A) continued payment of Mr. Honroth’s base salary for a period of 24 months; (B) a lump sum cash payment equal to Mr. Honroth’s target annual bonus for the applicable fiscal year; (C) continued Company-paid health coverage for 18 months, subject to certain exceptions; and (D) notwithstanding anything to the contrary contained in any equity incentive plan or award agreement, all outstanding and unvested equity awards then held by Mr. Honroth shall immediately become fully vested, with any performance-based awards vesting at the level provided in the applicable award agreement or, if the applicable award agreement is silent, at target performance.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 Ownership Guidelines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further align the interests of management and shareholders, we maintain stock ownership guidelines for our senior executive officers, including our named executive officers. Our CEO is required to hold a number of shares with a value equal to three times his or her base salary, while our EVP and CFO and each of our SVPs are required to hold a number of shares with a value equal to one times his or her base salary. A senior executive who holds a number of shares less than the applicable ownership level must hold 100% of all Net Shares (as defined below) granted by the Company until the ownership level is met. “Net Shares” are all shares received pursuant to all Company equity awards excluding shares sold to cover (i) the exercise price of options and/or (ii) taxes. The Compensation and Human Capital Committee is mindful that each individual’s personal circumstances will affect progress toward the targeted levels of stock ownership. Senior executives who are unable to achieve or maintain the targeted level of ownership may consult with the Compensation and Human Capital Committee with respect to a hardship exemption. Each of our named executive officers is currently in compliance with the applicable holding requirements.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Hedging and Pledging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Insider Trading Policy prohibits directors and employees, including named executive officers, from engaging in hedging or monetization transactions, such as zero-cost collars and forward sale contracts, and from engaging in borrowing against AngioDynamics’ securities held in a margin account, or pledging AngioDynamics’ securities as collateral for a loan.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Clawback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award (including an annual cash incentive award as well as a long-term equity-based incentive award) was granted to an AngioDynamics’ executive and the Compensation and Human Capital Committee (or the Board of Directors) later determines that the financial results of the Company used to determine the amount of that award, or any payment under that award, whether to the executive or to the executive’s beneficiary, are materially restated and that such executive engaged in fraud or intentional misconduct with respect to the inputs to, or determination of, such financial results, the Company will seek repayment or recovery of the award, as the Board of Directors in its sole discretion determines is reasonable and appropriate, notwithstanding any contrary provision of any incentive plan. In addition, the Compensation and Human Capital Committee or the Board of Directors may provide that any executive and/or any award, including any shares subject to or issued under an award, is subject to any other recovery, recoupment, clawback and/or other forfeiture policy maintained by the Company from time to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55" w:name="ny20083274x1_def14a_110-executive_pg12"/>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Company has adopted an Executive Compensation Recoupment Policy that provides that the Company will recover reasonably promptly the amount of erroneously awarded incentive based compensation to an executive officer in the event that the Company is required to prepare an accounting restatement due to the material non-compliance of the Company with any financial reporting requirement under the United States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Finally, the Company’s 2004 Plan, as amended, and the 2020 Plan each includes clawback provisions that provide that any award (including annual cash incentive awards as well as long-term equity-based incentive awards) granted to an executive are subject to repayment if the Compensation and Human Capital Committee or the Board of Directors later determines that the financial results of the Company upon which such awards were based are materially restated and such executive engaged in fraud or intentional misconduct in connection with such financial results.</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Perquisites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executives of AngioDynamics are entitled to an automobile allowance of $1,200 per month ($1,500 in the case of our CEO) and we will cover the employee’s expenses for mileage or gas for company related business.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Deferred Compensation Program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sponsor or maintain any non-qualified deferred compensation programs for the benefit of any of our named executive officers. </w:t>
      </w:r>
    </w:p>
    <w:p>
      <w:pPr>
        <w:pStyle w:val="TextBody"/>
        <w:bidi w:val="0"/>
        <w:spacing w:before="2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Severance and Change in Control Arrangements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described more fully below under the heading entitled “Potential Payments Upon Termination or Change in Control,” we maintain various arrangements with our named executive officers under which they may be eligible for severance payments and benefits, including change in control benefits. Given our relative size in our industry and the continued trend toward consolidation in our industry, we believe that we need strong, market competitive change in control benefits to attract and retain key executives. We believe this to be particularly important during and beyond an acquisition to ensure the ongoing success of our business and to maximize value for our shareholders. Each of our change in control agreements contains a “double trigger” whereby there must be both a change in control and a qualifying termination of employment before payment of such benefits thereunder to the executive. We believe that these agreements encourage retention by providing an incentive for the executive to remain with us until the completion of a pending change in control and by providing security to the executive, either in the form of continued employment or severance benefits, following a change in control.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Policies and Practices Relating to Risk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year, the Compensation and Human Capital Committee reviews our compensation programs applicable to all employees and reviews and approves the compensation program applicable to executives, including the named executive officers. Based on the Compensation and Human Capital Committee’s review of the terms and elements of these programs, as well as our practices and policies, the Compensation and Human Capital Committee determined that the Company’s compensation policies and practices are appropriately designed to provide incentives for our employees without creating an inappropriate risk of excessive risk taking. Among other factors, the Compensation and Human Capital Committee’s compensation philosophy generally discourages excessive risk taking by, among other things: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targeting base salary at or near a reasonable range around the 50th percentile of comparable companies, providing meaningful compensation at a competitive and market-appropriate level; </w:t>
            </w:r>
          </w:p>
        </w:tc>
      </w:tr>
    </w:tbl>
    <w:tbl>
      <w:tblPr>
        <w:tblW w:w="9220" w:type="dxa"/>
        <w:jc w:val="left"/>
        <w:tblInd w:w="0" w:type="dxa"/>
        <w:tblLayout w:type="fixed"/>
        <w:tblCellMar>
          <w:top w:w="0" w:type="dxa"/>
          <w:left w:w="0" w:type="dxa"/>
          <w:bottom w:w="0" w:type="dxa"/>
          <w:right w:w="0" w:type="dxa"/>
        </w:tblCellMar>
      </w:tblPr>
      <w:tblGrid>
        <w:gridCol w:w="140"/>
        <w:gridCol w:w="9080"/>
      </w:tblGrid>
      <w:tr>
        <w:trPr/>
        <w:tc>
          <w:tcPr>
            <w:tcW w:w="140" w:type="dxa"/>
            <w:tcBorders/>
            <w:vAlign w:val="center"/>
          </w:tcPr>
          <w:p>
            <w:pPr>
              <w:pStyle w:val="TableContents"/>
              <w:bidi w:val="0"/>
              <w:spacing w:before="0" w:after="0"/>
              <w:jc w:val="left"/>
              <w:rPr>
                <w:color w:val="000000"/>
              </w:rPr>
            </w:pPr>
            <w:r>
              <w:rPr>
                <w:color w:val="000000"/>
              </w:rPr>
              <w:t>•</w:t>
            </w:r>
          </w:p>
        </w:tc>
        <w:tc>
          <w:tcPr>
            <w:tcW w:w="9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designing total compensation programs to include a meaningful amount of long-term incentive compensation;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balancing the composition of the Company’s long-term incentive program to include time based restricted stock units and stock options to go along with performance shares;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capping the total payout of short-term cash incentive opportunities, as well as the maximum number of shares that can be earned under the performance-based component of LTI;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56" w:name="ny20083274x1_def14a_110-executive_pg13"/>
        <w:bookmarkEnd w:id="56"/>
        <w:r>
          <w:rPr>
            <w:rStyle w:val="InternetLink"/>
            <w:rFonts w:ascii="Times New Roman;Times;Serif" w:hAnsi="Times New Roman;Times;Serif"/>
            <w:b/>
            <w:caps w:val="false"/>
            <w:smallCaps w:val="false"/>
            <w:color w:val="000000"/>
            <w:sz w:val="16"/>
          </w:rPr>
          <w:t>TABLE OF CONTENTS</w:t>
        </w:r>
      </w:hyperlink>
    </w:p>
    <w:tbl>
      <w:tblPr>
        <w:tblW w:w="7870" w:type="dxa"/>
        <w:jc w:val="left"/>
        <w:tblInd w:w="0" w:type="dxa"/>
        <w:tblLayout w:type="fixed"/>
        <w:tblCellMar>
          <w:top w:w="0" w:type="dxa"/>
          <w:left w:w="0" w:type="dxa"/>
          <w:bottom w:w="0" w:type="dxa"/>
          <w:right w:w="0" w:type="dxa"/>
        </w:tblCellMar>
      </w:tblPr>
      <w:tblGrid>
        <w:gridCol w:w="140"/>
        <w:gridCol w:w="7730"/>
      </w:tblGrid>
      <w:tr>
        <w:trPr/>
        <w:tc>
          <w:tcPr>
            <w:tcW w:w="140" w:type="dxa"/>
            <w:tcBorders/>
            <w:vAlign w:val="center"/>
          </w:tcPr>
          <w:p>
            <w:pPr>
              <w:pStyle w:val="TableContents"/>
              <w:bidi w:val="0"/>
              <w:spacing w:before="0" w:after="0"/>
              <w:jc w:val="left"/>
              <w:rPr>
                <w:color w:val="000000"/>
              </w:rPr>
            </w:pPr>
            <w:r>
              <w:rPr>
                <w:color w:val="000000"/>
              </w:rPr>
              <w:t>•</w:t>
            </w:r>
          </w:p>
        </w:tc>
        <w:tc>
          <w:tcPr>
            <w:tcW w:w="7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adopting a code of ethics and business conduct applicable to all employees and directors;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maintaining incentive plans that, in aggregate, assess performance multi-dimensionally, including top line, bottom line, TSR and qualitative measures.</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Company’s 2004 Plan, as amended, and the 2020 Plan each includes clawback provisions that provide that any award (including annual cash incentive awards as well as long-term equity-based incentive awards) granted to an executive are subject to repayment if the Compensation and Human Capital Committee or the Board of Directors later determines that the financial results of the Company upon which such awards were based are materially restated and such executive engaged in fraud or intentional misconduct in connection with such financial results. See </w:t>
      </w:r>
      <w:r>
        <w:rPr>
          <w:rFonts w:ascii="Times New Roman;Times;serif" w:hAnsi="Times New Roman;Times;serif"/>
          <w:i/>
          <w:color w:val="000000"/>
          <w:sz w:val="20"/>
        </w:rPr>
        <w:t>Clawback Policy</w:t>
      </w:r>
      <w:r>
        <w:rPr>
          <w:rFonts w:ascii="Times New Roman;Times;serif" w:hAnsi="Times New Roman;Times;serif"/>
          <w:color w:val="000000"/>
          <w:sz w:val="20"/>
        </w:rPr>
        <w:t xml:space="preserve"> set forth in this Compensation Discussion and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the Compensation and Human Capital Committee’s review, the Company has concluded that the risks arising from its compensation policies and practices for its employees are not reasonably likely to have a material adverse effect on the Company.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and Human Capital Committee Report on Executive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and Human Capital Committee of the Board of Directors evaluates and makes recommendations to the Board of Directors regarding the compensation of the CEO and approves the compensation of our other named executive officers. The Compensation and Human Capital Committee also administers all executive compensation programs, incentive compensation plans and equity-based plans and all other compensation and benefit programs currently in place. We have reviewed and discussed the foregoing Compensation Discussion and Analysis with management. Based on our review and discussion with management, we have recommended to the Board that the Compensation Discussion and Analysis be included in this proxy statement for filing with the SEC. </w:t>
      </w:r>
    </w:p>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Eileen O. Auen (Chair)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Lorinda Burgess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Karen A. Licitra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Michael E. Tarnoff</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57" w:name="ny20083274x1_def14a_111-sumcomp_pg1"/>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8" w:name="tSCT"/>
      <w:bookmarkEnd w:id="58"/>
      <w:r>
        <w:rPr>
          <w:rFonts w:ascii="Times New Roman;Times;serif" w:hAnsi="Times New Roman;Times;serif"/>
          <w:b/>
          <w:color w:val="000000"/>
          <w:sz w:val="20"/>
        </w:rPr>
        <w:t xml:space="preserve">Summary Compensation Table for Fiscal Year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concerning the compensation for services, in all capacities for our fiscal year ended May 31, 2026 of our named executive officers. </w:t>
      </w:r>
    </w:p>
    <w:tbl>
      <w:tblPr>
        <w:tblW w:w="11600" w:type="dxa"/>
        <w:jc w:val="left"/>
        <w:tblInd w:w="0" w:type="dxa"/>
        <w:tblLayout w:type="fixed"/>
        <w:tblCellMar>
          <w:top w:w="0" w:type="dxa"/>
          <w:left w:w="0" w:type="dxa"/>
          <w:bottom w:w="0" w:type="dxa"/>
          <w:right w:w="0" w:type="dxa"/>
        </w:tblCellMar>
      </w:tblPr>
      <w:tblGrid>
        <w:gridCol w:w="1475"/>
        <w:gridCol w:w="170"/>
        <w:gridCol w:w="170"/>
        <w:gridCol w:w="470"/>
        <w:gridCol w:w="170"/>
        <w:gridCol w:w="170"/>
        <w:gridCol w:w="635"/>
        <w:gridCol w:w="170"/>
        <w:gridCol w:w="170"/>
        <w:gridCol w:w="485"/>
        <w:gridCol w:w="170"/>
        <w:gridCol w:w="170"/>
        <w:gridCol w:w="770"/>
        <w:gridCol w:w="170"/>
        <w:gridCol w:w="170"/>
        <w:gridCol w:w="635"/>
        <w:gridCol w:w="170"/>
        <w:gridCol w:w="170"/>
        <w:gridCol w:w="1085"/>
        <w:gridCol w:w="170"/>
        <w:gridCol w:w="170"/>
        <w:gridCol w:w="1085"/>
        <w:gridCol w:w="170"/>
        <w:gridCol w:w="170"/>
        <w:gridCol w:w="1085"/>
        <w:gridCol w:w="170"/>
        <w:gridCol w:w="170"/>
        <w:gridCol w:w="815"/>
      </w:tblGrid>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14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Pension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Nonqualified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Deferred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Earnings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(4)</w:t>
            </w: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47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James C. Clemmer</w:t>
            </w:r>
          </w:p>
          <w:p>
            <w:pPr>
              <w:pStyle w:val="TableContents"/>
              <w:bidi w:val="0"/>
              <w:spacing w:before="0" w:after="283"/>
              <w:ind w:left="164" w:right="0" w:hanging="0"/>
              <w:jc w:val="left"/>
              <w:rPr>
                <w:rFonts w:ascii="Times New Roman;Times;serif" w:hAnsi="Times New Roman;Times;serif"/>
                <w:color w:val="000000"/>
                <w:sz w:val="16"/>
              </w:rPr>
            </w:pPr>
            <w:r>
              <w:rPr>
                <w:rFonts w:ascii="Times New Roman;Times;serif" w:hAnsi="Times New Roman;Times;serif"/>
                <w:color w:val="000000"/>
                <w:sz w:val="16"/>
              </w:rPr>
              <w:t>President, CEO</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36" w:right="0" w:hanging="0"/>
              <w:jc w:val="left"/>
              <w:rPr>
                <w:rFonts w:ascii="Times New Roman;Times;serif" w:hAnsi="Times New Roman;Times;serif"/>
                <w:color w:val="000000"/>
                <w:sz w:val="16"/>
              </w:rPr>
            </w:pPr>
            <w:r>
              <w:rPr>
                <w:rFonts w:ascii="Times New Roman;Times;serif" w:hAnsi="Times New Roman;Times;serif"/>
                <w:color w:val="000000"/>
                <w:sz w:val="16"/>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828,171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16"/>
              </w:rPr>
            </w:pPr>
            <w:r>
              <w:rPr>
                <w:rFonts w:ascii="Times New Roman;Times;serif" w:hAnsi="Times New Roman;Times;serif"/>
                <w:color w:val="000000"/>
                <w:sz w:val="16"/>
              </w:rPr>
              <w:t>3,689,866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16"/>
              </w:rPr>
            </w:pPr>
            <w:r>
              <w:rPr>
                <w:rFonts w:ascii="Times New Roman;Times;serif" w:hAnsi="Times New Roman;Times;serif"/>
                <w:color w:val="000000"/>
                <w:sz w:val="16"/>
              </w:rPr>
              <w:t>1,502,491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1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16"/>
              </w:rPr>
            </w:pPr>
            <w:r>
              <w:rPr>
                <w:rFonts w:ascii="Times New Roman;Times;serif" w:hAnsi="Times New Roman;Times;serif"/>
                <w:color w:val="000000"/>
                <w:sz w:val="16"/>
              </w:rPr>
              <w:t>39,617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6,060,145 </w:t>
            </w:r>
          </w:p>
        </w:tc>
      </w:tr>
      <w:tr>
        <w:trPr/>
        <w:tc>
          <w:tcPr>
            <w:tcW w:w="147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36"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803,027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16"/>
              </w:rPr>
            </w:pPr>
            <w:r>
              <w:rPr>
                <w:rFonts w:ascii="Times New Roman;Times;serif" w:hAnsi="Times New Roman;Times;serif"/>
                <w:color w:val="000000"/>
                <w:sz w:val="16"/>
              </w:rPr>
              <w:t>2,628,871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808,207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16"/>
              </w:rPr>
            </w:pPr>
            <w:r>
              <w:rPr>
                <w:rFonts w:ascii="Times New Roman;Times;serif" w:hAnsi="Times New Roman;Times;serif"/>
                <w:color w:val="000000"/>
                <w:sz w:val="16"/>
              </w:rPr>
              <w:t>1,215,608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1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16"/>
              </w:rPr>
            </w:pPr>
            <w:r>
              <w:rPr>
                <w:rFonts w:ascii="Times New Roman;Times;serif" w:hAnsi="Times New Roman;Times;serif"/>
                <w:color w:val="000000"/>
                <w:sz w:val="16"/>
              </w:rPr>
              <w:t>38,572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5,494,285 </w:t>
            </w:r>
          </w:p>
        </w:tc>
      </w:tr>
      <w:tr>
        <w:trPr/>
        <w:tc>
          <w:tcPr>
            <w:tcW w:w="147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36"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783,000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16"/>
              </w:rPr>
            </w:pPr>
            <w:r>
              <w:rPr>
                <w:rFonts w:ascii="Times New Roman;Times;serif" w:hAnsi="Times New Roman;Times;serif"/>
                <w:color w:val="000000"/>
                <w:sz w:val="16"/>
              </w:rPr>
              <w:t>2,579,215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820,002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16"/>
              </w:rPr>
            </w:pPr>
            <w:r>
              <w:rPr>
                <w:rFonts w:ascii="Times New Roman;Times;serif" w:hAnsi="Times New Roman;Times;serif"/>
                <w:color w:val="000000"/>
                <w:sz w:val="16"/>
              </w:rPr>
              <w:t>783,000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1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16"/>
              </w:rPr>
            </w:pPr>
            <w:r>
              <w:rPr>
                <w:rFonts w:ascii="Times New Roman;Times;serif" w:hAnsi="Times New Roman;Times;serif"/>
                <w:color w:val="000000"/>
                <w:sz w:val="16"/>
              </w:rPr>
              <w:t>40,754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5,005,971 </w:t>
            </w:r>
          </w:p>
        </w:tc>
      </w:tr>
      <w:tr>
        <w:trPr/>
        <w:tc>
          <w:tcPr>
            <w:tcW w:w="147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Stephen A. Trowbridge</w:t>
            </w:r>
          </w:p>
          <w:p>
            <w:pPr>
              <w:pStyle w:val="TableContents"/>
              <w:bidi w:val="0"/>
              <w:spacing w:before="0" w:after="283"/>
              <w:ind w:left="164" w:right="0" w:hanging="0"/>
              <w:jc w:val="left"/>
              <w:rPr>
                <w:rFonts w:ascii="Times New Roman;Times;serif" w:hAnsi="Times New Roman;Times;serif"/>
                <w:color w:val="000000"/>
                <w:sz w:val="16"/>
              </w:rPr>
            </w:pPr>
            <w:r>
              <w:rPr>
                <w:rFonts w:ascii="Times New Roman;Times;serif" w:hAnsi="Times New Roman;Times;serif"/>
                <w:color w:val="000000"/>
                <w:sz w:val="16"/>
              </w:rPr>
              <w:t>EVP, CFO</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36" w:right="0" w:hanging="0"/>
              <w:jc w:val="left"/>
              <w:rPr>
                <w:rFonts w:ascii="Times New Roman;Times;serif" w:hAnsi="Times New Roman;Times;serif"/>
                <w:color w:val="000000"/>
                <w:sz w:val="16"/>
              </w:rPr>
            </w:pPr>
            <w:r>
              <w:rPr>
                <w:rFonts w:ascii="Times New Roman;Times;serif" w:hAnsi="Times New Roman;Times;serif"/>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471,305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9" w:right="0" w:hanging="0"/>
              <w:jc w:val="left"/>
              <w:rPr>
                <w:rFonts w:ascii="Times New Roman;Times;serif" w:hAnsi="Times New Roman;Times;serif"/>
                <w:color w:val="000000"/>
                <w:sz w:val="16"/>
              </w:rPr>
            </w:pPr>
            <w:r>
              <w:rPr>
                <w:rFonts w:ascii="Times New Roman;Times;serif" w:hAnsi="Times New Roman;Times;serif"/>
                <w:color w:val="000000"/>
                <w:sz w:val="16"/>
              </w:rPr>
              <w:t>1,556,376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5" w:right="0" w:hanging="0"/>
              <w:jc w:val="left"/>
              <w:rPr>
                <w:rFonts w:ascii="Times New Roman;Times;serif" w:hAnsi="Times New Roman;Times;serif"/>
                <w:color w:val="000000"/>
                <w:sz w:val="16"/>
              </w:rPr>
            </w:pPr>
            <w:r>
              <w:rPr>
                <w:rFonts w:ascii="Times New Roman;Times;serif" w:hAnsi="Times New Roman;Times;serif"/>
                <w:color w:val="000000"/>
                <w:sz w:val="16"/>
              </w:rPr>
              <w:t>598,538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1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68" w:right="0" w:hanging="0"/>
              <w:jc w:val="left"/>
              <w:rPr>
                <w:rFonts w:ascii="Times New Roman;Times;serif" w:hAnsi="Times New Roman;Times;serif"/>
                <w:color w:val="000000"/>
                <w:sz w:val="16"/>
              </w:rPr>
            </w:pPr>
            <w:r>
              <w:rPr>
                <w:rFonts w:ascii="Times New Roman;Times;serif" w:hAnsi="Times New Roman;Times;serif"/>
                <w:color w:val="000000"/>
                <w:sz w:val="16"/>
              </w:rPr>
              <w:t>35,751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2,661,970 </w:t>
            </w:r>
          </w:p>
        </w:tc>
      </w:tr>
      <w:tr>
        <w:trPr/>
        <w:tc>
          <w:tcPr>
            <w:tcW w:w="147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36"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455,847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9" w:right="0" w:hanging="0"/>
              <w:jc w:val="left"/>
              <w:rPr>
                <w:rFonts w:ascii="Times New Roman;Times;serif" w:hAnsi="Times New Roman;Times;serif"/>
                <w:color w:val="000000"/>
                <w:sz w:val="16"/>
              </w:rPr>
            </w:pPr>
            <w:r>
              <w:rPr>
                <w:rFonts w:ascii="Times New Roman;Times;serif" w:hAnsi="Times New Roman;Times;serif"/>
                <w:color w:val="000000"/>
                <w:sz w:val="16"/>
              </w:rPr>
              <w:t>934,085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287,497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5" w:right="0" w:hanging="0"/>
              <w:jc w:val="left"/>
              <w:rPr>
                <w:rFonts w:ascii="Times New Roman;Times;serif" w:hAnsi="Times New Roman;Times;serif"/>
                <w:color w:val="000000"/>
                <w:sz w:val="16"/>
              </w:rPr>
            </w:pPr>
            <w:r>
              <w:rPr>
                <w:rFonts w:ascii="Times New Roman;Times;serif" w:hAnsi="Times New Roman;Times;serif"/>
                <w:color w:val="000000"/>
                <w:sz w:val="16"/>
              </w:rPr>
              <w:t>449,664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1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68" w:right="0" w:hanging="0"/>
              <w:jc w:val="left"/>
              <w:rPr>
                <w:rFonts w:ascii="Times New Roman;Times;serif" w:hAnsi="Times New Roman;Times;serif"/>
                <w:color w:val="000000"/>
                <w:sz w:val="16"/>
              </w:rPr>
            </w:pPr>
            <w:r>
              <w:rPr>
                <w:rFonts w:ascii="Times New Roman;Times;serif" w:hAnsi="Times New Roman;Times;serif"/>
                <w:color w:val="000000"/>
                <w:sz w:val="16"/>
              </w:rPr>
              <w:t>34,704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2,161,797 </w:t>
            </w:r>
          </w:p>
        </w:tc>
      </w:tr>
      <w:tr>
        <w:trPr/>
        <w:tc>
          <w:tcPr>
            <w:tcW w:w="147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36"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441,334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9" w:right="0" w:hanging="0"/>
              <w:jc w:val="left"/>
              <w:rPr>
                <w:rFonts w:ascii="Times New Roman;Times;serif" w:hAnsi="Times New Roman;Times;serif"/>
                <w:color w:val="000000"/>
                <w:sz w:val="16"/>
              </w:rPr>
            </w:pPr>
            <w:r>
              <w:rPr>
                <w:rFonts w:ascii="Times New Roman;Times;serif" w:hAnsi="Times New Roman;Times;serif"/>
                <w:color w:val="000000"/>
                <w:sz w:val="16"/>
              </w:rPr>
              <w:t>802,765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255,219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5" w:right="0" w:hanging="0"/>
              <w:jc w:val="left"/>
              <w:rPr>
                <w:rFonts w:ascii="Times New Roman;Times;serif" w:hAnsi="Times New Roman;Times;serif"/>
                <w:color w:val="000000"/>
                <w:sz w:val="16"/>
              </w:rPr>
            </w:pPr>
            <w:r>
              <w:rPr>
                <w:rFonts w:ascii="Times New Roman;Times;serif" w:hAnsi="Times New Roman;Times;serif"/>
                <w:color w:val="000000"/>
                <w:sz w:val="16"/>
              </w:rPr>
              <w:t>286,867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1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68" w:right="0" w:hanging="0"/>
              <w:jc w:val="left"/>
              <w:rPr>
                <w:rFonts w:ascii="Times New Roman;Times;serif" w:hAnsi="Times New Roman;Times;serif"/>
                <w:color w:val="000000"/>
                <w:sz w:val="16"/>
              </w:rPr>
            </w:pPr>
            <w:r>
              <w:rPr>
                <w:rFonts w:ascii="Times New Roman;Times;serif" w:hAnsi="Times New Roman;Times;serif"/>
                <w:color w:val="000000"/>
                <w:sz w:val="16"/>
              </w:rPr>
              <w:t>36,069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1,822,254 </w:t>
            </w:r>
          </w:p>
        </w:tc>
      </w:tr>
      <w:tr>
        <w:trPr/>
        <w:tc>
          <w:tcPr>
            <w:tcW w:w="147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Lawrence T. Weiss </w:t>
            </w:r>
          </w:p>
          <w:p>
            <w:pPr>
              <w:pStyle w:val="TableContents"/>
              <w:bidi w:val="0"/>
              <w:spacing w:before="0" w:after="283"/>
              <w:ind w:left="164" w:right="0" w:hanging="0"/>
              <w:jc w:val="left"/>
              <w:rPr>
                <w:rFonts w:ascii="Times New Roman;Times;serif" w:hAnsi="Times New Roman;Times;serif"/>
                <w:color w:val="000000"/>
                <w:sz w:val="16"/>
              </w:rPr>
            </w:pPr>
            <w:r>
              <w:rPr>
                <w:rFonts w:ascii="Times New Roman;Times;serif" w:hAnsi="Times New Roman;Times;serif"/>
                <w:color w:val="000000"/>
                <w:sz w:val="16"/>
              </w:rPr>
              <w:t>SVP, Chief Legal Officer &amp; Corporate Secretary</w:t>
            </w:r>
            <w:r>
              <w:rPr>
                <w:rFonts w:ascii="Times New Roman;Times;serif" w:hAnsi="Times New Roman;Times;serif"/>
                <w:color w:val="000000"/>
                <w:position w:val="5"/>
                <w:sz w:val="13"/>
                <w:sz w:val="16"/>
              </w:rPr>
              <w:t>(6)</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36" w:right="0" w:hanging="0"/>
              <w:jc w:val="left"/>
              <w:rPr>
                <w:rFonts w:ascii="Times New Roman;Times;serif" w:hAnsi="Times New Roman;Times;serif"/>
                <w:color w:val="000000"/>
                <w:sz w:val="16"/>
              </w:rPr>
            </w:pPr>
            <w:r>
              <w:rPr>
                <w:rFonts w:ascii="Times New Roman;Times;serif" w:hAnsi="Times New Roman;Times;serif"/>
                <w:color w:val="000000"/>
                <w:sz w:val="16"/>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439,427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16"/>
              </w:rPr>
            </w:pPr>
            <w:r>
              <w:rPr>
                <w:rFonts w:ascii="Times New Roman;Times;serif" w:hAnsi="Times New Roman;Times;serif"/>
                <w:color w:val="000000"/>
                <w:sz w:val="16"/>
              </w:rPr>
              <w:t>552,801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16"/>
              </w:rPr>
            </w:pPr>
            <w:r>
              <w:rPr>
                <w:rFonts w:ascii="Times New Roman;Times;serif" w:hAnsi="Times New Roman;Times;serif"/>
                <w:color w:val="000000"/>
                <w:sz w:val="16"/>
              </w:rPr>
              <w:t>478,332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1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16"/>
              </w:rPr>
            </w:pPr>
            <w:r>
              <w:rPr>
                <w:rFonts w:ascii="Times New Roman;Times;serif" w:hAnsi="Times New Roman;Times;serif"/>
                <w:color w:val="000000"/>
                <w:sz w:val="16"/>
              </w:rPr>
              <w:t>23,769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1,494,329 </w:t>
            </w:r>
          </w:p>
        </w:tc>
      </w:tr>
      <w:tr>
        <w:trPr/>
        <w:tc>
          <w:tcPr>
            <w:tcW w:w="147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36"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206,731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16"/>
              </w:rPr>
            </w:pPr>
            <w:r>
              <w:rPr>
                <w:rFonts w:ascii="Times New Roman;Times;serif" w:hAnsi="Times New Roman;Times;serif"/>
                <w:color w:val="000000"/>
                <w:sz w:val="16"/>
              </w:rPr>
              <w:t>376,257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386,656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16"/>
              </w:rPr>
            </w:pPr>
            <w:r>
              <w:rPr>
                <w:rFonts w:ascii="Times New Roman;Times;serif" w:hAnsi="Times New Roman;Times;serif"/>
                <w:color w:val="000000"/>
                <w:sz w:val="16"/>
              </w:rPr>
              <w:t>193,500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1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16"/>
              </w:rPr>
            </w:pPr>
            <w:r>
              <w:rPr>
                <w:rFonts w:ascii="Times New Roman;Times;serif" w:hAnsi="Times New Roman;Times;serif"/>
                <w:color w:val="000000"/>
                <w:sz w:val="16"/>
              </w:rPr>
              <w:t>6,923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1,170,067 </w:t>
            </w:r>
          </w:p>
        </w:tc>
      </w:tr>
      <w:tr>
        <w:trPr/>
        <w:tc>
          <w:tcPr>
            <w:tcW w:w="147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Laura Piccinini</w:t>
            </w:r>
            <w:r>
              <w:rPr>
                <w:rFonts w:ascii="Times New Roman;Times;serif" w:hAnsi="Times New Roman;Times;serif"/>
                <w:color w:val="000000"/>
                <w:position w:val="5"/>
                <w:sz w:val="13"/>
                <w:sz w:val="16"/>
              </w:rPr>
              <w:t>(5)</w:t>
            </w:r>
          </w:p>
          <w:p>
            <w:pPr>
              <w:pStyle w:val="TableContents"/>
              <w:bidi w:val="0"/>
              <w:spacing w:before="0" w:after="283"/>
              <w:ind w:left="164" w:right="0" w:hanging="0"/>
              <w:jc w:val="left"/>
              <w:rPr>
                <w:rFonts w:ascii="Times New Roman;Times;serif" w:hAnsi="Times New Roman;Times;serif"/>
                <w:color w:val="000000"/>
                <w:sz w:val="16"/>
              </w:rPr>
            </w:pPr>
            <w:r>
              <w:rPr>
                <w:rFonts w:ascii="Times New Roman;Times;serif" w:hAnsi="Times New Roman;Times;serif"/>
                <w:color w:val="000000"/>
                <w:sz w:val="16"/>
              </w:rPr>
              <w:t>SVP &amp; GM, Cardiovascular and International</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36" w:right="0" w:hanging="0"/>
              <w:jc w:val="left"/>
              <w:rPr>
                <w:rFonts w:ascii="Times New Roman;Times;serif" w:hAnsi="Times New Roman;Times;serif"/>
                <w:color w:val="000000"/>
                <w:sz w:val="16"/>
              </w:rPr>
            </w:pPr>
            <w:r>
              <w:rPr>
                <w:rFonts w:ascii="Times New Roman;Times;serif" w:hAnsi="Times New Roman;Times;serif"/>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470,563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9" w:right="0" w:hanging="0"/>
              <w:jc w:val="left"/>
              <w:rPr>
                <w:rFonts w:ascii="Times New Roman;Times;serif" w:hAnsi="Times New Roman;Times;serif"/>
                <w:color w:val="000000"/>
                <w:sz w:val="16"/>
              </w:rPr>
            </w:pPr>
            <w:r>
              <w:rPr>
                <w:rFonts w:ascii="Times New Roman;Times;serif" w:hAnsi="Times New Roman;Times;serif"/>
                <w:color w:val="000000"/>
                <w:sz w:val="16"/>
              </w:rPr>
              <w:t>580,047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5" w:right="0" w:hanging="0"/>
              <w:jc w:val="left"/>
              <w:rPr>
                <w:rFonts w:ascii="Times New Roman;Times;serif" w:hAnsi="Times New Roman;Times;serif"/>
                <w:color w:val="000000"/>
                <w:sz w:val="16"/>
              </w:rPr>
            </w:pPr>
            <w:r>
              <w:rPr>
                <w:rFonts w:ascii="Times New Roman;Times;serif" w:hAnsi="Times New Roman;Times;serif"/>
                <w:color w:val="000000"/>
                <w:sz w:val="16"/>
              </w:rPr>
              <w:t>500,422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1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68" w:right="0" w:hanging="0"/>
              <w:jc w:val="left"/>
              <w:rPr>
                <w:rFonts w:ascii="Times New Roman;Times;serif" w:hAnsi="Times New Roman;Times;serif"/>
                <w:color w:val="000000"/>
                <w:sz w:val="16"/>
              </w:rPr>
            </w:pPr>
            <w:r>
              <w:rPr>
                <w:rFonts w:ascii="Times New Roman;Times;serif" w:hAnsi="Times New Roman;Times;serif"/>
                <w:color w:val="000000"/>
                <w:sz w:val="16"/>
              </w:rPr>
              <w:t>57,655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1,608,687 </w:t>
            </w:r>
          </w:p>
        </w:tc>
      </w:tr>
      <w:tr>
        <w:trPr/>
        <w:tc>
          <w:tcPr>
            <w:tcW w:w="147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36"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410,056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9" w:right="0" w:hanging="0"/>
              <w:jc w:val="left"/>
              <w:rPr>
                <w:rFonts w:ascii="Times New Roman;Times;serif" w:hAnsi="Times New Roman;Times;serif"/>
                <w:color w:val="000000"/>
                <w:sz w:val="16"/>
              </w:rPr>
            </w:pPr>
            <w:r>
              <w:rPr>
                <w:rFonts w:ascii="Times New Roman;Times;serif" w:hAnsi="Times New Roman;Times;serif"/>
                <w:color w:val="000000"/>
                <w:sz w:val="16"/>
              </w:rPr>
              <w:t>414,834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112,291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5" w:right="0" w:hanging="0"/>
              <w:jc w:val="left"/>
              <w:rPr>
                <w:rFonts w:ascii="Times New Roman;Times;serif" w:hAnsi="Times New Roman;Times;serif"/>
                <w:color w:val="000000"/>
                <w:sz w:val="16"/>
              </w:rPr>
            </w:pPr>
            <w:r>
              <w:rPr>
                <w:rFonts w:ascii="Times New Roman;Times;serif" w:hAnsi="Times New Roman;Times;serif"/>
                <w:color w:val="000000"/>
                <w:sz w:val="16"/>
              </w:rPr>
              <w:t>371,758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1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68" w:right="0" w:hanging="0"/>
              <w:jc w:val="left"/>
              <w:rPr>
                <w:rFonts w:ascii="Times New Roman;Times;serif" w:hAnsi="Times New Roman;Times;serif"/>
                <w:color w:val="000000"/>
                <w:sz w:val="16"/>
              </w:rPr>
            </w:pPr>
            <w:r>
              <w:rPr>
                <w:rFonts w:ascii="Times New Roman;Times;serif" w:hAnsi="Times New Roman;Times;serif"/>
                <w:color w:val="000000"/>
                <w:sz w:val="16"/>
              </w:rPr>
              <w:t>60,487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1,369,426 </w:t>
            </w:r>
          </w:p>
        </w:tc>
      </w:tr>
      <w:tr>
        <w:trPr/>
        <w:tc>
          <w:tcPr>
            <w:tcW w:w="147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36"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401,282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3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9" w:right="0" w:hanging="0"/>
              <w:jc w:val="left"/>
              <w:rPr>
                <w:rFonts w:ascii="Times New Roman;Times;serif" w:hAnsi="Times New Roman;Times;serif"/>
                <w:color w:val="000000"/>
                <w:sz w:val="16"/>
              </w:rPr>
            </w:pPr>
            <w:r>
              <w:rPr>
                <w:rFonts w:ascii="Times New Roman;Times;serif" w:hAnsi="Times New Roman;Times;serif"/>
                <w:color w:val="000000"/>
                <w:sz w:val="16"/>
              </w:rPr>
              <w:t>396,421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126,032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5" w:right="0" w:hanging="0"/>
              <w:jc w:val="left"/>
              <w:rPr>
                <w:rFonts w:ascii="Times New Roman;Times;serif" w:hAnsi="Times New Roman;Times;serif"/>
                <w:color w:val="000000"/>
                <w:sz w:val="16"/>
              </w:rPr>
            </w:pPr>
            <w:r>
              <w:rPr>
                <w:rFonts w:ascii="Times New Roman;Times;serif" w:hAnsi="Times New Roman;Times;serif"/>
                <w:color w:val="000000"/>
                <w:sz w:val="16"/>
              </w:rPr>
              <w:t>240,769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1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68" w:right="0" w:hanging="0"/>
              <w:jc w:val="left"/>
              <w:rPr>
                <w:rFonts w:ascii="Times New Roman;Times;serif" w:hAnsi="Times New Roman;Times;serif"/>
                <w:color w:val="000000"/>
                <w:sz w:val="16"/>
              </w:rPr>
            </w:pPr>
            <w:r>
              <w:rPr>
                <w:rFonts w:ascii="Times New Roman;Times;serif" w:hAnsi="Times New Roman;Times;serif"/>
                <w:color w:val="000000"/>
                <w:sz w:val="16"/>
              </w:rPr>
              <w:t>64,876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1,229,380 </w:t>
            </w:r>
          </w:p>
        </w:tc>
      </w:tr>
      <w:tr>
        <w:trPr/>
        <w:tc>
          <w:tcPr>
            <w:tcW w:w="147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Warren Nighan</w:t>
            </w:r>
          </w:p>
          <w:p>
            <w:pPr>
              <w:pStyle w:val="TableContents"/>
              <w:bidi w:val="0"/>
              <w:spacing w:before="0" w:after="283"/>
              <w:ind w:left="164"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SVP &amp; GM, Global Supply Chain, Quality and Regulatory Affairs </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36" w:right="0" w:hanging="0"/>
              <w:jc w:val="left"/>
              <w:rPr>
                <w:rFonts w:ascii="Times New Roman;Times;serif" w:hAnsi="Times New Roman;Times;serif"/>
                <w:color w:val="000000"/>
                <w:sz w:val="16"/>
              </w:rPr>
            </w:pPr>
            <w:r>
              <w:rPr>
                <w:rFonts w:ascii="Times New Roman;Times;serif" w:hAnsi="Times New Roman;Times;serif"/>
                <w:color w:val="000000"/>
                <w:sz w:val="16"/>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416,304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16"/>
              </w:rPr>
            </w:pPr>
            <w:r>
              <w:rPr>
                <w:rFonts w:ascii="Times New Roman;Times;serif" w:hAnsi="Times New Roman;Times;serif"/>
                <w:color w:val="000000"/>
                <w:sz w:val="16"/>
              </w:rPr>
              <w:t>525,054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16"/>
              </w:rPr>
            </w:pPr>
            <w:r>
              <w:rPr>
                <w:rFonts w:ascii="Times New Roman;Times;serif" w:hAnsi="Times New Roman;Times;serif"/>
                <w:color w:val="000000"/>
                <w:sz w:val="16"/>
              </w:rPr>
              <w:t>454,313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1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16"/>
              </w:rPr>
            </w:pPr>
            <w:r>
              <w:rPr>
                <w:rFonts w:ascii="Times New Roman;Times;serif" w:hAnsi="Times New Roman;Times;serif"/>
                <w:color w:val="000000"/>
                <w:sz w:val="16"/>
              </w:rPr>
              <w:t>35,811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1,431,482 </w:t>
            </w:r>
          </w:p>
        </w:tc>
      </w:tr>
      <w:tr>
        <w:trPr/>
        <w:tc>
          <w:tcPr>
            <w:tcW w:w="147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36"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401,309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16"/>
              </w:rPr>
            </w:pPr>
            <w:r>
              <w:rPr>
                <w:rFonts w:ascii="Times New Roman;Times;serif" w:hAnsi="Times New Roman;Times;serif"/>
                <w:color w:val="000000"/>
                <w:sz w:val="16"/>
              </w:rPr>
              <w:t>337,186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88,391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16"/>
              </w:rPr>
            </w:pPr>
            <w:r>
              <w:rPr>
                <w:rFonts w:ascii="Times New Roman;Times;serif" w:hAnsi="Times New Roman;Times;serif"/>
                <w:color w:val="000000"/>
                <w:sz w:val="16"/>
              </w:rPr>
              <w:t>303,361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1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16"/>
              </w:rPr>
            </w:pPr>
            <w:r>
              <w:rPr>
                <w:rFonts w:ascii="Times New Roman;Times;serif" w:hAnsi="Times New Roman;Times;serif"/>
                <w:color w:val="000000"/>
                <w:sz w:val="16"/>
              </w:rPr>
              <w:t>34,899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1,165,146 </w:t>
            </w:r>
          </w:p>
        </w:tc>
      </w:tr>
      <w:tr>
        <w:trPr/>
        <w:tc>
          <w:tcPr>
            <w:tcW w:w="147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36"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392,700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16"/>
              </w:rPr>
            </w:pPr>
            <w:r>
              <w:rPr>
                <w:rFonts w:ascii="Times New Roman;Times;serif" w:hAnsi="Times New Roman;Times;serif"/>
                <w:color w:val="000000"/>
                <w:sz w:val="16"/>
              </w:rPr>
              <w:t>280,527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89,188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16"/>
              </w:rPr>
            </w:pPr>
            <w:r>
              <w:rPr>
                <w:rFonts w:ascii="Times New Roman;Times;serif" w:hAnsi="Times New Roman;Times;serif"/>
                <w:color w:val="000000"/>
                <w:sz w:val="16"/>
              </w:rPr>
              <w:t>196,350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1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16"/>
              </w:rPr>
            </w:pPr>
            <w:r>
              <w:rPr>
                <w:rFonts w:ascii="Times New Roman;Times;serif" w:hAnsi="Times New Roman;Times;serif"/>
                <w:color w:val="000000"/>
                <w:sz w:val="16"/>
              </w:rPr>
              <w:t>36,317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995,082</w:t>
            </w:r>
          </w:p>
        </w:tc>
      </w:tr>
      <w:tr>
        <w:trPr/>
        <w:tc>
          <w:tcPr>
            <w:tcW w:w="14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b/>
                <w:color w:val="000000"/>
                <w:sz w:val="16"/>
              </w:rPr>
              <w:t xml:space="preserve">Stock Awards: </w:t>
            </w:r>
            <w:r>
              <w:rPr>
                <w:rFonts w:ascii="Times New Roman;Times;serif" w:hAnsi="Times New Roman;Times;serif"/>
                <w:color w:val="000000"/>
                <w:sz w:val="16"/>
              </w:rPr>
              <w:t xml:space="preserve">The stock awards column represents aggregate grant date fair value of restricted stock unit awards and performance share awards granted in the respective fiscal year as computed in accordance with FASB ASC Topic 718, Compensation - Stock Compensation. Accordingly, the grant date fair value of restricted stock units was determined by multiplying the number of restricted stock units by the closing stock price on the date of grant, while the grant date fair value of performance share awards was determined using a Monte Carlo simulation. The assumptions used in the valuation of stock-based awards are discussed in Note 13 to our Audited Consolidated Financial Statements included in our Annual Report on Form 10-K for the fiscal year ended May 31, 2026. The table below shows the grant date fair value of the performance share awards included in the stock awards column for each year, and the maximum grant date value assuming that the highest level of performance conditions was achieved: </w:t>
            </w:r>
          </w:p>
        </w:tc>
      </w:tr>
    </w:tbl>
    <w:tbl>
      <w:tblPr>
        <w:tblW w:w="5885" w:type="dxa"/>
        <w:jc w:val="left"/>
        <w:tblInd w:w="0" w:type="dxa"/>
        <w:tblLayout w:type="fixed"/>
        <w:tblCellMar>
          <w:top w:w="0" w:type="dxa"/>
          <w:left w:w="0" w:type="dxa"/>
          <w:bottom w:w="0" w:type="dxa"/>
          <w:right w:w="0" w:type="dxa"/>
        </w:tblCellMar>
      </w:tblPr>
      <w:tblGrid>
        <w:gridCol w:w="1700"/>
        <w:gridCol w:w="170"/>
        <w:gridCol w:w="170"/>
        <w:gridCol w:w="890"/>
        <w:gridCol w:w="170"/>
        <w:gridCol w:w="170"/>
        <w:gridCol w:w="1295"/>
        <w:gridCol w:w="170"/>
        <w:gridCol w:w="170"/>
        <w:gridCol w:w="980"/>
      </w:tblGrid>
      <w:tr>
        <w:trPr/>
        <w:tc>
          <w:tcPr>
            <w:tcW w:w="17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45" w:type="dxa"/>
            <w:gridSpan w:val="7"/>
            <w:tcBorders/>
            <w:vAlign w:val="center"/>
          </w:tcPr>
          <w:p>
            <w:pPr>
              <w:pStyle w:val="TableContents"/>
              <w:bidi w:val="0"/>
              <w:spacing w:before="0" w:after="0"/>
              <w:jc w:val="left"/>
              <w:rPr/>
            </w:pPr>
            <w:r>
              <w:rPr/>
              <w:t> </w:t>
            </w:r>
          </w:p>
        </w:tc>
      </w:tr>
      <w:tr>
        <w:trPr/>
        <w:tc>
          <w:tcPr>
            <w:tcW w:w="17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4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Performance Shares </w:t>
            </w:r>
          </w:p>
        </w:tc>
      </w:tr>
      <w:tr>
        <w:trPr/>
        <w:tc>
          <w:tcPr>
            <w:tcW w:w="17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w:t>
            </w:r>
            <w:r>
              <w:rPr>
                <w:rFonts w:ascii="Times New Roman;Times;serif" w:hAnsi="Times New Roman;Times;serif"/>
                <w:b/>
                <w:color w:val="000000"/>
                <w:position w:val="5"/>
                <w:sz w:val="13"/>
                <w:sz w:val="16"/>
              </w:rPr>
              <w:t>(a)</w:t>
            </w:r>
            <w:r>
              <w:rPr>
                <w:rFonts w:ascii="Times New Roman;Times;serif" w:hAnsi="Times New Roman;Times;serif"/>
                <w:b/>
                <w:color w:val="000000"/>
                <w:sz w:val="16"/>
              </w:rPr>
              <w:t xml:space="preserve"> </w:t>
            </w:r>
          </w:p>
        </w:tc>
      </w:tr>
      <w:tr>
        <w:trPr/>
        <w:tc>
          <w:tcPr>
            <w:tcW w:w="170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James C. Clemmer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7/16/2025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16"/>
              </w:rPr>
            </w:pPr>
            <w:r>
              <w:rPr>
                <w:rFonts w:ascii="Times New Roman;Times;serif" w:hAnsi="Times New Roman;Times;serif"/>
                <w:color w:val="000000"/>
                <w:sz w:val="16"/>
              </w:rPr>
              <w:t>$1,916,090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$3,832,180 </w:t>
            </w:r>
          </w:p>
        </w:tc>
      </w:tr>
      <w:tr>
        <w:trPr/>
        <w:tc>
          <w:tcPr>
            <w:tcW w:w="170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7/17/2024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16"/>
              </w:rPr>
            </w:pPr>
            <w:r>
              <w:rPr>
                <w:rFonts w:ascii="Times New Roman;Times;serif" w:hAnsi="Times New Roman;Times;serif"/>
                <w:color w:val="000000"/>
                <w:sz w:val="16"/>
              </w:rPr>
              <w:t>$1,817,624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$3,635,248 </w:t>
            </w:r>
          </w:p>
        </w:tc>
      </w:tr>
      <w:tr>
        <w:trPr/>
        <w:tc>
          <w:tcPr>
            <w:tcW w:w="170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7/19/2023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16"/>
              </w:rPr>
            </w:pPr>
            <w:r>
              <w:rPr>
                <w:rFonts w:ascii="Times New Roman;Times;serif" w:hAnsi="Times New Roman;Times;serif"/>
                <w:color w:val="000000"/>
                <w:sz w:val="16"/>
              </w:rPr>
              <w:t>$1,756,960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$3,513,920 </w:t>
            </w:r>
          </w:p>
        </w:tc>
      </w:tr>
      <w:tr>
        <w:trPr/>
        <w:tc>
          <w:tcPr>
            <w:tcW w:w="170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Stephen A. Trowbridge</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7/16/2025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9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808,202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$1,616,404 </w:t>
            </w:r>
          </w:p>
        </w:tc>
      </w:tr>
      <w:tr>
        <w:trPr/>
        <w:tc>
          <w:tcPr>
            <w:tcW w:w="17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7/17/2024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9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645,832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$1,291,664 </w:t>
            </w:r>
          </w:p>
        </w:tc>
      </w:tr>
      <w:tr>
        <w:trPr/>
        <w:tc>
          <w:tcPr>
            <w:tcW w:w="17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7/19/2023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9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546,841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$1,093,682 </w:t>
            </w:r>
          </w:p>
        </w:tc>
      </w:tr>
      <w:tr>
        <w:trPr/>
        <w:tc>
          <w:tcPr>
            <w:tcW w:w="1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Lawrence Weiss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7/16/2025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287,061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574,122 </w:t>
            </w:r>
          </w:p>
        </w:tc>
      </w:tr>
      <w:tr>
        <w:trPr/>
        <w:tc>
          <w:tcPr>
            <w:tcW w:w="170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Laura Piccinini</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7/16/2025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9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301,210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9"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602,420 </w:t>
            </w:r>
          </w:p>
        </w:tc>
      </w:tr>
      <w:tr>
        <w:trPr/>
        <w:tc>
          <w:tcPr>
            <w:tcW w:w="17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7/17/2024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9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252,248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9"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504,496 </w:t>
            </w:r>
          </w:p>
        </w:tc>
      </w:tr>
      <w:tr>
        <w:trPr/>
        <w:tc>
          <w:tcPr>
            <w:tcW w:w="17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7/19/2023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9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270,042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9"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540,084 </w:t>
            </w:r>
          </w:p>
        </w:tc>
      </w:tr>
      <w:tr>
        <w:trPr/>
        <w:tc>
          <w:tcPr>
            <w:tcW w:w="170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Warren G. Nighan</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7/16/2025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272,652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545,304 </w:t>
            </w:r>
          </w:p>
        </w:tc>
      </w:tr>
      <w:tr>
        <w:trPr/>
        <w:tc>
          <w:tcPr>
            <w:tcW w:w="170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7/17/2024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198,562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397,124 </w:t>
            </w:r>
          </w:p>
        </w:tc>
      </w:tr>
      <w:tr>
        <w:trPr/>
        <w:tc>
          <w:tcPr>
            <w:tcW w:w="170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7/19/2023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9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191,096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382,192</w:t>
            </w:r>
          </w:p>
        </w:tc>
      </w:tr>
      <w:tr>
        <w:trPr/>
        <w:tc>
          <w:tcPr>
            <w:tcW w:w="17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r>
    </w:tbl>
    <w:tbl>
      <w:tblPr>
        <w:tblW w:w="9655" w:type="dxa"/>
        <w:jc w:val="left"/>
        <w:tblInd w:w="0" w:type="dxa"/>
        <w:tblLayout w:type="fixed"/>
        <w:tblCellMar>
          <w:top w:w="0" w:type="dxa"/>
          <w:left w:w="0" w:type="dxa"/>
          <w:bottom w:w="0" w:type="dxa"/>
          <w:right w:w="0" w:type="dxa"/>
        </w:tblCellMar>
      </w:tblPr>
      <w:tblGrid>
        <w:gridCol w:w="245"/>
        <w:gridCol w:w="9410"/>
      </w:tblGrid>
      <w:tr>
        <w:trPr/>
        <w:tc>
          <w:tcPr>
            <w:tcW w:w="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94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Excludes TSR modifier. For maximum grant date value with the TSR modifier see Grants of Plan-Based Awards for Fiscal Year 2026.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b/>
                <w:color w:val="000000"/>
                <w:sz w:val="16"/>
              </w:rPr>
              <w:t>Option Awards:</w:t>
            </w:r>
            <w:r>
              <w:rPr>
                <w:rFonts w:ascii="Times New Roman;Times;serif" w:hAnsi="Times New Roman;Times;serif"/>
                <w:color w:val="000000"/>
                <w:sz w:val="16"/>
              </w:rPr>
              <w:t xml:space="preserve"> The option awards column represents the aggregate grant date fair value of stock option awards granted in the respective fiscal year as computed in accordance with FASB ASC Topic 718, Compensation - Stock Compensation. The fair value of each stock option award is estimated on the grant date using the Black-Scholes option valuation model. The assumptions used in the valuation of stock-based awards are discussed in Note 13 to our Audited Consolidated Financial Statements included in our Annual Report on Form 10-K for the fiscal year ended May 31,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59" w:name="ny20083274x1_def14a_111-sumcomp_pg2"/>
        <w:bookmarkEnd w:id="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each of the Named Executive Officers, the amounts reported in Non-Equity Incentive Plan Compensation include the payments under our fiscal year 2026 annual cash incentive program, as described above under “Annual Cash Incentives.”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each of the Named Executive Officers, the amounts reported in All Other Compensation include amounts we contributed as matching contributions under the 401(k) Plan, car allowance, payments for leased vehicles and housing allowance in connection with commencement of employment and are provided in the table below: </w:t>
            </w:r>
          </w:p>
        </w:tc>
      </w:tr>
    </w:tbl>
    <w:tbl>
      <w:tblPr>
        <w:tblW w:w="8285" w:type="dxa"/>
        <w:jc w:val="left"/>
        <w:tblInd w:w="0" w:type="dxa"/>
        <w:tblLayout w:type="fixed"/>
        <w:tblCellMar>
          <w:top w:w="0" w:type="dxa"/>
          <w:left w:w="0" w:type="dxa"/>
          <w:bottom w:w="0" w:type="dxa"/>
          <w:right w:w="0" w:type="dxa"/>
        </w:tblCellMar>
      </w:tblPr>
      <w:tblGrid>
        <w:gridCol w:w="1700"/>
        <w:gridCol w:w="170"/>
        <w:gridCol w:w="170"/>
        <w:gridCol w:w="515"/>
        <w:gridCol w:w="170"/>
        <w:gridCol w:w="170"/>
        <w:gridCol w:w="1085"/>
        <w:gridCol w:w="170"/>
        <w:gridCol w:w="170"/>
        <w:gridCol w:w="1175"/>
        <w:gridCol w:w="170"/>
        <w:gridCol w:w="170"/>
        <w:gridCol w:w="845"/>
        <w:gridCol w:w="170"/>
        <w:gridCol w:w="170"/>
        <w:gridCol w:w="1265"/>
      </w:tblGrid>
      <w:tr>
        <w:trPr/>
        <w:tc>
          <w:tcPr>
            <w:tcW w:w="17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r>
      <w:tr>
        <w:trPr/>
        <w:tc>
          <w:tcPr>
            <w:tcW w:w="17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401(k) Match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 Allowance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Housing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Allowance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70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James C. Clemmer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6"/>
              </w:rPr>
            </w:pPr>
            <w:r>
              <w:rPr>
                <w:rFonts w:ascii="Times New Roman;Times;serif" w:hAnsi="Times New Roman;Times;serif"/>
                <w:color w:val="000000"/>
                <w:sz w:val="16"/>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16"/>
              </w:rPr>
            </w:pPr>
            <w:r>
              <w:rPr>
                <w:rFonts w:ascii="Times New Roman;Times;serif" w:hAnsi="Times New Roman;Times;serif"/>
                <w:color w:val="000000"/>
                <w:sz w:val="16"/>
              </w:rPr>
              <w:t>21,617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16"/>
              </w:rPr>
            </w:pPr>
            <w:r>
              <w:rPr>
                <w:rFonts w:ascii="Times New Roman;Times;serif" w:hAnsi="Times New Roman;Times;serif"/>
                <w:color w:val="000000"/>
                <w:sz w:val="16"/>
              </w:rPr>
              <w:t>18,000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39,617 </w:t>
            </w:r>
          </w:p>
        </w:tc>
      </w:tr>
      <w:tr>
        <w:trPr/>
        <w:tc>
          <w:tcPr>
            <w:tcW w:w="170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16"/>
              </w:rPr>
            </w:pPr>
            <w:r>
              <w:rPr>
                <w:rFonts w:ascii="Times New Roman;Times;serif" w:hAnsi="Times New Roman;Times;serif"/>
                <w:color w:val="000000"/>
                <w:sz w:val="16"/>
              </w:rPr>
              <w:t>20,571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16"/>
              </w:rPr>
            </w:pPr>
            <w:r>
              <w:rPr>
                <w:rFonts w:ascii="Times New Roman;Times;serif" w:hAnsi="Times New Roman;Times;serif"/>
                <w:color w:val="000000"/>
                <w:sz w:val="16"/>
              </w:rPr>
              <w:t>18,000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38,571 </w:t>
            </w:r>
          </w:p>
        </w:tc>
      </w:tr>
      <w:tr>
        <w:trPr/>
        <w:tc>
          <w:tcPr>
            <w:tcW w:w="170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16"/>
              </w:rPr>
            </w:pPr>
            <w:r>
              <w:rPr>
                <w:rFonts w:ascii="Times New Roman;Times;serif" w:hAnsi="Times New Roman;Times;serif"/>
                <w:color w:val="000000"/>
                <w:sz w:val="16"/>
              </w:rPr>
              <w:t>22,062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16"/>
              </w:rPr>
            </w:pPr>
            <w:r>
              <w:rPr>
                <w:rFonts w:ascii="Times New Roman;Times;serif" w:hAnsi="Times New Roman;Times;serif"/>
                <w:color w:val="000000"/>
                <w:sz w:val="16"/>
              </w:rPr>
              <w:t>18,692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40,754 </w:t>
            </w:r>
          </w:p>
        </w:tc>
      </w:tr>
      <w:tr>
        <w:trPr/>
        <w:tc>
          <w:tcPr>
            <w:tcW w:w="170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Stephen A. Trowbridge</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40" w:right="0" w:hanging="0"/>
              <w:jc w:val="left"/>
              <w:rPr>
                <w:rFonts w:ascii="Times New Roman;Times;serif" w:hAnsi="Times New Roman;Times;serif"/>
                <w:color w:val="000000"/>
                <w:sz w:val="16"/>
              </w:rPr>
            </w:pPr>
            <w:r>
              <w:rPr>
                <w:rFonts w:ascii="Times New Roman;Times;serif" w:hAnsi="Times New Roman;Times;serif"/>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40" w:right="0" w:hanging="0"/>
              <w:jc w:val="left"/>
              <w:rPr>
                <w:rFonts w:ascii="Times New Roman;Times;serif" w:hAnsi="Times New Roman;Times;serif"/>
                <w:color w:val="000000"/>
                <w:sz w:val="16"/>
              </w:rPr>
            </w:pPr>
            <w:r>
              <w:rPr>
                <w:rFonts w:ascii="Times New Roman;Times;serif" w:hAnsi="Times New Roman;Times;serif"/>
                <w:color w:val="000000"/>
                <w:sz w:val="16"/>
              </w:rPr>
              <w:t>21,351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3" w:right="0" w:hanging="0"/>
              <w:jc w:val="left"/>
              <w:rPr>
                <w:rFonts w:ascii="Times New Roman;Times;serif" w:hAnsi="Times New Roman;Times;serif"/>
                <w:color w:val="000000"/>
                <w:sz w:val="16"/>
              </w:rPr>
            </w:pPr>
            <w:r>
              <w:rPr>
                <w:rFonts w:ascii="Times New Roman;Times;serif" w:hAnsi="Times New Roman;Times;serif"/>
                <w:color w:val="000000"/>
                <w:sz w:val="16"/>
              </w:rPr>
              <w:t>14,400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29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35,751 </w:t>
            </w:r>
          </w:p>
        </w:tc>
      </w:tr>
      <w:tr>
        <w:trPr/>
        <w:tc>
          <w:tcPr>
            <w:tcW w:w="17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40"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40" w:right="0" w:hanging="0"/>
              <w:jc w:val="left"/>
              <w:rPr>
                <w:rFonts w:ascii="Times New Roman;Times;serif" w:hAnsi="Times New Roman;Times;serif"/>
                <w:color w:val="000000"/>
                <w:sz w:val="16"/>
              </w:rPr>
            </w:pPr>
            <w:r>
              <w:rPr>
                <w:rFonts w:ascii="Times New Roman;Times;serif" w:hAnsi="Times New Roman;Times;serif"/>
                <w:color w:val="000000"/>
                <w:sz w:val="16"/>
              </w:rPr>
              <w:t>20,304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3" w:right="0" w:hanging="0"/>
              <w:jc w:val="left"/>
              <w:rPr>
                <w:rFonts w:ascii="Times New Roman;Times;serif" w:hAnsi="Times New Roman;Times;serif"/>
                <w:color w:val="000000"/>
                <w:sz w:val="16"/>
              </w:rPr>
            </w:pPr>
            <w:r>
              <w:rPr>
                <w:rFonts w:ascii="Times New Roman;Times;serif" w:hAnsi="Times New Roman;Times;serif"/>
                <w:color w:val="000000"/>
                <w:sz w:val="16"/>
              </w:rPr>
              <w:t>14,400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29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34,704 </w:t>
            </w:r>
          </w:p>
        </w:tc>
      </w:tr>
      <w:tr>
        <w:trPr/>
        <w:tc>
          <w:tcPr>
            <w:tcW w:w="17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40"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40" w:right="0" w:hanging="0"/>
              <w:jc w:val="left"/>
              <w:rPr>
                <w:rFonts w:ascii="Times New Roman;Times;serif" w:hAnsi="Times New Roman;Times;serif"/>
                <w:color w:val="000000"/>
                <w:sz w:val="16"/>
              </w:rPr>
            </w:pPr>
            <w:r>
              <w:rPr>
                <w:rFonts w:ascii="Times New Roman;Times;serif" w:hAnsi="Times New Roman;Times;serif"/>
                <w:color w:val="000000"/>
                <w:sz w:val="16"/>
              </w:rPr>
              <w:t>21,115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3" w:right="0" w:hanging="0"/>
              <w:jc w:val="left"/>
              <w:rPr>
                <w:rFonts w:ascii="Times New Roman;Times;serif" w:hAnsi="Times New Roman;Times;serif"/>
                <w:color w:val="000000"/>
                <w:sz w:val="16"/>
              </w:rPr>
            </w:pPr>
            <w:r>
              <w:rPr>
                <w:rFonts w:ascii="Times New Roman;Times;serif" w:hAnsi="Times New Roman;Times;serif"/>
                <w:color w:val="000000"/>
                <w:sz w:val="16"/>
              </w:rPr>
              <w:t>14,954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29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36,069 </w:t>
            </w:r>
          </w:p>
        </w:tc>
      </w:tr>
      <w:tr>
        <w:trPr/>
        <w:tc>
          <w:tcPr>
            <w:tcW w:w="170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Lawrence T. Weiss</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6"/>
              </w:rPr>
            </w:pPr>
            <w:r>
              <w:rPr>
                <w:rFonts w:ascii="Times New Roman;Times;serif" w:hAnsi="Times New Roman;Times;serif"/>
                <w:color w:val="000000"/>
                <w:sz w:val="16"/>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16"/>
              </w:rPr>
            </w:pPr>
            <w:r>
              <w:rPr>
                <w:rFonts w:ascii="Times New Roman;Times;serif" w:hAnsi="Times New Roman;Times;serif"/>
                <w:color w:val="000000"/>
                <w:sz w:val="16"/>
              </w:rPr>
              <w:t>9,369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16"/>
              </w:rPr>
            </w:pPr>
            <w:r>
              <w:rPr>
                <w:rFonts w:ascii="Times New Roman;Times;serif" w:hAnsi="Times New Roman;Times;serif"/>
                <w:color w:val="000000"/>
                <w:sz w:val="16"/>
              </w:rPr>
              <w:t>14,400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23,769 </w:t>
            </w:r>
          </w:p>
        </w:tc>
      </w:tr>
      <w:tr>
        <w:trPr/>
        <w:tc>
          <w:tcPr>
            <w:tcW w:w="170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16"/>
              </w:rPr>
            </w:pPr>
            <w:r>
              <w:rPr>
                <w:rFonts w:ascii="Times New Roman;Times;serif" w:hAnsi="Times New Roman;Times;serif"/>
                <w:color w:val="000000"/>
                <w:sz w:val="16"/>
              </w:rPr>
              <w:t>6,923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6,923 </w:t>
            </w:r>
          </w:p>
        </w:tc>
      </w:tr>
      <w:tr>
        <w:trPr/>
        <w:tc>
          <w:tcPr>
            <w:tcW w:w="170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Laura Piccinini</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40" w:right="0" w:hanging="0"/>
              <w:jc w:val="left"/>
              <w:rPr>
                <w:rFonts w:ascii="Times New Roman;Times;serif" w:hAnsi="Times New Roman;Times;serif"/>
                <w:color w:val="000000"/>
                <w:sz w:val="16"/>
              </w:rPr>
            </w:pPr>
            <w:r>
              <w:rPr>
                <w:rFonts w:ascii="Times New Roman;Times;serif" w:hAnsi="Times New Roman;Times;serif"/>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40" w:right="0" w:hanging="0"/>
              <w:jc w:val="left"/>
              <w:rPr>
                <w:rFonts w:ascii="Times New Roman;Times;serif" w:hAnsi="Times New Roman;Times;serif"/>
                <w:color w:val="000000"/>
                <w:sz w:val="16"/>
              </w:rPr>
            </w:pPr>
            <w:r>
              <w:rPr>
                <w:rFonts w:ascii="Times New Roman;Times;serif" w:hAnsi="Times New Roman;Times;serif"/>
                <w:color w:val="000000"/>
                <w:sz w:val="16"/>
              </w:rPr>
              <w:t>22,658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35" w:right="0" w:hanging="0"/>
              <w:jc w:val="left"/>
              <w:rPr>
                <w:rFonts w:ascii="Times New Roman;Times;serif" w:hAnsi="Times New Roman;Times;serif"/>
                <w:color w:val="000000"/>
                <w:sz w:val="16"/>
              </w:rPr>
            </w:pPr>
            <w:r>
              <w:rPr>
                <w:rFonts w:ascii="Times New Roman;Times;serif" w:hAnsi="Times New Roman;Times;serif"/>
                <w:color w:val="000000"/>
                <w:sz w:val="16"/>
              </w:rPr>
              <w:t>34,997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29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57,655 </w:t>
            </w:r>
          </w:p>
        </w:tc>
      </w:tr>
      <w:tr>
        <w:trPr/>
        <w:tc>
          <w:tcPr>
            <w:tcW w:w="17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40"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40" w:right="0" w:hanging="0"/>
              <w:jc w:val="left"/>
              <w:rPr>
                <w:rFonts w:ascii="Times New Roman;Times;serif" w:hAnsi="Times New Roman;Times;serif"/>
                <w:color w:val="000000"/>
                <w:sz w:val="16"/>
              </w:rPr>
            </w:pPr>
            <w:r>
              <w:rPr>
                <w:rFonts w:ascii="Times New Roman;Times;serif" w:hAnsi="Times New Roman;Times;serif"/>
                <w:color w:val="000000"/>
                <w:sz w:val="16"/>
              </w:rPr>
              <w:t>21,846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3" w:right="0" w:hanging="0"/>
              <w:jc w:val="left"/>
              <w:rPr>
                <w:rFonts w:ascii="Times New Roman;Times;serif" w:hAnsi="Times New Roman;Times;serif"/>
                <w:color w:val="000000"/>
                <w:sz w:val="16"/>
              </w:rPr>
            </w:pPr>
            <w:r>
              <w:rPr>
                <w:rFonts w:ascii="Times New Roman;Times;serif" w:hAnsi="Times New Roman;Times;serif"/>
                <w:color w:val="000000"/>
                <w:sz w:val="16"/>
              </w:rPr>
              <w:t>6,194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35" w:right="0" w:hanging="0"/>
              <w:jc w:val="left"/>
              <w:rPr>
                <w:rFonts w:ascii="Times New Roman;Times;serif" w:hAnsi="Times New Roman;Times;serif"/>
                <w:color w:val="000000"/>
                <w:sz w:val="16"/>
              </w:rPr>
            </w:pPr>
            <w:r>
              <w:rPr>
                <w:rFonts w:ascii="Times New Roman;Times;serif" w:hAnsi="Times New Roman;Times;serif"/>
                <w:color w:val="000000"/>
                <w:sz w:val="16"/>
              </w:rPr>
              <w:t>32,446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29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60,486 </w:t>
            </w:r>
          </w:p>
        </w:tc>
      </w:tr>
      <w:tr>
        <w:trPr/>
        <w:tc>
          <w:tcPr>
            <w:tcW w:w="17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40"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40" w:right="0" w:hanging="0"/>
              <w:jc w:val="left"/>
              <w:rPr>
                <w:rFonts w:ascii="Times New Roman;Times;serif" w:hAnsi="Times New Roman;Times;serif"/>
                <w:color w:val="000000"/>
                <w:sz w:val="16"/>
              </w:rPr>
            </w:pPr>
            <w:r>
              <w:rPr>
                <w:rFonts w:ascii="Times New Roman;Times;serif" w:hAnsi="Times New Roman;Times;serif"/>
                <w:color w:val="000000"/>
                <w:sz w:val="16"/>
              </w:rPr>
              <w:t>21,784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83" w:right="0" w:hanging="0"/>
              <w:jc w:val="left"/>
              <w:rPr>
                <w:rFonts w:ascii="Times New Roman;Times;serif" w:hAnsi="Times New Roman;Times;serif"/>
                <w:color w:val="000000"/>
                <w:sz w:val="16"/>
              </w:rPr>
            </w:pPr>
            <w:r>
              <w:rPr>
                <w:rFonts w:ascii="Times New Roman;Times;serif" w:hAnsi="Times New Roman;Times;serif"/>
                <w:color w:val="000000"/>
                <w:sz w:val="16"/>
              </w:rPr>
              <w:t>10,625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35" w:right="0" w:hanging="0"/>
              <w:jc w:val="left"/>
              <w:rPr>
                <w:rFonts w:ascii="Times New Roman;Times;serif" w:hAnsi="Times New Roman;Times;serif"/>
                <w:color w:val="000000"/>
                <w:sz w:val="16"/>
              </w:rPr>
            </w:pPr>
            <w:r>
              <w:rPr>
                <w:rFonts w:ascii="Times New Roman;Times;serif" w:hAnsi="Times New Roman;Times;serif"/>
                <w:color w:val="000000"/>
                <w:sz w:val="16"/>
              </w:rPr>
              <w:t>32,466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29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64,875 </w:t>
            </w:r>
          </w:p>
        </w:tc>
      </w:tr>
      <w:tr>
        <w:trPr/>
        <w:tc>
          <w:tcPr>
            <w:tcW w:w="170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Warren G. Nighan</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6"/>
              </w:rPr>
            </w:pPr>
            <w:r>
              <w:rPr>
                <w:rFonts w:ascii="Times New Roman;Times;serif" w:hAnsi="Times New Roman;Times;serif"/>
                <w:color w:val="000000"/>
                <w:sz w:val="16"/>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16"/>
              </w:rPr>
            </w:pPr>
            <w:r>
              <w:rPr>
                <w:rFonts w:ascii="Times New Roman;Times;serif" w:hAnsi="Times New Roman;Times;serif"/>
                <w:color w:val="000000"/>
                <w:sz w:val="16"/>
              </w:rPr>
              <w:t>21,410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16"/>
              </w:rPr>
            </w:pPr>
            <w:r>
              <w:rPr>
                <w:rFonts w:ascii="Times New Roman;Times;serif" w:hAnsi="Times New Roman;Times;serif"/>
                <w:color w:val="000000"/>
                <w:sz w:val="16"/>
              </w:rPr>
              <w:t>14,400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35,810 </w:t>
            </w:r>
          </w:p>
        </w:tc>
      </w:tr>
      <w:tr>
        <w:trPr/>
        <w:tc>
          <w:tcPr>
            <w:tcW w:w="170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16"/>
              </w:rPr>
            </w:pPr>
            <w:r>
              <w:rPr>
                <w:rFonts w:ascii="Times New Roman;Times;serif" w:hAnsi="Times New Roman;Times;serif"/>
                <w:color w:val="000000"/>
                <w:sz w:val="16"/>
              </w:rPr>
              <w:t>20,499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16"/>
              </w:rPr>
            </w:pPr>
            <w:r>
              <w:rPr>
                <w:rFonts w:ascii="Times New Roman;Times;serif" w:hAnsi="Times New Roman;Times;serif"/>
                <w:color w:val="000000"/>
                <w:sz w:val="16"/>
              </w:rPr>
              <w:t>14,400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34,899 </w:t>
            </w:r>
          </w:p>
        </w:tc>
      </w:tr>
      <w:tr>
        <w:trPr/>
        <w:tc>
          <w:tcPr>
            <w:tcW w:w="170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40"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16"/>
              </w:rPr>
            </w:pPr>
            <w:r>
              <w:rPr>
                <w:rFonts w:ascii="Times New Roman;Times;serif" w:hAnsi="Times New Roman;Times;serif"/>
                <w:color w:val="000000"/>
                <w:sz w:val="16"/>
              </w:rPr>
              <w:t>21,363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16"/>
              </w:rPr>
            </w:pPr>
            <w:r>
              <w:rPr>
                <w:rFonts w:ascii="Times New Roman;Times;serif" w:hAnsi="Times New Roman;Times;serif"/>
                <w:color w:val="000000"/>
                <w:sz w:val="16"/>
              </w:rPr>
              <w:t>14,954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16"/>
              </w:rPr>
            </w:pPr>
            <w:r>
              <w:rPr>
                <w:rFonts w:ascii="Times New Roman;Times;serif" w:hAnsi="Times New Roman;Times;serif"/>
                <w:color w:val="000000"/>
                <w:sz w:val="16"/>
              </w:rPr>
              <w:t>36,317</w:t>
            </w:r>
          </w:p>
        </w:tc>
      </w:tr>
      <w:tr>
        <w:trPr/>
        <w:tc>
          <w:tcPr>
            <w:tcW w:w="17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6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Piccinini is paid in Euros, which was converted to U.S. Dollars using a period average exchange rate for fiscal years 2026 and 2025 of 1.17 Euro per Dollar and 1.08 Euro per Dollar, respectively.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5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Weiss’ salary, non-equity incentive plan compensation and all other compensation was prorated during the fiscal year ended May 31, 2025 due to a December 2024 hire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60" w:name="ny20083274x1_def14a_111-sumcomp_pg3"/>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center"/>
        <w:rPr>
          <w:rFonts w:ascii="Times New Roman;Times;serif" w:hAnsi="Times New Roman;Times;serif"/>
          <w:b/>
          <w:color w:val="000000"/>
          <w:sz w:val="20"/>
        </w:rPr>
      </w:pPr>
      <w:bookmarkStart w:id="61" w:name="tGPAF"/>
      <w:bookmarkEnd w:id="61"/>
      <w:r>
        <w:rPr>
          <w:rFonts w:ascii="Times New Roman;Times;serif" w:hAnsi="Times New Roman;Times;serif"/>
          <w:b/>
          <w:color w:val="000000"/>
          <w:sz w:val="20"/>
        </w:rPr>
        <w:t xml:space="preserve">Grants of Plan-Based Awards for Fiscal Year 2026 </w:t>
      </w:r>
    </w:p>
    <w:p>
      <w:pPr>
        <w:pStyle w:val="TextBody"/>
        <w:bidi w:val="0"/>
        <w:spacing w:before="120" w:after="283"/>
        <w:ind w:left="60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provides information with respect to options to purchase shares of Common Stock, restricted stock units and performance awards granted to the named executive officers in fiscal year 2026.</w:t>
      </w:r>
    </w:p>
    <w:tbl>
      <w:tblPr>
        <w:tblW w:w="12470" w:type="dxa"/>
        <w:jc w:val="left"/>
        <w:tblInd w:w="0" w:type="dxa"/>
        <w:tblLayout w:type="fixed"/>
        <w:tblCellMar>
          <w:top w:w="0" w:type="dxa"/>
          <w:left w:w="0" w:type="dxa"/>
          <w:bottom w:w="0" w:type="dxa"/>
          <w:right w:w="0" w:type="dxa"/>
        </w:tblCellMar>
      </w:tblPr>
      <w:tblGrid>
        <w:gridCol w:w="890"/>
        <w:gridCol w:w="170"/>
        <w:gridCol w:w="170"/>
        <w:gridCol w:w="500"/>
        <w:gridCol w:w="170"/>
        <w:gridCol w:w="170"/>
        <w:gridCol w:w="770"/>
        <w:gridCol w:w="170"/>
        <w:gridCol w:w="170"/>
        <w:gridCol w:w="635"/>
        <w:gridCol w:w="170"/>
        <w:gridCol w:w="170"/>
        <w:gridCol w:w="785"/>
        <w:gridCol w:w="170"/>
        <w:gridCol w:w="170"/>
        <w:gridCol w:w="770"/>
        <w:gridCol w:w="170"/>
        <w:gridCol w:w="170"/>
        <w:gridCol w:w="635"/>
        <w:gridCol w:w="170"/>
        <w:gridCol w:w="170"/>
        <w:gridCol w:w="785"/>
        <w:gridCol w:w="170"/>
        <w:gridCol w:w="170"/>
        <w:gridCol w:w="635"/>
        <w:gridCol w:w="170"/>
        <w:gridCol w:w="170"/>
        <w:gridCol w:w="860"/>
        <w:gridCol w:w="170"/>
        <w:gridCol w:w="170"/>
        <w:gridCol w:w="650"/>
        <w:gridCol w:w="170"/>
        <w:gridCol w:w="170"/>
        <w:gridCol w:w="815"/>
      </w:tblGrid>
      <w:tr>
        <w:trPr/>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70"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70"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890" w:type="dxa"/>
            <w:vMerge w:val="restart"/>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50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r>
              <w:rPr>
                <w:rFonts w:ascii="Times New Roman;Times;serif" w:hAnsi="Times New Roman;Times;serif"/>
                <w:b/>
                <w:color w:val="000000"/>
                <w:position w:val="5"/>
                <w:sz w:val="13"/>
                <w:sz w:val="16"/>
              </w:rPr>
              <w:t>(2)</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7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Future Payouts Under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Non-Equity Incentive Plan Awards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7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Future Payouts Under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Equity Incentive Plan Awards</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63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6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(4)</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65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1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(5)</w:t>
            </w:r>
            <w:r>
              <w:rPr>
                <w:rFonts w:ascii="Times New Roman;Times;serif" w:hAnsi="Times New Roman;Times;serif"/>
                <w:b/>
                <w:color w:val="000000"/>
                <w:sz w:val="16"/>
              </w:rPr>
              <w:t xml:space="preserve"> </w:t>
            </w:r>
          </w:p>
        </w:tc>
      </w:tr>
      <w:tr>
        <w:trPr/>
        <w:tc>
          <w:tcPr>
            <w:tcW w:w="890"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500"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Threshold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Threshold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63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860"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650"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815" w:type="dxa"/>
            <w:vMerge w:val="continue"/>
            <w:tcBorders>
              <w:bottom w:val="single" w:sz="8" w:space="0" w:color="000000"/>
            </w:tcBorders>
            <w:tcMar>
              <w:bottom w:w="48" w:type="dxa"/>
            </w:tcMar>
            <w:vAlign w:val="center"/>
          </w:tcPr>
          <w:p>
            <w:pPr>
              <w:pStyle w:val="Normal"/>
              <w:bidi w:val="0"/>
              <w:jc w:val="left"/>
              <w:rPr/>
            </w:pPr>
            <w:r>
              <w:rPr/>
            </w:r>
          </w:p>
        </w:tc>
      </w:tr>
      <w:tr>
        <w:trPr/>
        <w:tc>
          <w:tcPr>
            <w:tcW w:w="89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James C. Clemmer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33,389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16"/>
              </w:rPr>
            </w:pPr>
            <w:r>
              <w:rPr>
                <w:rFonts w:ascii="Times New Roman;Times;serif" w:hAnsi="Times New Roman;Times;serif"/>
                <w:color w:val="000000"/>
                <w:sz w:val="16"/>
              </w:rPr>
              <w:t>834,717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16"/>
              </w:rPr>
            </w:pPr>
            <w:r>
              <w:rPr>
                <w:rFonts w:ascii="Times New Roman;Times;serif" w:hAnsi="Times New Roman;Times;serif"/>
                <w:color w:val="000000"/>
                <w:sz w:val="16"/>
              </w:rPr>
              <w:t>1,669,434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0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3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2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0" w:right="0" w:hanging="0"/>
              <w:jc w:val="left"/>
              <w:rPr>
                <w:color w:val="000000"/>
              </w:rPr>
            </w:pPr>
            <w:r>
              <w:rPr>
                <w:color w:val="000000"/>
              </w:rPr>
              <w:t xml:space="preserve">— </w:t>
            </w:r>
          </w:p>
        </w:tc>
      </w:tr>
      <w:tr>
        <w:trPr/>
        <w:tc>
          <w:tcPr>
            <w:tcW w:w="89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7/16/2025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0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33,000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 w:right="0" w:hanging="0"/>
              <w:jc w:val="left"/>
              <w:rPr>
                <w:rFonts w:ascii="Times New Roman;Times;serif" w:hAnsi="Times New Roman;Times;serif"/>
                <w:color w:val="000000"/>
                <w:sz w:val="16"/>
              </w:rPr>
            </w:pPr>
            <w:r>
              <w:rPr>
                <w:rFonts w:ascii="Times New Roman;Times;serif" w:hAnsi="Times New Roman;Times;serif"/>
                <w:color w:val="000000"/>
                <w:sz w:val="16"/>
              </w:rPr>
              <w:t>206,253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16"/>
              </w:rPr>
            </w:pPr>
            <w:r>
              <w:rPr>
                <w:rFonts w:ascii="Times New Roman;Times;serif" w:hAnsi="Times New Roman;Times;serif"/>
                <w:color w:val="000000"/>
                <w:sz w:val="16"/>
              </w:rPr>
              <w:t>495,007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0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3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2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1,916,090 </w:t>
            </w:r>
          </w:p>
        </w:tc>
      </w:tr>
      <w:tr>
        <w:trPr/>
        <w:tc>
          <w:tcPr>
            <w:tcW w:w="89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7/16/2025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0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16"/>
              </w:rPr>
            </w:pPr>
            <w:r>
              <w:rPr>
                <w:rFonts w:ascii="Times New Roman;Times;serif" w:hAnsi="Times New Roman;Times;serif"/>
                <w:color w:val="000000"/>
                <w:sz w:val="16"/>
              </w:rPr>
              <w:t>206,253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3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2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1,773,776 </w:t>
            </w:r>
          </w:p>
        </w:tc>
      </w:tr>
      <w:tr>
        <w:trPr/>
        <w:tc>
          <w:tcPr>
            <w:tcW w:w="89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Stephen A. Trowbridge</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13,301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1" w:right="0" w:hanging="0"/>
              <w:jc w:val="left"/>
              <w:rPr>
                <w:rFonts w:ascii="Times New Roman;Times;serif" w:hAnsi="Times New Roman;Times;serif"/>
                <w:color w:val="000000"/>
                <w:sz w:val="16"/>
              </w:rPr>
            </w:pPr>
            <w:r>
              <w:rPr>
                <w:rFonts w:ascii="Times New Roman;Times;serif" w:hAnsi="Times New Roman;Times;serif"/>
                <w:color w:val="000000"/>
                <w:sz w:val="16"/>
              </w:rPr>
              <w:t>332,521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06" w:right="0" w:hanging="0"/>
              <w:jc w:val="left"/>
              <w:rPr>
                <w:rFonts w:ascii="Times New Roman;Times;serif" w:hAnsi="Times New Roman;Times;serif"/>
                <w:color w:val="000000"/>
                <w:sz w:val="16"/>
              </w:rPr>
            </w:pPr>
            <w:r>
              <w:rPr>
                <w:rFonts w:ascii="Times New Roman;Times;serif" w:hAnsi="Times New Roman;Times;serif"/>
                <w:color w:val="000000"/>
                <w:sz w:val="16"/>
              </w:rPr>
              <w:t>665,042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0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2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 w:right="0" w:hanging="0"/>
              <w:jc w:val="left"/>
              <w:rPr>
                <w:color w:val="000000"/>
              </w:rPr>
            </w:pPr>
            <w:r>
              <w:rPr>
                <w:color w:val="000000"/>
              </w:rPr>
              <w:t xml:space="preserve">— </w:t>
            </w:r>
          </w:p>
        </w:tc>
      </w:tr>
      <w:tr>
        <w:trPr/>
        <w:tc>
          <w:tcPr>
            <w:tcW w:w="89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7/16/2025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0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13,920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 w:right="0" w:hanging="0"/>
              <w:jc w:val="left"/>
              <w:rPr>
                <w:rFonts w:ascii="Times New Roman;Times;serif" w:hAnsi="Times New Roman;Times;serif"/>
                <w:color w:val="000000"/>
                <w:sz w:val="16"/>
              </w:rPr>
            </w:pPr>
            <w:r>
              <w:rPr>
                <w:rFonts w:ascii="Times New Roman;Times;serif" w:hAnsi="Times New Roman;Times;serif"/>
                <w:color w:val="000000"/>
                <w:sz w:val="16"/>
              </w:rPr>
              <w:t>86,997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3" w:right="0" w:hanging="0"/>
              <w:jc w:val="left"/>
              <w:rPr>
                <w:rFonts w:ascii="Times New Roman;Times;serif" w:hAnsi="Times New Roman;Times;serif"/>
                <w:color w:val="000000"/>
                <w:sz w:val="16"/>
              </w:rPr>
            </w:pPr>
            <w:r>
              <w:rPr>
                <w:rFonts w:ascii="Times New Roman;Times;serif" w:hAnsi="Times New Roman;Times;serif"/>
                <w:color w:val="000000"/>
                <w:sz w:val="16"/>
              </w:rPr>
              <w:t>208,793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0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2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808,202 </w:t>
            </w:r>
          </w:p>
        </w:tc>
      </w:tr>
      <w:tr>
        <w:trPr/>
        <w:tc>
          <w:tcPr>
            <w:tcW w:w="89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7/16/2025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0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09" w:right="0" w:hanging="0"/>
              <w:jc w:val="left"/>
              <w:rPr>
                <w:rFonts w:ascii="Times New Roman;Times;serif" w:hAnsi="Times New Roman;Times;serif"/>
                <w:color w:val="000000"/>
                <w:sz w:val="16"/>
              </w:rPr>
            </w:pPr>
            <w:r>
              <w:rPr>
                <w:rFonts w:ascii="Times New Roman;Times;serif" w:hAnsi="Times New Roman;Times;serif"/>
                <w:color w:val="000000"/>
                <w:sz w:val="16"/>
              </w:rPr>
              <w:t>86,997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2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748,174 </w:t>
            </w:r>
          </w:p>
        </w:tc>
      </w:tr>
      <w:tr>
        <w:trPr/>
        <w:tc>
          <w:tcPr>
            <w:tcW w:w="89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Lawrence T. Weiss</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10,630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16"/>
              </w:rPr>
            </w:pPr>
            <w:r>
              <w:rPr>
                <w:rFonts w:ascii="Times New Roman;Times;serif" w:hAnsi="Times New Roman;Times;serif"/>
                <w:color w:val="000000"/>
                <w:sz w:val="16"/>
              </w:rPr>
              <w:t>265,740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16"/>
              </w:rPr>
            </w:pPr>
            <w:r>
              <w:rPr>
                <w:rFonts w:ascii="Times New Roman;Times;serif" w:hAnsi="Times New Roman;Times;serif"/>
                <w:color w:val="000000"/>
                <w:sz w:val="16"/>
              </w:rPr>
              <w:t>531,480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0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3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2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0" w:right="0" w:hanging="0"/>
              <w:jc w:val="left"/>
              <w:rPr>
                <w:color w:val="000000"/>
              </w:rPr>
            </w:pPr>
            <w:r>
              <w:rPr>
                <w:color w:val="000000"/>
              </w:rPr>
              <w:t xml:space="preserve">— </w:t>
            </w:r>
          </w:p>
        </w:tc>
      </w:tr>
      <w:tr>
        <w:trPr/>
        <w:tc>
          <w:tcPr>
            <w:tcW w:w="89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7/16/2025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0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4,944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 w:right="0" w:hanging="0"/>
              <w:jc w:val="left"/>
              <w:rPr>
                <w:rFonts w:ascii="Times New Roman;Times;serif" w:hAnsi="Times New Roman;Times;serif"/>
                <w:color w:val="000000"/>
                <w:sz w:val="16"/>
              </w:rPr>
            </w:pPr>
            <w:r>
              <w:rPr>
                <w:rFonts w:ascii="Times New Roman;Times;serif" w:hAnsi="Times New Roman;Times;serif"/>
                <w:color w:val="000000"/>
                <w:sz w:val="16"/>
              </w:rPr>
              <w:t>30,900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16"/>
              </w:rPr>
            </w:pPr>
            <w:r>
              <w:rPr>
                <w:rFonts w:ascii="Times New Roman;Times;serif" w:hAnsi="Times New Roman;Times;serif"/>
                <w:color w:val="000000"/>
                <w:sz w:val="16"/>
              </w:rPr>
              <w:t>74,160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0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3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2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287,061 </w:t>
            </w:r>
          </w:p>
        </w:tc>
      </w:tr>
      <w:tr>
        <w:trPr/>
        <w:tc>
          <w:tcPr>
            <w:tcW w:w="89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7/16/2025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0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16"/>
              </w:rPr>
            </w:pPr>
            <w:r>
              <w:rPr>
                <w:rFonts w:ascii="Times New Roman;Times;serif" w:hAnsi="Times New Roman;Times;serif"/>
                <w:color w:val="000000"/>
                <w:sz w:val="16"/>
              </w:rPr>
              <w:t>30,900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3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2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265,740 </w:t>
            </w:r>
          </w:p>
        </w:tc>
      </w:tr>
      <w:tr>
        <w:trPr/>
        <w:tc>
          <w:tcPr>
            <w:tcW w:w="89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Laura Piccinini</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11,120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1" w:right="0" w:hanging="0"/>
              <w:jc w:val="left"/>
              <w:rPr>
                <w:rFonts w:ascii="Times New Roman;Times;serif" w:hAnsi="Times New Roman;Times;serif"/>
                <w:color w:val="000000"/>
                <w:sz w:val="16"/>
              </w:rPr>
            </w:pPr>
            <w:r>
              <w:rPr>
                <w:rFonts w:ascii="Times New Roman;Times;serif" w:hAnsi="Times New Roman;Times;serif"/>
                <w:color w:val="000000"/>
                <w:sz w:val="16"/>
              </w:rPr>
              <w:t>278,012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06" w:right="0" w:hanging="0"/>
              <w:jc w:val="left"/>
              <w:rPr>
                <w:rFonts w:ascii="Times New Roman;Times;serif" w:hAnsi="Times New Roman;Times;serif"/>
                <w:color w:val="000000"/>
                <w:sz w:val="16"/>
              </w:rPr>
            </w:pPr>
            <w:r>
              <w:rPr>
                <w:rFonts w:ascii="Times New Roman;Times;serif" w:hAnsi="Times New Roman;Times;serif"/>
                <w:color w:val="000000"/>
                <w:sz w:val="16"/>
              </w:rPr>
              <w:t>556,024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0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2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 w:right="0" w:hanging="0"/>
              <w:jc w:val="left"/>
              <w:rPr>
                <w:color w:val="000000"/>
              </w:rPr>
            </w:pPr>
            <w:r>
              <w:rPr>
                <w:color w:val="000000"/>
              </w:rPr>
              <w:t xml:space="preserve">— </w:t>
            </w:r>
          </w:p>
        </w:tc>
      </w:tr>
      <w:tr>
        <w:trPr/>
        <w:tc>
          <w:tcPr>
            <w:tcW w:w="89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7/16/2025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0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5,188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 w:right="0" w:hanging="0"/>
              <w:jc w:val="left"/>
              <w:rPr>
                <w:rFonts w:ascii="Times New Roman;Times;serif" w:hAnsi="Times New Roman;Times;serif"/>
                <w:color w:val="000000"/>
                <w:sz w:val="16"/>
              </w:rPr>
            </w:pPr>
            <w:r>
              <w:rPr>
                <w:rFonts w:ascii="Times New Roman;Times;serif" w:hAnsi="Times New Roman;Times;serif"/>
                <w:color w:val="000000"/>
                <w:sz w:val="16"/>
              </w:rPr>
              <w:t>32,423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3" w:right="0" w:hanging="0"/>
              <w:jc w:val="left"/>
              <w:rPr>
                <w:rFonts w:ascii="Times New Roman;Times;serif" w:hAnsi="Times New Roman;Times;serif"/>
                <w:color w:val="000000"/>
                <w:sz w:val="16"/>
              </w:rPr>
            </w:pPr>
            <w:r>
              <w:rPr>
                <w:rFonts w:ascii="Times New Roman;Times;serif" w:hAnsi="Times New Roman;Times;serif"/>
                <w:color w:val="000000"/>
                <w:sz w:val="16"/>
              </w:rPr>
              <w:t>77,815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0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2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301,210 </w:t>
            </w:r>
          </w:p>
        </w:tc>
      </w:tr>
      <w:tr>
        <w:trPr/>
        <w:tc>
          <w:tcPr>
            <w:tcW w:w="89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7/16/2025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0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7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09" w:right="0" w:hanging="0"/>
              <w:jc w:val="left"/>
              <w:rPr>
                <w:rFonts w:ascii="Times New Roman;Times;serif" w:hAnsi="Times New Roman;Times;serif"/>
                <w:color w:val="000000"/>
                <w:sz w:val="16"/>
              </w:rPr>
            </w:pPr>
            <w:r>
              <w:rPr>
                <w:rFonts w:ascii="Times New Roman;Times;serif" w:hAnsi="Times New Roman;Times;serif"/>
                <w:color w:val="000000"/>
                <w:sz w:val="16"/>
              </w:rPr>
              <w:t>32,423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20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278,838 </w:t>
            </w:r>
          </w:p>
        </w:tc>
      </w:tr>
      <w:tr>
        <w:trPr/>
        <w:tc>
          <w:tcPr>
            <w:tcW w:w="89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Warren G. Nighan</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10,096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71" w:right="0" w:hanging="0"/>
              <w:jc w:val="left"/>
              <w:rPr>
                <w:rFonts w:ascii="Times New Roman;Times;serif" w:hAnsi="Times New Roman;Times;serif"/>
                <w:color w:val="000000"/>
                <w:sz w:val="16"/>
              </w:rPr>
            </w:pPr>
            <w:r>
              <w:rPr>
                <w:rFonts w:ascii="Times New Roman;Times;serif" w:hAnsi="Times New Roman;Times;serif"/>
                <w:color w:val="000000"/>
                <w:sz w:val="16"/>
              </w:rPr>
              <w:t>252,396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16"/>
              </w:rPr>
            </w:pPr>
            <w:r>
              <w:rPr>
                <w:rFonts w:ascii="Times New Roman;Times;serif" w:hAnsi="Times New Roman;Times;serif"/>
                <w:color w:val="000000"/>
                <w:sz w:val="16"/>
              </w:rPr>
              <w:t>504,792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0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3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2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0" w:right="0" w:hanging="0"/>
              <w:jc w:val="left"/>
              <w:rPr>
                <w:color w:val="000000"/>
              </w:rPr>
            </w:pPr>
            <w:r>
              <w:rPr>
                <w:color w:val="000000"/>
              </w:rPr>
              <w:t xml:space="preserve">— </w:t>
            </w:r>
          </w:p>
        </w:tc>
      </w:tr>
      <w:tr>
        <w:trPr/>
        <w:tc>
          <w:tcPr>
            <w:tcW w:w="89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7/16/2025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0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4,696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 w:right="0" w:hanging="0"/>
              <w:jc w:val="left"/>
              <w:rPr>
                <w:rFonts w:ascii="Times New Roman;Times;serif" w:hAnsi="Times New Roman;Times;serif"/>
                <w:color w:val="000000"/>
                <w:sz w:val="16"/>
              </w:rPr>
            </w:pPr>
            <w:r>
              <w:rPr>
                <w:rFonts w:ascii="Times New Roman;Times;serif" w:hAnsi="Times New Roman;Times;serif"/>
                <w:color w:val="000000"/>
                <w:sz w:val="16"/>
              </w:rPr>
              <w:t>29,349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16"/>
              </w:rPr>
            </w:pPr>
            <w:r>
              <w:rPr>
                <w:rFonts w:ascii="Times New Roman;Times;serif" w:hAnsi="Times New Roman;Times;serif"/>
                <w:color w:val="000000"/>
                <w:sz w:val="16"/>
              </w:rPr>
              <w:t>70,438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0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3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2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272,652 </w:t>
            </w:r>
          </w:p>
        </w:tc>
      </w:tr>
      <w:tr>
        <w:trPr/>
        <w:tc>
          <w:tcPr>
            <w:tcW w:w="89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7/16/2025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20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7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09" w:right="0" w:hanging="0"/>
              <w:jc w:val="left"/>
              <w:rPr>
                <w:rFonts w:ascii="Times New Roman;Times;serif" w:hAnsi="Times New Roman;Times;serif"/>
                <w:color w:val="000000"/>
                <w:sz w:val="16"/>
              </w:rPr>
            </w:pPr>
            <w:r>
              <w:rPr>
                <w:rFonts w:ascii="Times New Roman;Times;serif" w:hAnsi="Times New Roman;Times;serif"/>
                <w:color w:val="000000"/>
                <w:sz w:val="16"/>
              </w:rPr>
              <w:t>29,349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3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20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16"/>
              </w:rPr>
            </w:pPr>
            <w:r>
              <w:rPr>
                <w:rFonts w:ascii="Times New Roman;Times;serif" w:hAnsi="Times New Roman;Times;serif"/>
                <w:color w:val="000000"/>
                <w:sz w:val="16"/>
              </w:rPr>
              <w:t>252,401</w:t>
            </w:r>
          </w:p>
        </w:tc>
      </w:tr>
      <w:tr>
        <w:trPr/>
        <w:tc>
          <w:tcPr>
            <w:tcW w:w="8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tbl>
      <w:tblPr>
        <w:tblW w:w="9605" w:type="dxa"/>
        <w:jc w:val="left"/>
        <w:tblInd w:w="600" w:type="dxa"/>
        <w:tblLayout w:type="fixed"/>
        <w:tblCellMar>
          <w:top w:w="0" w:type="dxa"/>
          <w:left w:w="0" w:type="dxa"/>
          <w:bottom w:w="0" w:type="dxa"/>
          <w:right w:w="0" w:type="dxa"/>
        </w:tblCellMar>
      </w:tblPr>
      <w:tblGrid>
        <w:gridCol w:w="228"/>
        <w:gridCol w:w="93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3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shown under “Estimated Future Payouts under Non-Equity Incentive Plan Awards” represent the threshold, target, and maximum amounts payable under our fiscal year 2026 annual cash incentive program, as described above under “Annual Cash Incentives.” </w:t>
            </w:r>
          </w:p>
        </w:tc>
      </w:tr>
    </w:tbl>
    <w:tbl>
      <w:tblPr>
        <w:tblW w:w="9605" w:type="dxa"/>
        <w:jc w:val="left"/>
        <w:tblInd w:w="600" w:type="dxa"/>
        <w:tblLayout w:type="fixed"/>
        <w:tblCellMar>
          <w:top w:w="0" w:type="dxa"/>
          <w:left w:w="0" w:type="dxa"/>
          <w:bottom w:w="0" w:type="dxa"/>
          <w:right w:w="0" w:type="dxa"/>
        </w:tblCellMar>
      </w:tblPr>
      <w:tblGrid>
        <w:gridCol w:w="225"/>
        <w:gridCol w:w="9380"/>
      </w:tblGrid>
      <w:tr>
        <w:trPr/>
        <w:tc>
          <w:tcPr>
            <w:tcW w:w="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3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Grant Date pertains to the grant date of fiscal year 2026 stock option, restricted stock unit, and performance share awards. For a description of the vesting terms applicable to fiscal year 2026 equity awards, please refer to the above discussion under “Long-Term, Equity-Based Incentive Awards.” </w:t>
            </w:r>
          </w:p>
        </w:tc>
      </w:tr>
    </w:tbl>
    <w:tbl>
      <w:tblPr>
        <w:tblW w:w="9605" w:type="dxa"/>
        <w:jc w:val="left"/>
        <w:tblInd w:w="600" w:type="dxa"/>
        <w:tblLayout w:type="fixed"/>
        <w:tblCellMar>
          <w:top w:w="0" w:type="dxa"/>
          <w:left w:w="0" w:type="dxa"/>
          <w:bottom w:w="0" w:type="dxa"/>
          <w:right w:w="0" w:type="dxa"/>
        </w:tblCellMar>
      </w:tblPr>
      <w:tblGrid>
        <w:gridCol w:w="240"/>
        <w:gridCol w:w="9365"/>
      </w:tblGrid>
      <w:tr>
        <w:trPr/>
        <w:tc>
          <w:tcPr>
            <w:tcW w:w="2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3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Threshold represents the minimum amount earned if one of the financial metrics under the plan on which 20% of the bonus is based were achieved at the minimum level needed for any payment. </w:t>
            </w:r>
          </w:p>
        </w:tc>
      </w:tr>
    </w:tbl>
    <w:tbl>
      <w:tblPr>
        <w:tblW w:w="2860" w:type="dxa"/>
        <w:jc w:val="left"/>
        <w:tblInd w:w="600" w:type="dxa"/>
        <w:tblLayout w:type="fixed"/>
        <w:tblCellMar>
          <w:top w:w="0" w:type="dxa"/>
          <w:left w:w="0" w:type="dxa"/>
          <w:bottom w:w="0" w:type="dxa"/>
          <w:right w:w="0" w:type="dxa"/>
        </w:tblCellMar>
      </w:tblPr>
      <w:tblGrid>
        <w:gridCol w:w="260"/>
        <w:gridCol w:w="260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26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options have a ten-year term. </w:t>
            </w:r>
          </w:p>
        </w:tc>
      </w:tr>
    </w:tbl>
    <w:tbl>
      <w:tblPr>
        <w:tblW w:w="9605" w:type="dxa"/>
        <w:jc w:val="left"/>
        <w:tblInd w:w="600" w:type="dxa"/>
        <w:tblLayout w:type="fixed"/>
        <w:tblCellMar>
          <w:top w:w="0" w:type="dxa"/>
          <w:left w:w="0" w:type="dxa"/>
          <w:bottom w:w="0" w:type="dxa"/>
          <w:right w:w="0" w:type="dxa"/>
        </w:tblCellMar>
      </w:tblPr>
      <w:tblGrid>
        <w:gridCol w:w="224"/>
        <w:gridCol w:w="93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3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grant-date fair value based on FASB ASC 718 for fiscal year 2026 equity grants. The assumptions used in the valuation of stock-based awards are discussed in Note 13 to our Audited Consolidated Financial Statements included in our Annual Report on Form 10-K for the fiscal year ended May 31, 2026.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62" w:name="ny20083274x1_def14a_111-sumcomp_pg4"/>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center"/>
        <w:rPr>
          <w:rFonts w:ascii="Times New Roman;Times;serif" w:hAnsi="Times New Roman;Times;serif"/>
          <w:b/>
          <w:color w:val="000000"/>
          <w:sz w:val="20"/>
        </w:rPr>
      </w:pPr>
      <w:bookmarkStart w:id="63" w:name="tOEAF"/>
      <w:bookmarkEnd w:id="63"/>
      <w:r>
        <w:rPr>
          <w:rFonts w:ascii="Times New Roman;Times;serif" w:hAnsi="Times New Roman;Times;serif"/>
          <w:b/>
          <w:color w:val="000000"/>
          <w:sz w:val="20"/>
        </w:rPr>
        <w:t xml:space="preserve">Outstanding Equity Awards at Fiscal 2026 Year-End </w:t>
      </w:r>
    </w:p>
    <w:p>
      <w:pPr>
        <w:pStyle w:val="TextBody"/>
        <w:bidi w:val="0"/>
        <w:spacing w:before="120" w:after="283"/>
        <w:ind w:left="6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number of securities underlying outstanding equity awards for the named executive officers on May 31, 2026. </w:t>
      </w:r>
    </w:p>
    <w:tbl>
      <w:tblPr>
        <w:tblW w:w="11465" w:type="dxa"/>
        <w:jc w:val="left"/>
        <w:tblInd w:w="0" w:type="dxa"/>
        <w:tblLayout w:type="fixed"/>
        <w:tblCellMar>
          <w:top w:w="0" w:type="dxa"/>
          <w:left w:w="0" w:type="dxa"/>
          <w:bottom w:w="0" w:type="dxa"/>
          <w:right w:w="0" w:type="dxa"/>
        </w:tblCellMar>
      </w:tblPr>
      <w:tblGrid>
        <w:gridCol w:w="755"/>
        <w:gridCol w:w="170"/>
        <w:gridCol w:w="170"/>
        <w:gridCol w:w="515"/>
        <w:gridCol w:w="170"/>
        <w:gridCol w:w="170"/>
        <w:gridCol w:w="785"/>
        <w:gridCol w:w="170"/>
        <w:gridCol w:w="170"/>
        <w:gridCol w:w="935"/>
        <w:gridCol w:w="170"/>
        <w:gridCol w:w="170"/>
        <w:gridCol w:w="575"/>
        <w:gridCol w:w="170"/>
        <w:gridCol w:w="170"/>
        <w:gridCol w:w="755"/>
        <w:gridCol w:w="170"/>
        <w:gridCol w:w="170"/>
        <w:gridCol w:w="440"/>
        <w:gridCol w:w="170"/>
        <w:gridCol w:w="170"/>
        <w:gridCol w:w="575"/>
        <w:gridCol w:w="170"/>
        <w:gridCol w:w="170"/>
        <w:gridCol w:w="665"/>
        <w:gridCol w:w="170"/>
        <w:gridCol w:w="170"/>
        <w:gridCol w:w="440"/>
        <w:gridCol w:w="170"/>
        <w:gridCol w:w="170"/>
        <w:gridCol w:w="575"/>
        <w:gridCol w:w="170"/>
        <w:gridCol w:w="170"/>
        <w:gridCol w:w="710"/>
      </w:tblGrid>
      <w:tr>
        <w:trPr/>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25" w:type="dxa"/>
            <w:gridSpan w:val="13"/>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5" w:type="dxa"/>
            <w:gridSpan w:val="16"/>
            <w:tcBorders/>
            <w:vAlign w:val="center"/>
          </w:tcPr>
          <w:p>
            <w:pPr>
              <w:pStyle w:val="TableContents"/>
              <w:bidi w:val="0"/>
              <w:spacing w:before="0" w:after="0"/>
              <w:jc w:val="left"/>
              <w:rPr/>
            </w:pPr>
            <w:r>
              <w:rPr/>
              <w:t> </w:t>
            </w:r>
          </w:p>
        </w:tc>
      </w:tr>
      <w:tr>
        <w:trPr/>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25" w:type="dxa"/>
            <w:gridSpan w:val="13"/>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Option Awards</w:t>
            </w:r>
            <w:r>
              <w:rPr>
                <w:rFonts w:ascii="Times New Roman;Times;serif" w:hAnsi="Times New Roman;Times;serif"/>
                <w:b/>
                <w:color w:val="000000"/>
                <w:position w:val="5"/>
                <w:sz w:val="12"/>
                <w:sz w:val="15"/>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05" w:type="dxa"/>
            <w:gridSpan w:val="16"/>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Stock Awards</w:t>
            </w:r>
            <w:r>
              <w:rPr>
                <w:rFonts w:ascii="Times New Roman;Times;serif" w:hAnsi="Times New Roman;Times;serif"/>
                <w:b/>
                <w:color w:val="000000"/>
                <w:position w:val="5"/>
                <w:sz w:val="12"/>
                <w:sz w:val="15"/>
              </w:rPr>
              <w:t>(2)</w:t>
            </w:r>
            <w:r>
              <w:rPr>
                <w:rFonts w:ascii="Times New Roman;Times;serif" w:hAnsi="Times New Roman;Times;serif"/>
                <w:b/>
                <w:color w:val="000000"/>
                <w:sz w:val="15"/>
              </w:rPr>
              <w:t xml:space="preserve"> </w:t>
            </w:r>
          </w:p>
        </w:tc>
      </w:tr>
      <w:tr>
        <w:trPr/>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gridSpan w:val="4"/>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of Securities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Underlying Unexercised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Options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0" w:type="dxa"/>
            <w:gridSpan w:val="4"/>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Shares or Units of Stock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That Have Not Vested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gridSpan w:val="4"/>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Equity Incentive Plan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Awards: Number of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Unearned Shares, Units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Other Rights That Have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Not Vested </w:t>
            </w:r>
          </w:p>
        </w:tc>
      </w:tr>
      <w:tr>
        <w:trPr/>
        <w:tc>
          <w:tcPr>
            <w:tcW w:w="755" w:type="dxa"/>
            <w:tcBorders>
              <w:bottom w:val="single" w:sz="8" w:space="0" w:color="000000"/>
            </w:tcBorders>
            <w:tcMar>
              <w:bottom w:w="50" w:type="dxa"/>
            </w:tcMar>
            <w:vAlign w:val="center"/>
          </w:tcPr>
          <w:p>
            <w:pPr>
              <w:pStyle w:val="TableContents"/>
              <w:bidi w:val="0"/>
              <w:spacing w:before="0" w:after="283"/>
              <w:ind w:left="0" w:right="0" w:hanging="0"/>
              <w:jc w:val="left"/>
              <w:rPr>
                <w:rFonts w:ascii="Times New Roman;Times;serif" w:hAnsi="Times New Roman;Times;serif"/>
                <w:b/>
                <w:color w:val="000000"/>
                <w:sz w:val="15"/>
              </w:rPr>
            </w:pPr>
            <w:r>
              <w:rPr>
                <w:rFonts w:ascii="Times New Roman;Times;serif" w:hAnsi="Times New Roman;Times;serif"/>
                <w:b/>
                <w:color w:val="000000"/>
                <w:sz w:val="15"/>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Unexercisable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Exercise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Price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Option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Expiration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Market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Value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Number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w:t>
            </w:r>
            <w:r>
              <w:rPr>
                <w:rFonts w:ascii="Times New Roman;Times;serif" w:hAnsi="Times New Roman;Times;serif"/>
                <w:b/>
                <w:color w:val="000000"/>
                <w:position w:val="5"/>
                <w:sz w:val="12"/>
                <w:sz w:val="15"/>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50" w:type="dxa"/>
            </w:tcMar>
            <w:vAlign w:val="center"/>
          </w:tcPr>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Market or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Payout Value </w:t>
            </w:r>
          </w:p>
          <w:p>
            <w:pPr>
              <w:pStyle w:val="TableContents"/>
              <w:bidi w:val="0"/>
              <w:spacing w:before="0" w:after="283"/>
              <w:jc w:val="center"/>
              <w:rPr>
                <w:rFonts w:ascii="Times New Roman;Times;serif" w:hAnsi="Times New Roman;Times;serif"/>
                <w:b/>
                <w:color w:val="000000"/>
                <w:sz w:val="15"/>
              </w:rPr>
            </w:pPr>
            <w:r>
              <w:rPr>
                <w:rFonts w:ascii="Times New Roman;Times;serif" w:hAnsi="Times New Roman;Times;serif"/>
                <w:b/>
                <w:color w:val="000000"/>
                <w:sz w:val="15"/>
              </w:rPr>
              <w:t xml:space="preserve">($) </w:t>
            </w:r>
          </w:p>
        </w:tc>
      </w:tr>
      <w:tr>
        <w:trPr/>
        <w:tc>
          <w:tcPr>
            <w:tcW w:w="75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James C. Clemmer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7/26/17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77,627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16.55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7/26/27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5"/>
              </w:rPr>
            </w:pPr>
            <w:r>
              <w:rPr>
                <w:rFonts w:ascii="Times New Roman;Times;serif" w:hAnsi="Times New Roman;Times;serif"/>
                <w:color w:val="000000"/>
                <w:sz w:val="15"/>
              </w:rPr>
              <w:t>8,274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94,986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7/19/23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5"/>
              </w:rPr>
            </w:pPr>
            <w:r>
              <w:rPr>
                <w:rFonts w:ascii="Times New Roman;Times;serif" w:hAnsi="Times New Roman;Times;serif"/>
                <w:color w:val="000000"/>
                <w:sz w:val="15"/>
              </w:rPr>
              <w:t>184,361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2,116,464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7/18/18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55,651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20.93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7/18/28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7/19/23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5"/>
              </w:rPr>
            </w:pPr>
            <w:r>
              <w:rPr>
                <w:rFonts w:ascii="Times New Roman;Times;serif" w:hAnsi="Times New Roman;Times;serif"/>
                <w:color w:val="000000"/>
                <w:sz w:val="15"/>
              </w:rPr>
              <w:t>46,091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529,125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7/17/24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5"/>
              </w:rPr>
            </w:pPr>
            <w:r>
              <w:rPr>
                <w:rFonts w:ascii="Times New Roman;Times;serif" w:hAnsi="Times New Roman;Times;serif"/>
                <w:color w:val="000000"/>
                <w:sz w:val="15"/>
              </w:rPr>
              <w:t>211,622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2,429,421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7/17/19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83,967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21.54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7/17/29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7/17/24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5"/>
              </w:rPr>
            </w:pPr>
            <w:r>
              <w:rPr>
                <w:rFonts w:ascii="Times New Roman;Times;serif" w:hAnsi="Times New Roman;Times;serif"/>
                <w:color w:val="000000"/>
                <w:sz w:val="15"/>
              </w:rPr>
              <w:t>79,359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911,041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7/19/24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5"/>
              </w:rPr>
            </w:pPr>
            <w:r>
              <w:rPr>
                <w:rFonts w:ascii="Times New Roman;Times;serif" w:hAnsi="Times New Roman;Times;serif"/>
                <w:color w:val="000000"/>
                <w:sz w:val="15"/>
              </w:rPr>
              <w:t>7,633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87,627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7/14/20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160,237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9.92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7/14/30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7/19/24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5"/>
              </w:rPr>
            </w:pPr>
            <w:r>
              <w:rPr>
                <w:rFonts w:ascii="Times New Roman;Times;serif" w:hAnsi="Times New Roman;Times;serif"/>
                <w:color w:val="000000"/>
                <w:sz w:val="15"/>
              </w:rPr>
              <w:t>2,863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32,867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7/16/25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5"/>
              </w:rPr>
            </w:pPr>
            <w:r>
              <w:rPr>
                <w:rFonts w:ascii="Times New Roman;Times;serif" w:hAnsi="Times New Roman;Times;serif"/>
                <w:color w:val="000000"/>
                <w:sz w:val="15"/>
              </w:rPr>
              <w:t>206,253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2,367,784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7/21/21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101,667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26.49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7/21/31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7/16/25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5"/>
              </w:rPr>
            </w:pPr>
            <w:r>
              <w:rPr>
                <w:rFonts w:ascii="Times New Roman;Times;serif" w:hAnsi="Times New Roman;Times;serif"/>
                <w:color w:val="000000"/>
                <w:sz w:val="15"/>
              </w:rPr>
              <w:t>206,253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2,367,784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8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7"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58,148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19,382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21.53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8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8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7"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7/19/23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95,390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95,388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8.92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7/19/33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8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8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7"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7/17/24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51,924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155,769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7.40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7/17/34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8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8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7"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7/19/24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1,867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5,599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7.18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7/19/34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8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8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7" w:right="0" w:hanging="0"/>
              <w:jc w:val="left"/>
              <w:rPr>
                <w:color w:val="000000"/>
              </w:rPr>
            </w:pPr>
            <w:r>
              <w:rPr>
                <w:color w:val="000000"/>
              </w:rPr>
              <w:t xml:space="preserve">— </w:t>
            </w:r>
          </w:p>
        </w:tc>
      </w:tr>
      <w:tr>
        <w:trPr/>
        <w:tc>
          <w:tcPr>
            <w:tcW w:w="75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Stephen A. Trowbridge</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7/26/17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13,018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16.55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7/26/27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11" w:right="0" w:hanging="0"/>
              <w:jc w:val="left"/>
              <w:rPr>
                <w:rFonts w:ascii="Times New Roman;Times;serif" w:hAnsi="Times New Roman;Times;serif"/>
                <w:color w:val="000000"/>
                <w:sz w:val="15"/>
              </w:rPr>
            </w:pPr>
            <w:r>
              <w:rPr>
                <w:rFonts w:ascii="Times New Roman;Times;serif" w:hAnsi="Times New Roman;Times;serif"/>
                <w:color w:val="000000"/>
                <w:sz w:val="15"/>
              </w:rPr>
              <w:t>1,991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22,857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7/19/23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87" w:right="0" w:hanging="0"/>
              <w:jc w:val="left"/>
              <w:rPr>
                <w:rFonts w:ascii="Times New Roman;Times;serif" w:hAnsi="Times New Roman;Times;serif"/>
                <w:color w:val="000000"/>
                <w:sz w:val="15"/>
              </w:rPr>
            </w:pPr>
            <w:r>
              <w:rPr>
                <w:rFonts w:ascii="Times New Roman;Times;serif" w:hAnsi="Times New Roman;Times;serif"/>
                <w:color w:val="000000"/>
                <w:sz w:val="15"/>
              </w:rPr>
              <w:t>57,381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87"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658,734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7/18/18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9,324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20.93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7/18/28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7/19/23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11" w:right="0" w:hanging="0"/>
              <w:jc w:val="left"/>
              <w:rPr>
                <w:rFonts w:ascii="Times New Roman;Times;serif" w:hAnsi="Times New Roman;Times;serif"/>
                <w:color w:val="000000"/>
                <w:sz w:val="15"/>
              </w:rPr>
            </w:pPr>
            <w:r>
              <w:rPr>
                <w:rFonts w:ascii="Times New Roman;Times;serif" w:hAnsi="Times New Roman;Times;serif"/>
                <w:color w:val="000000"/>
                <w:sz w:val="15"/>
              </w:rPr>
              <w:t>14,346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164,692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7/17/24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87" w:right="0" w:hanging="0"/>
              <w:jc w:val="left"/>
              <w:rPr>
                <w:rFonts w:ascii="Times New Roman;Times;serif" w:hAnsi="Times New Roman;Times;serif"/>
                <w:color w:val="000000"/>
                <w:sz w:val="15"/>
              </w:rPr>
            </w:pPr>
            <w:r>
              <w:rPr>
                <w:rFonts w:ascii="Times New Roman;Times;serif" w:hAnsi="Times New Roman;Times;serif"/>
                <w:color w:val="000000"/>
                <w:sz w:val="15"/>
              </w:rPr>
              <w:t>77,905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87"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894,349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7/18/18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5,708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20.93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7/18/28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7/17/24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11" w:right="0" w:hanging="0"/>
              <w:jc w:val="left"/>
              <w:rPr>
                <w:rFonts w:ascii="Times New Roman;Times;serif" w:hAnsi="Times New Roman;Times;serif"/>
                <w:color w:val="000000"/>
                <w:sz w:val="15"/>
              </w:rPr>
            </w:pPr>
            <w:r>
              <w:rPr>
                <w:rFonts w:ascii="Times New Roman;Times;serif" w:hAnsi="Times New Roman;Times;serif"/>
                <w:color w:val="000000"/>
                <w:sz w:val="15"/>
              </w:rPr>
              <w:t>29,215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335,388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7/16/25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87" w:right="0" w:hanging="0"/>
              <w:jc w:val="left"/>
              <w:rPr>
                <w:rFonts w:ascii="Times New Roman;Times;serif" w:hAnsi="Times New Roman;Times;serif"/>
                <w:color w:val="000000"/>
                <w:sz w:val="15"/>
              </w:rPr>
            </w:pPr>
            <w:r>
              <w:rPr>
                <w:rFonts w:ascii="Times New Roman;Times;serif" w:hAnsi="Times New Roman;Times;serif"/>
                <w:color w:val="000000"/>
                <w:sz w:val="15"/>
              </w:rPr>
              <w:t>86,997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87"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998,726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7/17/19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13,975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21.54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7/17/29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7/16/25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11" w:right="0" w:hanging="0"/>
              <w:jc w:val="left"/>
              <w:rPr>
                <w:rFonts w:ascii="Times New Roman;Times;serif" w:hAnsi="Times New Roman;Times;serif"/>
                <w:color w:val="000000"/>
                <w:sz w:val="15"/>
              </w:rPr>
            </w:pPr>
            <w:r>
              <w:rPr>
                <w:rFonts w:ascii="Times New Roman;Times;serif" w:hAnsi="Times New Roman;Times;serif"/>
                <w:color w:val="000000"/>
                <w:sz w:val="15"/>
              </w:rPr>
              <w:t>86,997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998,726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87"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2/3/20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18,204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13.74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2/3/30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1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87"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7/14/20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44,510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9.92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7/14/30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1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87"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7/21/21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20,128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26.49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7/21/31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1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87"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13,988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4,662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21.53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1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87"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7/19/23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29,690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29,688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8.92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7/19/33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1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87"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7/17/24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19,115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57,343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7.40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7/17/34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1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8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87" w:right="0" w:hanging="0"/>
              <w:jc w:val="left"/>
              <w:rPr>
                <w:color w:val="000000"/>
              </w:rPr>
            </w:pPr>
            <w:r>
              <w:rPr>
                <w:color w:val="000000"/>
              </w:rPr>
              <w:t xml:space="preserve">— </w:t>
            </w:r>
          </w:p>
        </w:tc>
      </w:tr>
      <w:tr>
        <w:trPr/>
        <w:tc>
          <w:tcPr>
            <w:tcW w:w="75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Lawrence T. Weiss</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12/2/24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25,913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77,737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7.14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12/2/34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12/2/24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5"/>
              </w:rPr>
            </w:pPr>
            <w:r>
              <w:rPr>
                <w:rFonts w:ascii="Times New Roman;Times;serif" w:hAnsi="Times New Roman;Times;serif"/>
                <w:color w:val="000000"/>
                <w:sz w:val="15"/>
              </w:rPr>
              <w:t>39,523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453,724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7/16/25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5"/>
              </w:rPr>
            </w:pPr>
            <w:r>
              <w:rPr>
                <w:rFonts w:ascii="Times New Roman;Times;serif" w:hAnsi="Times New Roman;Times;serif"/>
                <w:color w:val="000000"/>
                <w:sz w:val="15"/>
              </w:rPr>
              <w:t>30,900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354,732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7/16/25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5"/>
              </w:rPr>
            </w:pPr>
            <w:r>
              <w:rPr>
                <w:rFonts w:ascii="Times New Roman;Times;serif" w:hAnsi="Times New Roman;Times;serif"/>
                <w:color w:val="000000"/>
                <w:sz w:val="15"/>
              </w:rPr>
              <w:t>30,900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354,732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r>
      <w:tr>
        <w:trPr/>
        <w:tc>
          <w:tcPr>
            <w:tcW w:w="75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Laura Piccinini</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6/1/21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23.49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6/1/31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11" w:right="0" w:hanging="0"/>
              <w:jc w:val="left"/>
              <w:rPr>
                <w:rFonts w:ascii="Times New Roman;Times;serif" w:hAnsi="Times New Roman;Times;serif"/>
                <w:color w:val="000000"/>
                <w:sz w:val="15"/>
              </w:rPr>
            </w:pPr>
            <w:r>
              <w:rPr>
                <w:rFonts w:ascii="Times New Roman;Times;serif" w:hAnsi="Times New Roman;Times;serif"/>
                <w:color w:val="000000"/>
                <w:sz w:val="15"/>
              </w:rPr>
              <w:t>1,101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12,639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7/19/23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87" w:right="0" w:hanging="0"/>
              <w:jc w:val="left"/>
              <w:rPr>
                <w:rFonts w:ascii="Times New Roman;Times;serif" w:hAnsi="Times New Roman;Times;serif"/>
                <w:color w:val="000000"/>
                <w:sz w:val="15"/>
              </w:rPr>
            </w:pPr>
            <w:r>
              <w:rPr>
                <w:rFonts w:ascii="Times New Roman;Times;serif" w:hAnsi="Times New Roman;Times;serif"/>
                <w:color w:val="000000"/>
                <w:sz w:val="15"/>
              </w:rPr>
              <w:t>28,336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87"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325,297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7/21/21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8,019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26.49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7/21/31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7/19/23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11" w:right="0" w:hanging="0"/>
              <w:jc w:val="left"/>
              <w:rPr>
                <w:rFonts w:ascii="Times New Roman;Times;serif" w:hAnsi="Times New Roman;Times;serif"/>
                <w:color w:val="000000"/>
                <w:sz w:val="15"/>
              </w:rPr>
            </w:pPr>
            <w:r>
              <w:rPr>
                <w:rFonts w:ascii="Times New Roman;Times;serif" w:hAnsi="Times New Roman;Times;serif"/>
                <w:color w:val="000000"/>
                <w:sz w:val="15"/>
              </w:rPr>
              <w:t>7,084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81,324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7/17/24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87" w:right="0" w:hanging="0"/>
              <w:jc w:val="left"/>
              <w:rPr>
                <w:rFonts w:ascii="Times New Roman;Times;serif" w:hAnsi="Times New Roman;Times;serif"/>
                <w:color w:val="000000"/>
                <w:sz w:val="15"/>
              </w:rPr>
            </w:pPr>
            <w:r>
              <w:rPr>
                <w:rFonts w:ascii="Times New Roman;Times;serif" w:hAnsi="Times New Roman;Times;serif"/>
                <w:color w:val="000000"/>
                <w:sz w:val="15"/>
              </w:rPr>
              <w:t>30,428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87"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349,313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7,734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2,578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21.53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7/17/24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11" w:right="0" w:hanging="0"/>
              <w:jc w:val="left"/>
              <w:rPr>
                <w:rFonts w:ascii="Times New Roman;Times;serif" w:hAnsi="Times New Roman;Times;serif"/>
                <w:color w:val="000000"/>
                <w:sz w:val="15"/>
              </w:rPr>
            </w:pPr>
            <w:r>
              <w:rPr>
                <w:rFonts w:ascii="Times New Roman;Times;serif" w:hAnsi="Times New Roman;Times;serif"/>
                <w:color w:val="000000"/>
                <w:sz w:val="15"/>
              </w:rPr>
              <w:t>5,068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58,181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7/16/25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87" w:right="0" w:hanging="0"/>
              <w:jc w:val="left"/>
              <w:rPr>
                <w:rFonts w:ascii="Times New Roman;Times;serif" w:hAnsi="Times New Roman;Times;serif"/>
                <w:color w:val="000000"/>
                <w:sz w:val="15"/>
              </w:rPr>
            </w:pPr>
            <w:r>
              <w:rPr>
                <w:rFonts w:ascii="Times New Roman;Times;serif" w:hAnsi="Times New Roman;Times;serif"/>
                <w:color w:val="000000"/>
                <w:sz w:val="15"/>
              </w:rPr>
              <w:t>32,423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87"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372,216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7/19/23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14,662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14,660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8.92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7/19/33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7/17/24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11" w:right="0" w:hanging="0"/>
              <w:jc w:val="left"/>
              <w:rPr>
                <w:rFonts w:ascii="Times New Roman;Times;serif" w:hAnsi="Times New Roman;Times;serif"/>
                <w:color w:val="000000"/>
                <w:sz w:val="15"/>
              </w:rPr>
            </w:pPr>
            <w:r>
              <w:rPr>
                <w:rFonts w:ascii="Times New Roman;Times;serif" w:hAnsi="Times New Roman;Times;serif"/>
                <w:color w:val="000000"/>
                <w:sz w:val="15"/>
              </w:rPr>
              <w:t>11,411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130,998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87" w:right="0" w:hanging="0"/>
              <w:jc w:val="left"/>
              <w:rPr>
                <w:color w:val="000000"/>
              </w:rPr>
            </w:pPr>
            <w:r>
              <w:rPr>
                <w:color w:val="000000"/>
              </w:rPr>
              <w:t xml:space="preserve">— </w:t>
            </w:r>
          </w:p>
        </w:tc>
      </w:tr>
      <w:tr>
        <w:trPr/>
        <w:tc>
          <w:tcPr>
            <w:tcW w:w="75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7/17/24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7,466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22,397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7.40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7/17/34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7/16/25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11" w:right="0" w:hanging="0"/>
              <w:jc w:val="left"/>
              <w:rPr>
                <w:rFonts w:ascii="Times New Roman;Times;serif" w:hAnsi="Times New Roman;Times;serif"/>
                <w:color w:val="000000"/>
                <w:sz w:val="15"/>
              </w:rPr>
            </w:pPr>
            <w:r>
              <w:rPr>
                <w:rFonts w:ascii="Times New Roman;Times;serif" w:hAnsi="Times New Roman;Times;serif"/>
                <w:color w:val="000000"/>
                <w:sz w:val="15"/>
              </w:rPr>
              <w:t>32,423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372,216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187" w:right="0" w:hanging="0"/>
              <w:jc w:val="left"/>
              <w:rPr>
                <w:color w:val="000000"/>
              </w:rPr>
            </w:pPr>
            <w:r>
              <w:rPr>
                <w:color w:val="000000"/>
              </w:rPr>
              <w:t xml:space="preserve">— </w:t>
            </w:r>
          </w:p>
        </w:tc>
      </w:tr>
      <w:tr>
        <w:trPr/>
        <w:tc>
          <w:tcPr>
            <w:tcW w:w="75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Warren G. Nighan</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7/26/17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11,943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16.55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7/26/27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5"/>
              </w:rPr>
            </w:pPr>
            <w:r>
              <w:rPr>
                <w:rFonts w:ascii="Times New Roman;Times;serif" w:hAnsi="Times New Roman;Times;serif"/>
                <w:color w:val="000000"/>
                <w:sz w:val="15"/>
              </w:rPr>
              <w:t>857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9,838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7/19/23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5"/>
              </w:rPr>
            </w:pPr>
            <w:r>
              <w:rPr>
                <w:rFonts w:ascii="Times New Roman;Times;serif" w:hAnsi="Times New Roman;Times;serif"/>
                <w:color w:val="000000"/>
                <w:sz w:val="15"/>
              </w:rPr>
              <w:t>20,052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230,197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7/18/18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8,562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20.93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7/18/28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7/19/23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5"/>
              </w:rPr>
            </w:pPr>
            <w:r>
              <w:rPr>
                <w:rFonts w:ascii="Times New Roman;Times;serif" w:hAnsi="Times New Roman;Times;serif"/>
                <w:color w:val="000000"/>
                <w:sz w:val="15"/>
              </w:rPr>
              <w:t>5,014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57,561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7/17/24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5"/>
              </w:rPr>
            </w:pPr>
            <w:r>
              <w:rPr>
                <w:rFonts w:ascii="Times New Roman;Times;serif" w:hAnsi="Times New Roman;Times;serif"/>
                <w:color w:val="000000"/>
                <w:sz w:val="15"/>
              </w:rPr>
              <w:t>23,952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274,969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7/18/18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6,659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20.93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7/18/28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7/17/24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5"/>
              </w:rPr>
            </w:pPr>
            <w:r>
              <w:rPr>
                <w:rFonts w:ascii="Times New Roman;Times;serif" w:hAnsi="Times New Roman;Times;serif"/>
                <w:color w:val="000000"/>
                <w:sz w:val="15"/>
              </w:rPr>
              <w:t>5,068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58,181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7/16/25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5"/>
              </w:rPr>
            </w:pPr>
            <w:r>
              <w:rPr>
                <w:rFonts w:ascii="Times New Roman;Times;serif" w:hAnsi="Times New Roman;Times;serif"/>
                <w:color w:val="000000"/>
                <w:sz w:val="15"/>
              </w:rPr>
              <w:t>29,349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336,927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7/17/19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10,790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21.54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7/17/29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7/17/24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5"/>
              </w:rPr>
            </w:pPr>
            <w:r>
              <w:rPr>
                <w:rFonts w:ascii="Times New Roman;Times;serif" w:hAnsi="Times New Roman;Times;serif"/>
                <w:color w:val="000000"/>
                <w:sz w:val="15"/>
              </w:rPr>
              <w:t>8,982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103,113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8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7"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7/14/20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20,619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9.92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7/14/30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7/16/25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5"/>
              </w:rPr>
            </w:pPr>
            <w:r>
              <w:rPr>
                <w:rFonts w:ascii="Times New Roman;Times;serif" w:hAnsi="Times New Roman;Times;serif"/>
                <w:color w:val="000000"/>
                <w:sz w:val="15"/>
              </w:rPr>
              <w:t>29,349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15"/>
              </w:rPr>
            </w:pPr>
            <w:r>
              <w:rPr>
                <w:rFonts w:ascii="Times New Roman;Times;serif" w:hAnsi="Times New Roman;Times;serif"/>
                <w:color w:val="000000"/>
                <w:sz w:val="15"/>
              </w:rPr>
              <w:t>336,927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8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7"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7/21/21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10,256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26.49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7/21/31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8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8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7"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6,021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2,006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21.53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8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8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7"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7/19/23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10,376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10,374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8.92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7/19/33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8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8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7" w:right="0" w:hanging="0"/>
              <w:jc w:val="left"/>
              <w:rPr>
                <w:color w:val="000000"/>
              </w:rPr>
            </w:pPr>
            <w:r>
              <w:rPr>
                <w:color w:val="000000"/>
              </w:rPr>
              <w:t xml:space="preserve">— </w:t>
            </w:r>
          </w:p>
        </w:tc>
      </w:tr>
      <w:tr>
        <w:trPr/>
        <w:tc>
          <w:tcPr>
            <w:tcW w:w="75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5"/>
              </w:rPr>
            </w:pPr>
            <w:r>
              <w:rPr>
                <w:rFonts w:ascii="Times New Roman;Times;serif" w:hAnsi="Times New Roman;Times;serif"/>
                <w:color w:val="000000"/>
                <w:sz w:val="15"/>
              </w:rPr>
              <w:t>7/17/24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5"/>
              </w:rPr>
            </w:pPr>
            <w:r>
              <w:rPr>
                <w:rFonts w:ascii="Times New Roman;Times;serif" w:hAnsi="Times New Roman;Times;serif"/>
                <w:color w:val="000000"/>
                <w:sz w:val="15"/>
              </w:rPr>
              <w:t>5,877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05" w:right="0" w:hanging="0"/>
              <w:jc w:val="left"/>
              <w:rPr>
                <w:rFonts w:ascii="Times New Roman;Times;serif" w:hAnsi="Times New Roman;Times;serif"/>
                <w:color w:val="000000"/>
                <w:sz w:val="15"/>
              </w:rPr>
            </w:pPr>
            <w:r>
              <w:rPr>
                <w:rFonts w:ascii="Times New Roman;Times;serif" w:hAnsi="Times New Roman;Times;serif"/>
                <w:color w:val="000000"/>
                <w:sz w:val="15"/>
              </w:rPr>
              <w:t>17,630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01" w:right="0" w:hanging="0"/>
              <w:jc w:val="left"/>
              <w:rPr>
                <w:rFonts w:ascii="Times New Roman;Times;serif" w:hAnsi="Times New Roman;Times;serif"/>
                <w:color w:val="000000"/>
                <w:sz w:val="15"/>
              </w:rPr>
            </w:pPr>
            <w:r>
              <w:rPr>
                <w:rFonts w:ascii="Times New Roman;Times;serif" w:hAnsi="Times New Roman;Times;serif"/>
                <w:color w:val="000000"/>
                <w:sz w:val="15"/>
              </w:rPr>
              <w:t>7.40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7" w:right="0" w:hanging="0"/>
              <w:jc w:val="left"/>
              <w:rPr>
                <w:rFonts w:ascii="Times New Roman;Times;serif" w:hAnsi="Times New Roman;Times;serif"/>
                <w:color w:val="000000"/>
                <w:sz w:val="15"/>
              </w:rPr>
            </w:pPr>
            <w:r>
              <w:rPr>
                <w:rFonts w:ascii="Times New Roman;Times;serif" w:hAnsi="Times New Roman;Times;serif"/>
                <w:color w:val="000000"/>
                <w:sz w:val="15"/>
              </w:rPr>
              <w:t>7/17/34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1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283"/>
              <w:ind w:left="8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8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187" w:right="0" w:hanging="0"/>
              <w:jc w:val="left"/>
              <w:rPr>
                <w:color w:val="000000"/>
              </w:rPr>
            </w:pPr>
            <w:r>
              <w:rPr>
                <w:color w:val="000000"/>
              </w:rPr>
              <w:t>—</w:t>
            </w:r>
          </w:p>
        </w:tc>
      </w:tr>
      <w:tr>
        <w:trPr/>
        <w:tc>
          <w:tcPr>
            <w:tcW w:w="7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tbl>
      <w:tblPr>
        <w:tblW w:w="6400" w:type="dxa"/>
        <w:jc w:val="left"/>
        <w:tblInd w:w="600" w:type="dxa"/>
        <w:tblLayout w:type="fixed"/>
        <w:tblCellMar>
          <w:top w:w="0" w:type="dxa"/>
          <w:left w:w="0" w:type="dxa"/>
          <w:bottom w:w="0" w:type="dxa"/>
          <w:right w:w="0" w:type="dxa"/>
        </w:tblCellMar>
      </w:tblPr>
      <w:tblGrid>
        <w:gridCol w:w="260"/>
        <w:gridCol w:w="614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Stock options vest 25% on each of the first four anniversaries following the grant date. </w:t>
            </w:r>
          </w:p>
        </w:tc>
      </w:tr>
    </w:tbl>
    <w:tbl>
      <w:tblPr>
        <w:tblW w:w="9605" w:type="dxa"/>
        <w:jc w:val="left"/>
        <w:tblInd w:w="600" w:type="dxa"/>
        <w:tblLayout w:type="fixed"/>
        <w:tblCellMar>
          <w:top w:w="0" w:type="dxa"/>
          <w:left w:w="0" w:type="dxa"/>
          <w:bottom w:w="0" w:type="dxa"/>
          <w:right w:w="0" w:type="dxa"/>
        </w:tblCellMar>
      </w:tblPr>
      <w:tblGrid>
        <w:gridCol w:w="239"/>
        <w:gridCol w:w="9366"/>
      </w:tblGrid>
      <w:tr>
        <w:trPr/>
        <w:tc>
          <w:tcPr>
            <w:tcW w:w="23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36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value of restricted stock units and performance share awards is determined using the closing price of our common stock on May 31, 2026 (the last trading day in fiscal year 2026) of $11.48. </w:t>
            </w:r>
          </w:p>
        </w:tc>
      </w:tr>
    </w:tbl>
    <w:tbl>
      <w:tblPr>
        <w:tblW w:w="6910" w:type="dxa"/>
        <w:jc w:val="left"/>
        <w:tblInd w:w="600" w:type="dxa"/>
        <w:tblLayout w:type="fixed"/>
        <w:tblCellMar>
          <w:top w:w="0" w:type="dxa"/>
          <w:left w:w="0" w:type="dxa"/>
          <w:bottom w:w="0" w:type="dxa"/>
          <w:right w:w="0" w:type="dxa"/>
        </w:tblCellMar>
      </w:tblPr>
      <w:tblGrid>
        <w:gridCol w:w="260"/>
        <w:gridCol w:w="665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66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Restricted stock units vest 25% on each of the first four anniversaries following the grant date. </w:t>
            </w:r>
          </w:p>
        </w:tc>
      </w:tr>
    </w:tbl>
    <w:tbl>
      <w:tblPr>
        <w:tblW w:w="9605" w:type="dxa"/>
        <w:jc w:val="left"/>
        <w:tblInd w:w="600" w:type="dxa"/>
        <w:tblLayout w:type="fixed"/>
        <w:tblCellMar>
          <w:top w:w="0" w:type="dxa"/>
          <w:left w:w="0" w:type="dxa"/>
          <w:bottom w:w="0" w:type="dxa"/>
          <w:right w:w="0" w:type="dxa"/>
        </w:tblCellMar>
      </w:tblPr>
      <w:tblGrid>
        <w:gridCol w:w="213"/>
        <w:gridCol w:w="93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3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2024, 2025 and 2026 performance share awards vest at the end of the third fiscal year following each respective grant, subject to (a) achievement of performance metrics, (b) continuous employment through the performance period, and (c) certification by the Compensation and Human Capital Committee (or the Board in the case of the CEO), which in the case of the 2024 performance share awards occurred in July 2026. The performance share awards in this table reflect the target number of shares that were granted.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64" w:name="ny20083274x1_def14a_111-sumcomp_pg5"/>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5" w:name="tOESV"/>
      <w:bookmarkEnd w:id="65"/>
      <w:r>
        <w:rPr>
          <w:rFonts w:ascii="Times New Roman;Times;serif" w:hAnsi="Times New Roman;Times;serif"/>
          <w:b/>
          <w:color w:val="000000"/>
          <w:sz w:val="20"/>
        </w:rPr>
        <w:t xml:space="preserve">Option Exercises and Stock Vested for Fiscal Year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summarizes the stock option exercises and shares vested by the named executive officers during our fiscal year ended May 31, 2026.</w:t>
      </w:r>
    </w:p>
    <w:tbl>
      <w:tblPr>
        <w:tblW w:w="8840" w:type="dxa"/>
        <w:jc w:val="left"/>
        <w:tblInd w:w="0" w:type="dxa"/>
        <w:tblLayout w:type="fixed"/>
        <w:tblCellMar>
          <w:top w:w="0" w:type="dxa"/>
          <w:left w:w="0" w:type="dxa"/>
          <w:bottom w:w="0" w:type="dxa"/>
          <w:right w:w="0" w:type="dxa"/>
        </w:tblCellMar>
      </w:tblPr>
      <w:tblGrid>
        <w:gridCol w:w="1940"/>
        <w:gridCol w:w="170"/>
        <w:gridCol w:w="170"/>
        <w:gridCol w:w="1625"/>
        <w:gridCol w:w="170"/>
        <w:gridCol w:w="170"/>
        <w:gridCol w:w="1175"/>
        <w:gridCol w:w="170"/>
        <w:gridCol w:w="170"/>
        <w:gridCol w:w="1520"/>
        <w:gridCol w:w="170"/>
        <w:gridCol w:w="170"/>
        <w:gridCol w:w="1220"/>
      </w:tblGrid>
      <w:tr>
        <w:trPr/>
        <w:tc>
          <w:tcPr>
            <w:tcW w:w="19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80" w:type="dxa"/>
            <w:gridSpan w:val="4"/>
            <w:tcBorders/>
            <w:vAlign w:val="center"/>
          </w:tcPr>
          <w:p>
            <w:pPr>
              <w:pStyle w:val="TableContents"/>
              <w:bidi w:val="0"/>
              <w:spacing w:before="0" w:after="0"/>
              <w:jc w:val="left"/>
              <w:rPr/>
            </w:pPr>
            <w:r>
              <w:rPr/>
              <w:t> </w:t>
            </w:r>
          </w:p>
        </w:tc>
      </w:tr>
      <w:tr>
        <w:trPr/>
        <w:tc>
          <w:tcPr>
            <w:tcW w:w="19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9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on 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Acquired on Vesting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 Vesting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 Clemmer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63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417" w:right="0" w:hanging="0"/>
              <w:jc w:val="left"/>
              <w:rPr>
                <w:rFonts w:ascii="Times New Roman;Times;serif" w:hAnsi="Times New Roman;Times;serif"/>
                <w:color w:val="000000"/>
                <w:sz w:val="20"/>
              </w:rPr>
            </w:pPr>
            <w:r>
              <w:rPr>
                <w:rFonts w:ascii="Times New Roman;Times;serif" w:hAnsi="Times New Roman;Times;serif"/>
                <w:color w:val="000000"/>
                <w:sz w:val="20"/>
              </w:rPr>
              <w:t>68,080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595,744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A. Trowbridge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6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4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417" w:right="0" w:hanging="0"/>
              <w:jc w:val="left"/>
              <w:rPr>
                <w:rFonts w:ascii="Times New Roman;Times;serif" w:hAnsi="Times New Roman;Times;serif"/>
                <w:color w:val="000000"/>
                <w:sz w:val="20"/>
              </w:rPr>
            </w:pPr>
            <w:r>
              <w:rPr>
                <w:rFonts w:ascii="Times New Roman;Times;serif" w:hAnsi="Times New Roman;Times;serif"/>
                <w:color w:val="000000"/>
                <w:sz w:val="20"/>
              </w:rPr>
              <w:t>20,753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181,386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Lawrence Weiss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63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417" w:right="0" w:hanging="0"/>
              <w:jc w:val="left"/>
              <w:rPr>
                <w:rFonts w:ascii="Times New Roman;Times;serif" w:hAnsi="Times New Roman;Times;serif"/>
                <w:color w:val="000000"/>
                <w:sz w:val="20"/>
              </w:rPr>
            </w:pPr>
            <w:r>
              <w:rPr>
                <w:rFonts w:ascii="Times New Roman;Times;serif" w:hAnsi="Times New Roman;Times;serif"/>
                <w:color w:val="000000"/>
                <w:sz w:val="20"/>
              </w:rPr>
              <w:t>13,174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176,136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Laura Piccinini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6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4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417" w:right="0" w:hanging="0"/>
              <w:jc w:val="left"/>
              <w:rPr>
                <w:rFonts w:ascii="Times New Roman;Times;serif" w:hAnsi="Times New Roman;Times;serif"/>
                <w:color w:val="000000"/>
                <w:sz w:val="20"/>
              </w:rPr>
            </w:pPr>
            <w:r>
              <w:rPr>
                <w:rFonts w:ascii="Times New Roman;Times;serif" w:hAnsi="Times New Roman;Times;serif"/>
                <w:color w:val="000000"/>
                <w:sz w:val="20"/>
              </w:rPr>
              <w:t>13,373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119,232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Warren G. Nighan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283"/>
              <w:ind w:left="63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417" w:right="0" w:hanging="0"/>
              <w:jc w:val="left"/>
              <w:rPr>
                <w:rFonts w:ascii="Times New Roman;Times;serif" w:hAnsi="Times New Roman;Times;serif"/>
                <w:color w:val="000000"/>
                <w:sz w:val="20"/>
              </w:rPr>
            </w:pPr>
            <w:r>
              <w:rPr>
                <w:rFonts w:ascii="Times New Roman;Times;serif" w:hAnsi="Times New Roman;Times;serif"/>
                <w:color w:val="000000"/>
                <w:sz w:val="20"/>
              </w:rPr>
              <w:t>8,990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78,640</w:t>
            </w:r>
          </w:p>
        </w:tc>
      </w:tr>
      <w:tr>
        <w:trPr/>
        <w:tc>
          <w:tcPr>
            <w:tcW w:w="19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Payments upon Termination or Change in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maintains the following arrangements under which it provides compensation or benefits to our named executive officers by reason of a termination of employment or change in control.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Clemmer CEO Employment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our employment agreement with Mr. Clemmer, if (A) his employment is terminated by the Company other than (1) in connection with a change in control of the Company (as defined in his change in control agreement described below) or (2) as a result of Mr. Clemmer’s (a) death, (b) disability, or (c) “Cause” (as defined in the employment agreement), or (B) if Mr. Clemmer’s employment is terminated by Mr. Clemmer for “Good Reason” (as defined in the employment agreement), then, subject to Mr. Clemmer’s execution of an effective release of claims in favor of the Company and continued compliance with certain restrictive covenants, including certain noncompete obligations, the Company will pay Mr. Clemmer his base salary for a 12-month severance period plus a prorated annual bonus for the fiscal year in which the termination occurs, with the amount of such prorated bonus to be determined by reference to the average of all annual bonuses (including any deferred bonuses) awarded to Mr. Clemmer during the 36 months immediately preceding the termination. The Company also would pay Mr. Clemmer’s COBRA/insurance premium for 12 months (or, if earlier, until Mr. Clemmer secures new full-time employment), and he would be entitled to continued vesting of his then outstanding equity awards for the 12-month period following his termination.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previously disclosed, Mr. Clemmer will retire and his employment with the Company will terminate as of November 2, 2026. In connection with Mr. Clemmer’s retirement and the appointment of Mr. Honroth, Mr. Clemmer entered into the Consulting Agreement, pursuant to which Mr. Clemmer will be entitled to receive a consulting fee equal to $30,000 per month and reimbursement of reasonable out-of-pocket expenses, including pre-approved travel expenses. In the event that the Company terminates the Consulting Agreement prior to the end of the one-year term, the Company will pay Mr. Clemmer a lump-sum payment for the balance of the consulting fees that would have been paid to him had the term not been terminated early.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Executive Severance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named executive officers may be eligible for severance payments and benefits under our AngioDynamics Senior Executive Severance Pay Guidelines.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senior executive may be eligible to receive severance benefits in the following situations: </w:t>
      </w:r>
    </w:p>
    <w:tbl>
      <w:tblPr>
        <w:tblW w:w="4360" w:type="dxa"/>
        <w:jc w:val="left"/>
        <w:tblInd w:w="0" w:type="dxa"/>
        <w:tblLayout w:type="fixed"/>
        <w:tblCellMar>
          <w:top w:w="0" w:type="dxa"/>
          <w:left w:w="0" w:type="dxa"/>
          <w:bottom w:w="0" w:type="dxa"/>
          <w:right w:w="0" w:type="dxa"/>
        </w:tblCellMar>
      </w:tblPr>
      <w:tblGrid>
        <w:gridCol w:w="140"/>
        <w:gridCol w:w="4220"/>
      </w:tblGrid>
      <w:tr>
        <w:trPr/>
        <w:tc>
          <w:tcPr>
            <w:tcW w:w="140" w:type="dxa"/>
            <w:tcBorders/>
            <w:vAlign w:val="center"/>
          </w:tcPr>
          <w:p>
            <w:pPr>
              <w:pStyle w:val="TableContents"/>
              <w:bidi w:val="0"/>
              <w:spacing w:before="0" w:after="0"/>
              <w:jc w:val="left"/>
              <w:rPr>
                <w:color w:val="000000"/>
              </w:rPr>
            </w:pPr>
            <w:r>
              <w:rPr>
                <w:color w:val="000000"/>
              </w:rPr>
              <w:t>•</w:t>
            </w:r>
          </w:p>
        </w:tc>
        <w:tc>
          <w:tcPr>
            <w:tcW w:w="4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elimination of the executive’s job or position;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relocation of the executive’s job or position to a location in excess of 60 miles from the current location of employment;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Divestment of the executive’s business or business unit, unless the acquiring/successor entity offers continuing employment that does not involve a major relocation, as described above.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senior executive would generally not be eligible for severance benefits in the following situations: </w:t>
      </w:r>
    </w:p>
    <w:tbl>
      <w:tblPr>
        <w:tblW w:w="5980" w:type="dxa"/>
        <w:jc w:val="left"/>
        <w:tblInd w:w="0" w:type="dxa"/>
        <w:tblLayout w:type="fixed"/>
        <w:tblCellMar>
          <w:top w:w="0" w:type="dxa"/>
          <w:left w:w="0" w:type="dxa"/>
          <w:bottom w:w="0" w:type="dxa"/>
          <w:right w:w="0" w:type="dxa"/>
        </w:tblCellMar>
      </w:tblPr>
      <w:tblGrid>
        <w:gridCol w:w="140"/>
        <w:gridCol w:w="5840"/>
      </w:tblGrid>
      <w:tr>
        <w:trPr/>
        <w:tc>
          <w:tcPr>
            <w:tcW w:w="14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Terminations for performance reasons, including, violating work rules; </w:t>
            </w:r>
          </w:p>
        </w:tc>
      </w:tr>
    </w:tbl>
    <w:tbl>
      <w:tblPr>
        <w:tblW w:w="2185" w:type="dxa"/>
        <w:jc w:val="left"/>
        <w:tblInd w:w="0" w:type="dxa"/>
        <w:tblLayout w:type="fixed"/>
        <w:tblCellMar>
          <w:top w:w="0" w:type="dxa"/>
          <w:left w:w="0" w:type="dxa"/>
          <w:bottom w:w="0" w:type="dxa"/>
          <w:right w:w="0" w:type="dxa"/>
        </w:tblCellMar>
      </w:tblPr>
      <w:tblGrid>
        <w:gridCol w:w="140"/>
        <w:gridCol w:w="2045"/>
      </w:tblGrid>
      <w:tr>
        <w:trPr/>
        <w:tc>
          <w:tcPr>
            <w:tcW w:w="140" w:type="dxa"/>
            <w:tcBorders/>
            <w:vAlign w:val="center"/>
          </w:tcPr>
          <w:p>
            <w:pPr>
              <w:pStyle w:val="TableContents"/>
              <w:bidi w:val="0"/>
              <w:spacing w:before="0" w:after="0"/>
              <w:jc w:val="left"/>
              <w:rPr>
                <w:color w:val="000000"/>
              </w:rPr>
            </w:pPr>
            <w:r>
              <w:rPr>
                <w:color w:val="000000"/>
              </w:rPr>
              <w:t>•</w:t>
            </w:r>
          </w:p>
        </w:tc>
        <w:tc>
          <w:tcPr>
            <w:tcW w:w="2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Voluntary resignations;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66" w:name="ny20083274x1_def14a_111-sumcomp_pg6"/>
        <w:bookmarkEnd w:id="6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an asset or stock sale, where the executive continues employment with a successor in interest to AngioDynamics or any of either its or AngioDynamics’ subsidiaries, affiliates or joint ventures;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transfer or reassignment of the executive to another location, division, subsidiary, affiliate or joint venture that does not result in a major relocation as described above.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EVPs and SVPs who report directly to the CEO are entitled to an aggregate severance benefit equal to 12 months of base salary and continuation of health benefits for 12 months.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general, the CEO is eligible for a severance benefit equal to 18 months of base salary, unless a different severance benefit is set forth in an effective agreement as noted for Mr. Clemmer and, when applicable, Mr. Honroth,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Payments are generally made in accordance with the Company’s regular salary payment practices, subject to modification in connection with Section 409A of the Internal Revenue Code, unless a different method is set forth in an effective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 benefits, such as outplacement assistance and/or an agreement not to contest eligibility for unemployment compensation, may also be offered in a separation agreement.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Change-in-Control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29, 2021, we entered into amended and restated change in control severance agreements with certain executive officers, including each of the named executive officers then employed by the Company. As amended and restated, each agreement has a current term that expires on December 31 of each year, and will automatically renew each year immediately following January 1 for an additional one year term (unless the Company has given notice not more than sixty days prior to such January 1 that the term will not be extended); provided however, that if a change in control occurs the term will expire no earlier than 24 calendar months after the calendar month in which such change in control occurs. A change in control is defined in each agreement generally as any of the following: (i) a person is or becomes a beneficial owner of more than 50% of our voting securities, (ii) subject to certain exceptions, the composition of a majority of our Board changes, (iii) we consummate a merger or consolidation (other than a transaction following which the Company’s voting securities continue to represent (by remaining outstanding or by conversion) at least 60% of the combined voting power of the Company or its successor, or a merger or consolidation effected to implement a recapitalization of the Company (or similar transaction) in which no person becomes a beneficial owner of more than 50% of our voting securities), or (iv) our shareholders approve a plan of liquidation or sale of all or substantially all of our assets (other than a sale by the Company to an entity at least 60% of the combined voting power of which is owned by shareholders of the Company in substantially the same proportions as their ownership of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agreement provides, among other things, that if a change in control occurs during the term of the agreement, and the executive’s employment is terminated (including in certain circumstances not more than three months before the change in control) either by us or by the executive, other than (a) by us for “Cause” (as defined in the agreement), (b) by reason of death or disability, or (c) by the executive without “Good Reason” (as defined in the agreement), such executive will receive the following severance benefits: (A) a cash lump-sum payment equal to 1.5 times (2 times for the CEO) the sum of his or her annual base salary and cash bonus target (determined at the time of the termination or, if greater and as applicable, immediately preceding the event giving rise to Good Reason), (B) any unpaid annual bonus amounts for the prior year, (C) a prorated annual bonus amount for the year of termination (based on the highest of the average bonuses awarded to the executive for (x) the 36 months preceding the termination, (y) the Company’s three fiscal years preceding the termination, and (z) the 36 months preceding the change in control, in each case disregarding any years in which the executive was not employed by the Company and annualizing bonuses for any partial year of employment), (D) earned but unused vacation time, (E) provided the executive timely elects COBRA continuation coverage, continuation of participation in the Company’s group medical, dental, vision, and prescription drug coverage at no cost to the executive and the executive’s dependents for a period of 18 months (24 months for the CEO) and (F) full vesting of any stock options, restricted stock, performance shares or other equity-based award granted to the executive officer upon or following entry into the agreements but prior to the applicable change in control (with any applicable performance conditions deemed satisfied at the “target” level). Each agreement also provides that in the event that the severance and other benefits provided for in the agreement or otherwise payable to the executive would be subject to the excise tax imposed by Section 4999 of the Internal Revenue Code, the benefits under the agreement will be either (i) delivered in full, or (ii) delivered to a lesser extent which would result in no portion of the benefits being subject to such excise tax, whichever is more beneficial to the executive.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67" w:name="ny20083274x1_def14a_111-sumcomp_pg7"/>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such payments and benefits are subject to the executive officer’s execution of both a release of claims and a restrictive covenant agreement in favor of the Company (including certain noncompete obligations) and generally shall be made or commence within 30 days after the release becomes irrevocable, subject to delay if required by Section 409A of the Internal Revenue Code.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Retention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Mr. Clemmer’s retirement and transition, on January 30, 2026, the Board approved customary retention agreements (the “Retention Agreements”) with the Company’s executive leadership team, including all named executive officers (other than Mr. Clemmer). Under the Retention Agreements, each recipient that remains employed by the Company on the earlier of (i) 6 months from the date on which a successor Chief Executive Officer commences his or her employment with the Company and (ii) June 1, 2027, is entitled to a cash retention award of a portion of the individual’s base salary. In addition, each recipient shall be entitled to receive their retention award if their position is eliminated by the Company without “cause”.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Retention Agreements, Stephen A. Trowbridge, Executive Vice President and Chief Financial Officer; Laura Piccinini, Senior Vice President and General Manager, Cardiovascular and International; and Warren G. Nighan, Senior Vice President, Global Supply Chain, Quality and Regulatory Affairs and Chad T. Campbell, Senior Vice President and General Manager, Oncology and Interventional Devices will be entitled to a cash retention award equal to 150% of the individual’s base salary, and each other member of the executive leadership team will be eligible to receive a cash retention award equal to 50% of the individual’s base salary.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Equity Retention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Mr. Clemmer’s retirement and transition, the Board approved and on October 5, 2026 the Company entered into retention agreements (the “Equity Retention Agreements”) with the Company’s executive leadership team, including all named executive officers (other than Mr. Clemmer). Under the Equity Retention Agreements, with respect to each recipient that remains employed by the Company on the date on which a successor Chief Executive Officer commences his or her employment with the Company, and whose employment is terminated other than (a) by such recipient’s resignation or (b) a “for cause” termination, any previously issued equity grants issued under the Company’s equity plan will be accelerated as follows: Performance Share Units will be vested on a pro-rata basis based on actual performance at the normal vesting date and all outstanding unvested restricted shares will be fully accelerated upon the day of the employee’s termination of employment with the Company.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Equity Acceleration under the 2020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provided in a written agreement with a participant in the 2020 Plan, if such participant’s employment is terminated by us without “cause,” or if such participant resigns for “good reason,” in each case within 3 months preceding, or at any time following, a “change in control,” that participant’s outstanding equity awards will be subject to accelerated vesting upon such termination (with any applicable performance conditions deemed satisfied at the “target” level). However, if the committee determines that an award under the 2020 Plan has not been assumed or continued by the successor in a “change in control” transaction, then such award will vest upon such “change in control” (with any applicable performance conditions deemed satisfied at the “target” level). Outside the change in control context, awards held by executives under the 2020 Plan are generally forfeited or expire upon a termination of employment, except that (i) upon a termination for death, disability or retirement before the end of the performance period, performance shares remain subject to actual performance over the duration of the performance period and then vest on a prorated basis based on the number of months (rounded to the nearest whole month) elapsed in the performance period before the death, disability or retirement, (ii) upon a termination for death or disability, restricted stock units vest on a prorated basis based on the number of full and partial months (rounded to the nearest half month) elapsed in the performance period before the death or disability and (iii) options fully vest upon, and remain exercisable for one year following, a termination for death or disability (but not beyond their original expiration date); if the termination is not for death or disability, any already vested options remain exercisable for three months thereafter, unless the termination is for “cause,” in which case the option terminates in full immediately regardless of whether previously vested to any extent.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68" w:name="ny20083274x1_def14a_111-sumcomp_pg8"/>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9" w:name="tEPPU"/>
      <w:bookmarkEnd w:id="69"/>
      <w:r>
        <w:rPr>
          <w:rFonts w:ascii="Times New Roman;Times;serif" w:hAnsi="Times New Roman;Times;serif"/>
          <w:b/>
          <w:color w:val="000000"/>
          <w:sz w:val="20"/>
        </w:rPr>
        <w:t xml:space="preserve">Estimates of Potential Payments Upon Termination or Change in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estimates the potential payments to Messrs. Clemmer, Trowbridge, Weiss, Nighan and Ms. Piccinini under existing agreements, plans or other arrangements, for various scenarios involving a change in control or termination of employment as described above under “Potential Payments Upon Termination or Change in Control,” in each case assuming the change in control and termination date was May 31, 2026, and where applicable, using the closing market price of our common stock of $11.48 per share on May 31, 2026 (the last trading day in fiscal year 2026 as reported on the Nasdaq). </w:t>
      </w:r>
    </w:p>
    <w:tbl>
      <w:tblPr>
        <w:tblW w:w="10205" w:type="dxa"/>
        <w:jc w:val="left"/>
        <w:tblInd w:w="0" w:type="dxa"/>
        <w:tblLayout w:type="fixed"/>
        <w:tblCellMar>
          <w:top w:w="0" w:type="dxa"/>
          <w:left w:w="0" w:type="dxa"/>
          <w:bottom w:w="0" w:type="dxa"/>
          <w:right w:w="0" w:type="dxa"/>
        </w:tblCellMar>
      </w:tblPr>
      <w:tblGrid>
        <w:gridCol w:w="2430"/>
        <w:gridCol w:w="170"/>
        <w:gridCol w:w="170"/>
        <w:gridCol w:w="860"/>
        <w:gridCol w:w="170"/>
        <w:gridCol w:w="170"/>
        <w:gridCol w:w="860"/>
        <w:gridCol w:w="170"/>
        <w:gridCol w:w="170"/>
        <w:gridCol w:w="1122"/>
        <w:gridCol w:w="170"/>
        <w:gridCol w:w="170"/>
        <w:gridCol w:w="1143"/>
        <w:gridCol w:w="170"/>
        <w:gridCol w:w="170"/>
        <w:gridCol w:w="725"/>
        <w:gridCol w:w="170"/>
        <w:gridCol w:w="170"/>
        <w:gridCol w:w="1025"/>
      </w:tblGrid>
      <w:tr>
        <w:trPr/>
        <w:tc>
          <w:tcPr>
            <w:tcW w:w="2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243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Severance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Prorated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Accelerated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Options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Unit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Performance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 Vesting</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r>
              <w:rPr>
                <w:rFonts w:ascii="Times New Roman;Times;serif" w:hAnsi="Times New Roman;Times;serif"/>
                <w:b/>
                <w:color w:val="000000"/>
                <w:position w:val="5"/>
                <w:sz w:val="13"/>
                <w:sz w:val="16"/>
              </w:rPr>
              <w:t>(4)</w:t>
            </w:r>
            <w:r>
              <w:rPr>
                <w:rFonts w:ascii="Times New Roman;Times;serif" w:hAnsi="Times New Roman;Times;serif"/>
                <w:b/>
                <w:color w:val="000000"/>
                <w:sz w:val="16"/>
              </w:rPr>
              <w:t xml:space="preserve"> </w:t>
            </w:r>
          </w:p>
        </w:tc>
      </w:tr>
      <w:tr>
        <w:trPr/>
        <w:tc>
          <w:tcPr>
            <w:tcW w:w="2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James C. Clemmer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r>
      <w:tr>
        <w:trPr/>
        <w:tc>
          <w:tcPr>
            <w:tcW w:w="2430" w:type="dxa"/>
            <w:tcBorders/>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Termination without Cause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$1,669,434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729,536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11,448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2,410,418 </w:t>
            </w:r>
          </w:p>
        </w:tc>
      </w:tr>
      <w:tr>
        <w:trPr/>
        <w:tc>
          <w:tcPr>
            <w:tcW w:w="2430" w:type="dxa"/>
            <w:tcBorders/>
            <w:shd w:fill="CCEEFF" w:val="clear"/>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Death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$903,807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5,586,534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6,490,341 </w:t>
            </w:r>
          </w:p>
        </w:tc>
      </w:tr>
      <w:tr>
        <w:trPr/>
        <w:tc>
          <w:tcPr>
            <w:tcW w:w="2430" w:type="dxa"/>
            <w:tcBorders/>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Disability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$903,807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5,586,534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6,490,341 </w:t>
            </w:r>
          </w:p>
        </w:tc>
      </w:tr>
      <w:tr>
        <w:trPr/>
        <w:tc>
          <w:tcPr>
            <w:tcW w:w="2430" w:type="dxa"/>
            <w:tcBorders/>
            <w:shd w:fill="CCEEFF" w:val="clear"/>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Retirement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4,194,796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4,194,796 </w:t>
            </w:r>
          </w:p>
        </w:tc>
      </w:tr>
      <w:tr>
        <w:trPr/>
        <w:tc>
          <w:tcPr>
            <w:tcW w:w="2430" w:type="dxa"/>
            <w:tcBorders/>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Change in Control (No Termination)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$903,807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7,001,296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7,905,103 </w:t>
            </w:r>
          </w:p>
        </w:tc>
      </w:tr>
      <w:tr>
        <w:trPr/>
        <w:tc>
          <w:tcPr>
            <w:tcW w:w="2430" w:type="dxa"/>
            <w:tcBorders/>
            <w:shd w:fill="CCEEFF" w:val="clear"/>
            <w:vAlign w:val="center"/>
          </w:tcPr>
          <w:p>
            <w:pPr>
              <w:pStyle w:val="TableContents"/>
              <w:bidi w:val="0"/>
              <w:spacing w:before="0" w:after="283"/>
              <w:ind w:left="400" w:right="0" w:hanging="200"/>
              <w:jc w:val="left"/>
              <w:rPr>
                <w:rFonts w:ascii="Times New Roman;Times;serif" w:hAnsi="Times New Roman;Times;serif"/>
                <w:i/>
                <w:color w:val="000000"/>
                <w:sz w:val="18"/>
              </w:rPr>
            </w:pPr>
            <w:r>
              <w:rPr>
                <w:rFonts w:ascii="Times New Roman;Times;serif" w:hAnsi="Times New Roman;Times;serif"/>
                <w:i/>
                <w:color w:val="000000"/>
                <w:sz w:val="18"/>
              </w:rPr>
              <w:t>Change in Control + Qualified Termination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$3,338,868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$1,167,033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$903,807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$10,937,099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22,896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$16,369,703 </w:t>
            </w:r>
          </w:p>
        </w:tc>
      </w:tr>
      <w:tr>
        <w:trPr/>
        <w:tc>
          <w:tcPr>
            <w:tcW w:w="24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Stephen A. Trowbridge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center"/>
              <w:rPr>
                <w:color w:val="000000"/>
              </w:rPr>
            </w:pPr>
            <w:r>
              <w:rPr>
                <w:color w:val="000000"/>
              </w:rPr>
              <w:t> </w:t>
            </w:r>
          </w:p>
        </w:tc>
      </w:tr>
      <w:tr>
        <w:trPr/>
        <w:tc>
          <w:tcPr>
            <w:tcW w:w="2430" w:type="dxa"/>
            <w:tcBorders/>
            <w:shd w:fill="CCEEFF" w:val="clear"/>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Termination without Cause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475,030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$769,106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1,244,136 </w:t>
            </w:r>
          </w:p>
        </w:tc>
      </w:tr>
      <w:tr>
        <w:trPr/>
        <w:tc>
          <w:tcPr>
            <w:tcW w:w="2430" w:type="dxa"/>
            <w:tcBorders/>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Death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$309,961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1,946,457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2,256,418 </w:t>
            </w:r>
          </w:p>
        </w:tc>
      </w:tr>
      <w:tr>
        <w:trPr/>
        <w:tc>
          <w:tcPr>
            <w:tcW w:w="2430" w:type="dxa"/>
            <w:tcBorders/>
            <w:shd w:fill="CCEEFF" w:val="clear"/>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Disability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$309,961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1,946,457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2,256,418 </w:t>
            </w:r>
          </w:p>
        </w:tc>
      </w:tr>
      <w:tr>
        <w:trPr/>
        <w:tc>
          <w:tcPr>
            <w:tcW w:w="2430" w:type="dxa"/>
            <w:tcBorders/>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Retirement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1,446,108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1,446,108 </w:t>
            </w:r>
          </w:p>
        </w:tc>
      </w:tr>
      <w:tr>
        <w:trPr/>
        <w:tc>
          <w:tcPr>
            <w:tcW w:w="2430" w:type="dxa"/>
            <w:tcBorders/>
            <w:shd w:fill="CCEEFF" w:val="clear"/>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Change in Control (No Termination)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$309,961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2,551,809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2,861,770 </w:t>
            </w:r>
          </w:p>
        </w:tc>
      </w:tr>
      <w:tr>
        <w:trPr/>
        <w:tc>
          <w:tcPr>
            <w:tcW w:w="2430" w:type="dxa"/>
            <w:tcBorders/>
            <w:vAlign w:val="center"/>
          </w:tcPr>
          <w:p>
            <w:pPr>
              <w:pStyle w:val="TableContents"/>
              <w:bidi w:val="0"/>
              <w:spacing w:before="0" w:after="283"/>
              <w:ind w:left="400" w:right="0" w:hanging="200"/>
              <w:jc w:val="left"/>
              <w:rPr>
                <w:rFonts w:ascii="Times New Roman;Times;serif" w:hAnsi="Times New Roman;Times;serif"/>
                <w:i/>
                <w:color w:val="000000"/>
                <w:sz w:val="18"/>
              </w:rPr>
            </w:pPr>
            <w:r>
              <w:rPr>
                <w:rFonts w:ascii="Times New Roman;Times;serif" w:hAnsi="Times New Roman;Times;serif"/>
                <w:i/>
                <w:color w:val="000000"/>
                <w:sz w:val="18"/>
              </w:rPr>
              <w:t>Change in Control + Qualified Termination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1,211,327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445,023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$309,961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4,073,471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$786,699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6,826,480 </w:t>
            </w:r>
          </w:p>
        </w:tc>
      </w:tr>
      <w:tr>
        <w:trPr/>
        <w:tc>
          <w:tcPr>
            <w:tcW w:w="2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Lawrence T. Weiss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r>
      <w:tr>
        <w:trPr/>
        <w:tc>
          <w:tcPr>
            <w:tcW w:w="2430" w:type="dxa"/>
            <w:tcBorders/>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Termination without Cause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442,900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$238,986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681,886 </w:t>
            </w:r>
          </w:p>
        </w:tc>
      </w:tr>
      <w:tr>
        <w:trPr/>
        <w:tc>
          <w:tcPr>
            <w:tcW w:w="2430" w:type="dxa"/>
            <w:tcBorders/>
            <w:shd w:fill="CCEEFF" w:val="clear"/>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Death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$337,379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333,133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670,512 </w:t>
            </w:r>
          </w:p>
        </w:tc>
      </w:tr>
      <w:tr>
        <w:trPr/>
        <w:tc>
          <w:tcPr>
            <w:tcW w:w="2430" w:type="dxa"/>
            <w:tcBorders/>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Disability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$337,379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333,133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670,512 </w:t>
            </w:r>
          </w:p>
        </w:tc>
      </w:tr>
      <w:tr>
        <w:trPr/>
        <w:tc>
          <w:tcPr>
            <w:tcW w:w="2430" w:type="dxa"/>
            <w:tcBorders/>
            <w:shd w:fill="CCEEFF" w:val="clear"/>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Retirement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98,537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98,537 </w:t>
            </w:r>
          </w:p>
        </w:tc>
      </w:tr>
      <w:tr>
        <w:trPr/>
        <w:tc>
          <w:tcPr>
            <w:tcW w:w="2430" w:type="dxa"/>
            <w:tcBorders/>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Change in Control (No Termination)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$337,379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354,732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692,111 </w:t>
            </w:r>
          </w:p>
        </w:tc>
      </w:tr>
      <w:tr>
        <w:trPr/>
        <w:tc>
          <w:tcPr>
            <w:tcW w:w="2430" w:type="dxa"/>
            <w:tcBorders/>
            <w:shd w:fill="CCEEFF" w:val="clear"/>
            <w:vAlign w:val="center"/>
          </w:tcPr>
          <w:p>
            <w:pPr>
              <w:pStyle w:val="TableContents"/>
              <w:bidi w:val="0"/>
              <w:spacing w:before="0" w:after="283"/>
              <w:ind w:left="400" w:right="0" w:hanging="200"/>
              <w:jc w:val="left"/>
              <w:rPr>
                <w:rFonts w:ascii="Times New Roman;Times;serif" w:hAnsi="Times New Roman;Times;serif"/>
                <w:i/>
                <w:color w:val="000000"/>
                <w:sz w:val="18"/>
              </w:rPr>
            </w:pPr>
            <w:r>
              <w:rPr>
                <w:rFonts w:ascii="Times New Roman;Times;serif" w:hAnsi="Times New Roman;Times;serif"/>
                <w:i/>
                <w:color w:val="000000"/>
                <w:sz w:val="18"/>
              </w:rPr>
              <w:t>Change in Control + Qualified Termination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$1,062,960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335,916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$337,379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1,163,188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$240,003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3,139,446 </w:t>
            </w:r>
          </w:p>
        </w:tc>
      </w:tr>
      <w:tr>
        <w:trPr/>
        <w:tc>
          <w:tcPr>
            <w:tcW w:w="24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Laura Piccinini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center"/>
              <w:rPr>
                <w:color w:val="000000"/>
              </w:rPr>
            </w:pPr>
            <w:r>
              <w:rPr>
                <w:color w:val="000000"/>
              </w:rPr>
              <w:t> </w:t>
            </w:r>
          </w:p>
        </w:tc>
      </w:tr>
      <w:tr>
        <w:trPr/>
        <w:tc>
          <w:tcPr>
            <w:tcW w:w="2430" w:type="dxa"/>
            <w:tcBorders/>
            <w:shd w:fill="CCEEFF" w:val="clear"/>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Termination without Cause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463,353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$718,158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1,181,511 </w:t>
            </w:r>
          </w:p>
        </w:tc>
      </w:tr>
      <w:tr>
        <w:trPr/>
        <w:tc>
          <w:tcPr>
            <w:tcW w:w="2430" w:type="dxa"/>
            <w:tcBorders/>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Death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$128,909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858,057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986,966 </w:t>
            </w:r>
          </w:p>
        </w:tc>
      </w:tr>
      <w:tr>
        <w:trPr/>
        <w:tc>
          <w:tcPr>
            <w:tcW w:w="2430" w:type="dxa"/>
            <w:tcBorders/>
            <w:shd w:fill="CCEEFF" w:val="clear"/>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Disability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$128,909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858,057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986,966 </w:t>
            </w:r>
          </w:p>
        </w:tc>
      </w:tr>
      <w:tr>
        <w:trPr/>
        <w:tc>
          <w:tcPr>
            <w:tcW w:w="2430" w:type="dxa"/>
            <w:tcBorders/>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Retirement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624,088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624,088 </w:t>
            </w:r>
          </w:p>
        </w:tc>
      </w:tr>
      <w:tr>
        <w:trPr/>
        <w:tc>
          <w:tcPr>
            <w:tcW w:w="2430" w:type="dxa"/>
            <w:tcBorders/>
            <w:shd w:fill="CCEEFF" w:val="clear"/>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Change in Control (No Termination)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$128,909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1,046,827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1,175,736 </w:t>
            </w:r>
          </w:p>
        </w:tc>
      </w:tr>
      <w:tr>
        <w:trPr/>
        <w:tc>
          <w:tcPr>
            <w:tcW w:w="2430" w:type="dxa"/>
            <w:tcBorders/>
            <w:vAlign w:val="center"/>
          </w:tcPr>
          <w:p>
            <w:pPr>
              <w:pStyle w:val="TableContents"/>
              <w:bidi w:val="0"/>
              <w:spacing w:before="0" w:after="283"/>
              <w:ind w:left="400" w:right="0" w:hanging="200"/>
              <w:jc w:val="left"/>
              <w:rPr>
                <w:rFonts w:ascii="Times New Roman;Times;serif" w:hAnsi="Times New Roman;Times;serif"/>
                <w:i/>
                <w:color w:val="000000"/>
                <w:sz w:val="18"/>
              </w:rPr>
            </w:pPr>
            <w:r>
              <w:rPr>
                <w:rFonts w:ascii="Times New Roman;Times;serif" w:hAnsi="Times New Roman;Times;serif"/>
                <w:i/>
                <w:color w:val="000000"/>
                <w:sz w:val="18"/>
              </w:rPr>
              <w:t>Change in Control + Qualified Termination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1,112,048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451,430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$128,909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1,702,186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$719,297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4,113,870 </w:t>
            </w:r>
          </w:p>
        </w:tc>
      </w:tr>
      <w:tr>
        <w:trPr/>
        <w:tc>
          <w:tcPr>
            <w:tcW w:w="2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Warren G. Nighan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r>
      <w:tr>
        <w:trPr/>
        <w:tc>
          <w:tcPr>
            <w:tcW w:w="2430" w:type="dxa"/>
            <w:tcBorders/>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Termination without Cause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420,660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$696,457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1,117,117 </w:t>
            </w:r>
          </w:p>
        </w:tc>
      </w:tr>
      <w:tr>
        <w:trPr/>
        <w:tc>
          <w:tcPr>
            <w:tcW w:w="2430" w:type="dxa"/>
            <w:tcBorders/>
            <w:shd w:fill="CCEEFF" w:val="clear"/>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Death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98,488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673,356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771,844 </w:t>
            </w:r>
          </w:p>
        </w:tc>
      </w:tr>
      <w:tr>
        <w:trPr/>
        <w:tc>
          <w:tcPr>
            <w:tcW w:w="2430" w:type="dxa"/>
            <w:tcBorders/>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Disability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98,488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673,356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771,844 </w:t>
            </w:r>
          </w:p>
        </w:tc>
      </w:tr>
      <w:tr>
        <w:trPr/>
        <w:tc>
          <w:tcPr>
            <w:tcW w:w="2430" w:type="dxa"/>
            <w:tcBorders/>
            <w:shd w:fill="CCEEFF" w:val="clear"/>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Retirement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479,036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479,036 </w:t>
            </w:r>
          </w:p>
        </w:tc>
      </w:tr>
      <w:tr>
        <w:trPr/>
        <w:tc>
          <w:tcPr>
            <w:tcW w:w="2430" w:type="dxa"/>
            <w:tcBorders/>
            <w:vAlign w:val="center"/>
          </w:tcPr>
          <w:p>
            <w:pPr>
              <w:pStyle w:val="TableContents"/>
              <w:bidi w:val="0"/>
              <w:spacing w:before="0" w:after="283"/>
              <w:ind w:left="200" w:right="0" w:hanging="0"/>
              <w:jc w:val="left"/>
              <w:rPr>
                <w:rFonts w:ascii="Times New Roman;Times;serif" w:hAnsi="Times New Roman;Times;serif"/>
                <w:i/>
                <w:color w:val="000000"/>
                <w:sz w:val="18"/>
              </w:rPr>
            </w:pPr>
            <w:r>
              <w:rPr>
                <w:rFonts w:ascii="Times New Roman;Times;serif" w:hAnsi="Times New Roman;Times;serif"/>
                <w:i/>
                <w:color w:val="000000"/>
                <w:sz w:val="18"/>
              </w:rPr>
              <w:t>Change in Control (No Termination)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98,488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3" w:type="dxa"/>
            <w:tcBorders/>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842,092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940,580 </w:t>
            </w:r>
          </w:p>
        </w:tc>
      </w:tr>
      <w:tr>
        <w:trPr/>
        <w:tc>
          <w:tcPr>
            <w:tcW w:w="2430" w:type="dxa"/>
            <w:tcBorders/>
            <w:shd w:fill="CCEEFF" w:val="clear"/>
            <w:vAlign w:val="center"/>
          </w:tcPr>
          <w:p>
            <w:pPr>
              <w:pStyle w:val="TableContents"/>
              <w:bidi w:val="0"/>
              <w:spacing w:before="0" w:after="283"/>
              <w:ind w:left="400" w:right="0" w:hanging="200"/>
              <w:jc w:val="left"/>
              <w:rPr>
                <w:rFonts w:ascii="Times New Roman;Times;serif" w:hAnsi="Times New Roman;Times;serif"/>
                <w:i/>
                <w:color w:val="000000"/>
                <w:sz w:val="18"/>
              </w:rPr>
            </w:pPr>
            <w:r>
              <w:rPr>
                <w:rFonts w:ascii="Times New Roman;Times;serif" w:hAnsi="Times New Roman;Times;serif"/>
                <w:i/>
                <w:color w:val="000000"/>
                <w:sz w:val="18"/>
              </w:rPr>
              <w:t>Change in Control + Qualified Termination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$1,009,584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318,008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21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98,488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1,407,712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$719,726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3,553,518</w:t>
            </w:r>
          </w:p>
        </w:tc>
      </w:tr>
      <w:tr>
        <w:trPr/>
        <w:tc>
          <w:tcPr>
            <w:tcW w:w="24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in the “Accelerated Vesting of Stock Options” column represent the value of the number of each named executive officer’s in-the-money stock option awards that would have been eligible for accelerated vesting upon a termination and/or change in control occurring on May 31, 2026, calculated by multiplying the number of shares underlying such in-the-money unvested stock options held by each named executive officer by the difference between that option’s exercise price and $11.48 (the closing price of our common stock on the last trading day of the fiscal year, May 31, 2026, as reported on Nasdaq). See the discussion above under “Potential Payments Upon Termination or Change in Control” for a description of the applicable vesting provisions.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70" w:name="ny20083274x1_def14a_111-sumcomp_pg9"/>
        <w:bookmarkEnd w:id="7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in the “Restricted Stock Unit and Performance Share Vesting” column represent the value of the number of each named executive officer’s restricted stock units and performance share awards that would have been eligible for accelerated vesting upon a termination and/or change in control occurring on May 31, 2026, calculated by multiplying the number of such restricted stock units and target number of performance share awards by $11.48 (the closing price of our common stock on May 31, 2026, as reported on Nasdaq), with proration in the applicable circumstances. See the discussion above under “Potential Payments Upon Termination or Change in Control” for a description of the applicable vesting provisions.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(i) the estimated future cost of providing continuing Company-paid coverage under the Company’s group health insurance plans for 12 months upon an involuntary termination or, if in connection with a Change in Control, for 18 months (24 months in the case of the CEO) and (ii) the payment of the retention award under the Retention Agreement on a termination without cause. The Retention Agreement does not provide for acceleration or payment on a Change in Control.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totals shown here do not take into account the application of any “best-after-tax” cutback that may apply if an executive’s payments would otherwise be subject to the excise tax imposed by Section 4999 of the Internal Revenue Code.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Employees, including named executive officers, are not generally entitled to any benefits upon termination for cause. All unvested stock options, restricted stock units, and performance share awards, as well as all vested but unexercised stock options are forfeited as of the date of termination for cause.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jc w:val="left"/>
        <w:rPr/>
      </w:pPr>
      <w:hyperlink w:anchor="TOC">
        <w:bookmarkStart w:id="71" w:name="ny20083274x1_def14a_112-pvp_pg1"/>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Pay Versus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For further information concerning the Company’s pay-for-performance philosophy and how the Company aligns executive compensation with the Company’s performance, see “Compensation Discussion and Analysis.” The amounts set forth below in the required table are calculated pursuant to SEC rules but do not represent amounts that have been actually earned or realized by our NEOs. </w:t>
      </w:r>
    </w:p>
    <w:tbl>
      <w:tblPr>
        <w:tblW w:w="11240" w:type="dxa"/>
        <w:jc w:val="left"/>
        <w:tblInd w:w="0" w:type="dxa"/>
        <w:tblLayout w:type="fixed"/>
        <w:tblCellMar>
          <w:top w:w="0" w:type="dxa"/>
          <w:left w:w="0" w:type="dxa"/>
          <w:bottom w:w="0" w:type="dxa"/>
          <w:right w:w="0" w:type="dxa"/>
        </w:tblCellMar>
      </w:tblPr>
      <w:tblGrid>
        <w:gridCol w:w="485"/>
        <w:gridCol w:w="170"/>
        <w:gridCol w:w="170"/>
        <w:gridCol w:w="1085"/>
        <w:gridCol w:w="170"/>
        <w:gridCol w:w="170"/>
        <w:gridCol w:w="1085"/>
        <w:gridCol w:w="170"/>
        <w:gridCol w:w="170"/>
        <w:gridCol w:w="1085"/>
        <w:gridCol w:w="170"/>
        <w:gridCol w:w="170"/>
        <w:gridCol w:w="1085"/>
        <w:gridCol w:w="170"/>
        <w:gridCol w:w="170"/>
        <w:gridCol w:w="935"/>
        <w:gridCol w:w="170"/>
        <w:gridCol w:w="170"/>
        <w:gridCol w:w="935"/>
        <w:gridCol w:w="170"/>
        <w:gridCol w:w="170"/>
        <w:gridCol w:w="890"/>
        <w:gridCol w:w="170"/>
        <w:gridCol w:w="170"/>
        <w:gridCol w:w="935"/>
      </w:tblGrid>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r>
      <w:tr>
        <w:trPr/>
        <w:tc>
          <w:tcPr>
            <w:tcW w:w="485"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the CEO</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the CEO</w:t>
            </w:r>
            <w:r>
              <w:rPr>
                <w:rFonts w:ascii="Times New Roman;Times;serif" w:hAnsi="Times New Roman;Times;serif"/>
                <w:b/>
                <w:color w:val="000000"/>
                <w:position w:val="5"/>
                <w:sz w:val="13"/>
                <w:sz w:val="16"/>
              </w:rPr>
              <w:t>(3)(4)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Return</w:t>
            </w:r>
            <w:r>
              <w:rPr>
                <w:rFonts w:ascii="Times New Roman;Times;serif" w:hAnsi="Times New Roman;Times;serif"/>
                <w:b/>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Peer Group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Return</w:t>
            </w:r>
            <w:r>
              <w:rPr>
                <w:rFonts w:ascii="Times New Roman;Times;serif" w:hAnsi="Times New Roman;Times;serif"/>
                <w:b/>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Income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thousands)</w:t>
            </w:r>
            <w:r>
              <w:rPr>
                <w:rFonts w:ascii="Times New Roman;Times;serif" w:hAnsi="Times New Roman;Times;serif"/>
                <w:b/>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Revenue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thousands)</w:t>
            </w:r>
            <w:r>
              <w:rPr>
                <w:rFonts w:ascii="Times New Roman;Times;serif" w:hAnsi="Times New Roman;Times;serif"/>
                <w:b/>
                <w:color w:val="000000"/>
                <w:position w:val="5"/>
                <w:sz w:val="13"/>
                <w:sz w:val="16"/>
              </w:rPr>
              <w:t>(7)</w:t>
            </w:r>
            <w:r>
              <w:rPr>
                <w:rFonts w:ascii="Times New Roman;Times;serif" w:hAnsi="Times New Roman;Times;serif"/>
                <w:b/>
                <w:color w:val="000000"/>
                <w:sz w:val="16"/>
              </w:rPr>
              <w:t xml:space="preserve">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19"/>
              </w:rPr>
            </w:pPr>
            <w:r>
              <w:rPr>
                <w:rFonts w:ascii="Times New Roman;Times;serif" w:hAnsi="Times New Roman;Times;serif"/>
                <w:color w:val="000000"/>
                <w:sz w:val="19"/>
              </w:rPr>
              <w:t>$6,060,145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52" w:right="0" w:hanging="0"/>
              <w:jc w:val="left"/>
              <w:rPr>
                <w:rFonts w:ascii="Times New Roman;Times;serif" w:hAnsi="Times New Roman;Times;serif"/>
                <w:color w:val="000000"/>
                <w:sz w:val="19"/>
              </w:rPr>
            </w:pPr>
            <w:r>
              <w:rPr>
                <w:rFonts w:ascii="Times New Roman;Times;serif" w:hAnsi="Times New Roman;Times;serif"/>
                <w:color w:val="000000"/>
                <w:sz w:val="19"/>
              </w:rPr>
              <w:t>$13,687,672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1,799,117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19"/>
              </w:rPr>
            </w:pPr>
            <w:r>
              <w:rPr>
                <w:rFonts w:ascii="Times New Roman;Times;serif" w:hAnsi="Times New Roman;Times;serif"/>
                <w:color w:val="000000"/>
                <w:sz w:val="19"/>
              </w:rPr>
              <w:t>$7,350,570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49.65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56.54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(36,742)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$(320,175)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76" w:right="0" w:hanging="0"/>
              <w:jc w:val="left"/>
              <w:rPr>
                <w:rFonts w:ascii="Times New Roman;Times;serif" w:hAnsi="Times New Roman;Times;serif"/>
                <w:color w:val="000000"/>
                <w:sz w:val="19"/>
              </w:rPr>
            </w:pPr>
            <w:r>
              <w:rPr>
                <w:rFonts w:ascii="Times New Roman;Times;serif" w:hAnsi="Times New Roman;Times;serif"/>
                <w:color w:val="000000"/>
                <w:sz w:val="19"/>
              </w:rPr>
              <w:t>$5,494,284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52"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6,807,600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76" w:right="0" w:hanging="0"/>
              <w:jc w:val="left"/>
              <w:rPr>
                <w:rFonts w:ascii="Times New Roman;Times;serif" w:hAnsi="Times New Roman;Times;serif"/>
                <w:color w:val="000000"/>
                <w:sz w:val="19"/>
              </w:rPr>
            </w:pPr>
            <w:r>
              <w:rPr>
                <w:rFonts w:ascii="Times New Roman;Times;serif" w:hAnsi="Times New Roman;Times;serif"/>
                <w:color w:val="000000"/>
                <w:sz w:val="19"/>
              </w:rPr>
              <w:t>$1,466,609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6" w:right="0" w:hanging="0"/>
              <w:jc w:val="left"/>
              <w:rPr>
                <w:rFonts w:ascii="Times New Roman;Times;serif" w:hAnsi="Times New Roman;Times;serif"/>
                <w:color w:val="000000"/>
                <w:sz w:val="19"/>
              </w:rPr>
            </w:pPr>
            <w:r>
              <w:rPr>
                <w:rFonts w:ascii="Times New Roman;Times;serif" w:hAnsi="Times New Roman;Times;serif"/>
                <w:color w:val="000000"/>
                <w:sz w:val="19"/>
              </w:rPr>
              <w:t>$4,144,464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12"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44.12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12"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42.92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9"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(33,993)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69"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292,498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19"/>
              </w:rPr>
            </w:pPr>
            <w:r>
              <w:rPr>
                <w:rFonts w:ascii="Times New Roman;Times;serif" w:hAnsi="Times New Roman;Times;serif"/>
                <w:color w:val="000000"/>
                <w:sz w:val="19"/>
              </w:rPr>
              <w:t>$5,005,971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52"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971,112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19"/>
              </w:rPr>
            </w:pPr>
            <w:r>
              <w:rPr>
                <w:rFonts w:ascii="Times New Roman;Times;serif" w:hAnsi="Times New Roman;Times;serif"/>
                <w:color w:val="000000"/>
                <w:sz w:val="19"/>
              </w:rPr>
              <w:t>$1,264,817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656,573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27.29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42.92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19"/>
              </w:rPr>
            </w:pPr>
            <w:r>
              <w:rPr>
                <w:rFonts w:ascii="Times New Roman;Times;serif" w:hAnsi="Times New Roman;Times;serif"/>
                <w:color w:val="000000"/>
                <w:sz w:val="19"/>
              </w:rPr>
              <w:t>$(184,350)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303,914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76" w:right="0" w:hanging="0"/>
              <w:jc w:val="left"/>
              <w:rPr>
                <w:rFonts w:ascii="Times New Roman;Times;serif" w:hAnsi="Times New Roman;Times;serif"/>
                <w:color w:val="000000"/>
                <w:sz w:val="19"/>
              </w:rPr>
            </w:pPr>
            <w:r>
              <w:rPr>
                <w:rFonts w:ascii="Times New Roman;Times;serif" w:hAnsi="Times New Roman;Times;serif"/>
                <w:color w:val="000000"/>
                <w:sz w:val="19"/>
              </w:rPr>
              <w:t>$3,983,690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52"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(2,114,483)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76"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914,244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6"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(45,199)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12"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40.92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12"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56.18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9"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(52,441)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69"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338,752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19"/>
              </w:rPr>
            </w:pPr>
            <w:r>
              <w:rPr>
                <w:rFonts w:ascii="Times New Roman;Times;serif" w:hAnsi="Times New Roman;Times;serif"/>
                <w:color w:val="000000"/>
                <w:sz w:val="19"/>
              </w:rPr>
              <w:t>$5,659,727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52"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4,953,581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19"/>
              </w:rPr>
            </w:pPr>
            <w:r>
              <w:rPr>
                <w:rFonts w:ascii="Times New Roman;Times;serif" w:hAnsi="Times New Roman;Times;serif"/>
                <w:color w:val="000000"/>
                <w:sz w:val="19"/>
              </w:rPr>
              <w:t>$1,303,492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19"/>
              </w:rPr>
            </w:pPr>
            <w:r>
              <w:rPr>
                <w:rFonts w:ascii="Times New Roman;Times;serif" w:hAnsi="Times New Roman;Times;serif"/>
                <w:color w:val="000000"/>
                <w:sz w:val="19"/>
              </w:rPr>
              <w:t>$1,233,726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84.90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58.92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(26,547)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69"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316,219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76" w:right="0" w:hanging="0"/>
              <w:jc w:val="left"/>
              <w:rPr>
                <w:rFonts w:ascii="Times New Roman;Times;serif" w:hAnsi="Times New Roman;Times;serif"/>
                <w:color w:val="000000"/>
                <w:sz w:val="19"/>
              </w:rPr>
            </w:pPr>
            <w:r>
              <w:rPr>
                <w:rFonts w:ascii="Times New Roman;Times;serif" w:hAnsi="Times New Roman;Times;serif"/>
                <w:color w:val="000000"/>
                <w:sz w:val="19"/>
              </w:rPr>
              <w:t>$4,045,913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52" w:right="0" w:hanging="0"/>
              <w:jc w:val="left"/>
              <w:rPr>
                <w:rFonts w:ascii="Times New Roman;Times;serif" w:hAnsi="Times New Roman;Times;serif"/>
                <w:color w:val="000000"/>
                <w:sz w:val="19"/>
              </w:rPr>
            </w:pPr>
            <w:r>
              <w:rPr>
                <w:rFonts w:ascii="Times New Roman;Times;serif" w:hAnsi="Times New Roman;Times;serif"/>
                <w:color w:val="000000"/>
                <w:sz w:val="19"/>
              </w:rPr>
              <w:t>$13,883,392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76" w:right="0" w:hanging="0"/>
              <w:jc w:val="left"/>
              <w:rPr>
                <w:rFonts w:ascii="Times New Roman;Times;serif" w:hAnsi="Times New Roman;Times;serif"/>
                <w:color w:val="000000"/>
                <w:sz w:val="19"/>
              </w:rPr>
            </w:pPr>
            <w:r>
              <w:rPr>
                <w:rFonts w:ascii="Times New Roman;Times;serif" w:hAnsi="Times New Roman;Times;serif"/>
                <w:color w:val="000000"/>
                <w:sz w:val="19"/>
              </w:rPr>
              <w:t>$1,029,527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6" w:right="0" w:hanging="0"/>
              <w:jc w:val="left"/>
              <w:rPr>
                <w:rFonts w:ascii="Times New Roman;Times;serif" w:hAnsi="Times New Roman;Times;serif"/>
                <w:color w:val="000000"/>
                <w:sz w:val="19"/>
              </w:rPr>
            </w:pPr>
            <w:r>
              <w:rPr>
                <w:rFonts w:ascii="Times New Roman;Times;serif" w:hAnsi="Times New Roman;Times;serif"/>
                <w:color w:val="000000"/>
                <w:sz w:val="19"/>
              </w:rPr>
              <w:t>$2,868,533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12" w:right="0" w:hanging="0"/>
              <w:jc w:val="left"/>
              <w:rPr>
                <w:rFonts w:ascii="Times New Roman;Times;serif" w:hAnsi="Times New Roman;Times;serif"/>
                <w:color w:val="000000"/>
                <w:sz w:val="19"/>
              </w:rPr>
            </w:pPr>
            <w:r>
              <w:rPr>
                <w:rFonts w:ascii="Times New Roman;Times;serif" w:hAnsi="Times New Roman;Times;serif"/>
                <w:color w:val="000000"/>
                <w:sz w:val="19"/>
              </w:rPr>
              <w:t>$226.44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12" w:right="0" w:hanging="0"/>
              <w:jc w:val="left"/>
              <w:rPr>
                <w:rFonts w:ascii="Times New Roman;Times;serif" w:hAnsi="Times New Roman;Times;serif"/>
                <w:color w:val="000000"/>
                <w:sz w:val="19"/>
              </w:rPr>
            </w:pPr>
            <w:r>
              <w:rPr>
                <w:rFonts w:ascii="Times New Roman;Times;serif" w:hAnsi="Times New Roman;Times;serif"/>
                <w:color w:val="000000"/>
                <w:sz w:val="19"/>
              </w:rPr>
              <w:t>$124.10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69"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(31,547)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69"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291,010</w:t>
            </w:r>
          </w:p>
        </w:tc>
      </w:tr>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r>
    </w:tbl>
    <w:tbl>
      <w:tblPr>
        <w:tblW w:w="4870" w:type="dxa"/>
        <w:jc w:val="left"/>
        <w:tblInd w:w="0" w:type="dxa"/>
        <w:tblLayout w:type="fixed"/>
        <w:tblCellMar>
          <w:top w:w="0" w:type="dxa"/>
          <w:left w:w="0" w:type="dxa"/>
          <w:bottom w:w="0" w:type="dxa"/>
          <w:right w:w="0" w:type="dxa"/>
        </w:tblCellMar>
      </w:tblPr>
      <w:tblGrid>
        <w:gridCol w:w="260"/>
        <w:gridCol w:w="46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6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Clemmer was the CEO for each of the fiscal years presented.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Non-CEO NEOs for fiscal year 2026 and 2025 were Messrs. Trowbridge, Weiss, and Nighan and Ms. Piccinini. Non-CEO NEOs for fiscal year 2024 were Messrs. Trowbridge, Nighan, and Campbell and Ms. Piccinini. Non-CEO NEOs for fiscal years 2023 and 2022 were Messrs. Trowbridge, Helsel, and Campbell and Ms. Piccinini. Non-CEO NEOs for fiscal year 2021 were Messrs. Trowbridge, Helsel, Campbell and Nighan.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Subtractions from, and additions to, total compensation in the Summary Compensation Table (“SCT”) by fiscal year to calculate Compensation Actually Paid (“CAP”) are as follows: </w:t>
            </w:r>
          </w:p>
        </w:tc>
      </w:tr>
    </w:tbl>
    <w:tbl>
      <w:tblPr>
        <w:tblW w:w="10205" w:type="dxa"/>
        <w:jc w:val="left"/>
        <w:tblInd w:w="0" w:type="dxa"/>
        <w:tblLayout w:type="fixed"/>
        <w:tblCellMar>
          <w:top w:w="0" w:type="dxa"/>
          <w:left w:w="0" w:type="dxa"/>
          <w:bottom w:w="0" w:type="dxa"/>
          <w:right w:w="0" w:type="dxa"/>
        </w:tblCellMar>
      </w:tblPr>
      <w:tblGrid>
        <w:gridCol w:w="1593"/>
        <w:gridCol w:w="170"/>
        <w:gridCol w:w="170"/>
        <w:gridCol w:w="785"/>
        <w:gridCol w:w="170"/>
        <w:gridCol w:w="170"/>
        <w:gridCol w:w="710"/>
        <w:gridCol w:w="170"/>
        <w:gridCol w:w="170"/>
        <w:gridCol w:w="757"/>
        <w:gridCol w:w="170"/>
        <w:gridCol w:w="170"/>
        <w:gridCol w:w="710"/>
        <w:gridCol w:w="170"/>
        <w:gridCol w:w="170"/>
        <w:gridCol w:w="757"/>
        <w:gridCol w:w="170"/>
        <w:gridCol w:w="170"/>
        <w:gridCol w:w="710"/>
        <w:gridCol w:w="170"/>
        <w:gridCol w:w="170"/>
        <w:gridCol w:w="757"/>
        <w:gridCol w:w="170"/>
        <w:gridCol w:w="170"/>
        <w:gridCol w:w="706"/>
      </w:tblGrid>
      <w:tr>
        <w:trPr/>
        <w:tc>
          <w:tcPr>
            <w:tcW w:w="159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7"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7"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3" w:type="dxa"/>
            <w:gridSpan w:val="4"/>
            <w:tcBorders/>
            <w:vAlign w:val="center"/>
          </w:tcPr>
          <w:p>
            <w:pPr>
              <w:pStyle w:val="TableContents"/>
              <w:bidi w:val="0"/>
              <w:spacing w:before="0" w:after="0"/>
              <w:jc w:val="left"/>
              <w:rPr/>
            </w:pPr>
            <w:r>
              <w:rPr/>
              <w:t> </w:t>
            </w:r>
          </w:p>
        </w:tc>
      </w:tr>
      <w:tr>
        <w:trPr/>
        <w:tc>
          <w:tcPr>
            <w:tcW w:w="159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gridSpan w:val="4"/>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7" w:type="dxa"/>
            <w:gridSpan w:val="4"/>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7" w:type="dxa"/>
            <w:gridSpan w:val="4"/>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3" w:type="dxa"/>
            <w:gridSpan w:val="4"/>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2023 </w:t>
            </w:r>
          </w:p>
        </w:tc>
      </w:tr>
      <w:tr>
        <w:trPr/>
        <w:tc>
          <w:tcPr>
            <w:tcW w:w="159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Average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Non-CEO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7"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Average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Non-CEO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7"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Average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Non-CEO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7"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6"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Average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Non-CEO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NEOs </w:t>
            </w:r>
          </w:p>
        </w:tc>
      </w:tr>
      <w:tr>
        <w:trPr/>
        <w:tc>
          <w:tcPr>
            <w:tcW w:w="1593"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Total Compensation from SCT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6,060,145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1,799,117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5,494,284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$1,466,609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5,005,971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$1,264,817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3,983,690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06"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914,244 </w:t>
            </w:r>
          </w:p>
        </w:tc>
      </w:tr>
      <w:tr>
        <w:trPr/>
        <w:tc>
          <w:tcPr>
            <w:tcW w:w="1593" w:type="dxa"/>
            <w:tcBorders/>
            <w:vAlign w:val="center"/>
          </w:tcPr>
          <w:p>
            <w:pPr>
              <w:pStyle w:val="TableContents"/>
              <w:bidi w:val="0"/>
              <w:spacing w:before="0" w:after="283"/>
              <w:ind w:left="0" w:right="0" w:hanging="0"/>
              <w:jc w:val="left"/>
              <w:rPr>
                <w:rFonts w:ascii="Times New Roman;Times;serif" w:hAnsi="Times New Roman;Times;serif"/>
                <w:i/>
                <w:color w:val="000000"/>
                <w:sz w:val="14"/>
              </w:rPr>
            </w:pPr>
            <w:r>
              <w:rPr>
                <w:rFonts w:ascii="Times New Roman;Times;serif" w:hAnsi="Times New Roman;Times;serif"/>
                <w:i/>
                <w:color w:val="000000"/>
                <w:sz w:val="14"/>
              </w:rPr>
              <w:t>Subtractions: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6" w:type="dxa"/>
            <w:tcBorders/>
            <w:vAlign w:val="center"/>
          </w:tcPr>
          <w:p>
            <w:pPr>
              <w:pStyle w:val="TableContents"/>
              <w:bidi w:val="0"/>
              <w:spacing w:before="0" w:after="0"/>
              <w:jc w:val="center"/>
              <w:rPr>
                <w:color w:val="000000"/>
              </w:rPr>
            </w:pPr>
            <w:r>
              <w:rPr>
                <w:color w:val="000000"/>
              </w:rPr>
              <w:t> </w:t>
            </w:r>
          </w:p>
        </w:tc>
      </w:tr>
      <w:tr>
        <w:trPr/>
        <w:tc>
          <w:tcPr>
            <w:tcW w:w="1593"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SCT Value of Stock and Option Awards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(3,689,866)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(803,570)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$(3,437,078)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(734,299)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$(3,399,217)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(592,487)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$(3,000,774)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06"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$(454,289) </w:t>
            </w:r>
          </w:p>
        </w:tc>
      </w:tr>
      <w:tr>
        <w:trPr/>
        <w:tc>
          <w:tcPr>
            <w:tcW w:w="1593" w:type="dxa"/>
            <w:tcBorders/>
            <w:vAlign w:val="center"/>
          </w:tcPr>
          <w:p>
            <w:pPr>
              <w:pStyle w:val="TableContents"/>
              <w:bidi w:val="0"/>
              <w:spacing w:before="0" w:after="283"/>
              <w:ind w:left="0" w:right="0" w:hanging="0"/>
              <w:jc w:val="left"/>
              <w:rPr>
                <w:rFonts w:ascii="Times New Roman;Times;serif" w:hAnsi="Times New Roman;Times;serif"/>
                <w:i/>
                <w:color w:val="000000"/>
                <w:sz w:val="14"/>
              </w:rPr>
            </w:pPr>
            <w:r>
              <w:rPr>
                <w:rFonts w:ascii="Times New Roman;Times;serif" w:hAnsi="Times New Roman;Times;serif"/>
                <w:i/>
                <w:color w:val="000000"/>
                <w:sz w:val="14"/>
              </w:rPr>
              <w:t>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6" w:type="dxa"/>
            <w:tcBorders/>
            <w:vAlign w:val="center"/>
          </w:tcPr>
          <w:p>
            <w:pPr>
              <w:pStyle w:val="TableContents"/>
              <w:bidi w:val="0"/>
              <w:spacing w:before="0" w:after="0"/>
              <w:jc w:val="center"/>
              <w:rPr>
                <w:color w:val="000000"/>
              </w:rPr>
            </w:pPr>
            <w:r>
              <w:rPr>
                <w:color w:val="000000"/>
              </w:rPr>
              <w:t> </w:t>
            </w:r>
          </w:p>
        </w:tc>
      </w:tr>
      <w:tr>
        <w:trPr/>
        <w:tc>
          <w:tcPr>
            <w:tcW w:w="1593"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Unvested value at year end of equity granted during the covered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6,479,094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$5,126,562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3,736,553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$3,217,933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817,462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226,197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658,535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06"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 xml:space="preserve">99,697 </w:t>
            </w:r>
          </w:p>
        </w:tc>
      </w:tr>
      <w:tr>
        <w:trPr/>
        <w:tc>
          <w:tcPr>
            <w:tcW w:w="1593" w:type="dxa"/>
            <w:tcBorders/>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Change from prior year end in fair value of awards granted in any prior fiscal year that are outstanding and unvested at covered year end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5,284,540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$1,231,890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1,263,456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243,529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(313,264)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rPr>
              <w:t>$</w:t>
            </w:r>
            <w:r>
              <w:rPr>
                <w:rFonts w:ascii="Times New Roman;Times;serif" w:hAnsi="Times New Roman;Times;serif"/>
                <w:color w:val="000000"/>
                <w:sz w:val="14"/>
              </w:rPr>
              <w:t>(42,700)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$(3,867,465)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6" w:type="dxa"/>
            <w:tcBorders/>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$(612,420) </w:t>
            </w:r>
          </w:p>
        </w:tc>
      </w:tr>
      <w:tr>
        <w:trPr/>
        <w:tc>
          <w:tcPr>
            <w:tcW w:w="1593"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4"/>
              </w:rPr>
            </w:pPr>
            <w:r>
              <w:rPr>
                <w:rFonts w:ascii="Times New Roman;Times;serif" w:hAnsi="Times New Roman;Times;serif"/>
                <w:color w:val="000000"/>
                <w:sz w:val="14"/>
              </w:rPr>
              <w:t>Change as of the vesting date (from the end of the prior fiscal year) in fair value of awards granted in any prior fiscal years for which vesting conditions were satisfied at the end of or during the covered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2" w:color="000000"/>
              </w:rPr>
              <w:t>$(446,241</w:t>
            </w:r>
            <w:r>
              <w:rPr>
                <w:rFonts w:ascii="Times New Roman;Times;serif" w:hAnsi="Times New Roman;Times;serif"/>
                <w:color w:val="000000"/>
                <w:sz w:val="14"/>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2" w:color="000000"/>
              </w:rPr>
              <w:t>$(3,430</w:t>
            </w:r>
            <w:r>
              <w:rPr>
                <w:rFonts w:ascii="Times New Roman;Times;serif" w:hAnsi="Times New Roman;Times;serif"/>
                <w:color w:val="000000"/>
                <w:sz w:val="14"/>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2" w:color="000000"/>
              </w:rPr>
              <w:t>$(249,615</w:t>
            </w:r>
            <w:r>
              <w:rPr>
                <w:rFonts w:ascii="Times New Roman;Times;serif" w:hAnsi="Times New Roman;Times;serif"/>
                <w:color w:val="000000"/>
                <w:sz w:val="14"/>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2" w:color="000000"/>
              </w:rPr>
              <w:t>$(49,308</w:t>
            </w:r>
            <w:r>
              <w:rPr>
                <w:rFonts w:ascii="Times New Roman;Times;serif" w:hAnsi="Times New Roman;Times;serif"/>
                <w:color w:val="000000"/>
                <w:sz w:val="14"/>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2" w:color="000000"/>
              </w:rPr>
              <w:t>$(1,139,840</w:t>
            </w:r>
            <w:r>
              <w:rPr>
                <w:rFonts w:ascii="Times New Roman;Times;serif" w:hAnsi="Times New Roman;Times;serif"/>
                <w:color w:val="000000"/>
                <w:sz w:val="14"/>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4"/>
              </w:rPr>
            </w:pPr>
            <w:r>
              <w:rPr>
                <w:rFonts w:ascii="Times New Roman;Times;serif" w:hAnsi="Times New Roman;Times;serif"/>
                <w:color w:val="000000"/>
                <w:sz w:val="14"/>
                <w:bdr w:val="single" w:sz="8" w:space="2" w:color="000000"/>
              </w:rPr>
              <w:t>$(199,254</w:t>
            </w:r>
            <w:r>
              <w:rPr>
                <w:rFonts w:ascii="Times New Roman;Times;serif" w:hAnsi="Times New Roman;Times;serif"/>
                <w:color w:val="000000"/>
                <w:sz w:val="14"/>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$111,531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06" w:type="dxa"/>
            <w:tcBorders/>
            <w:shd w:fill="CCEEFF" w:val="clear"/>
            <w:vAlign w:val="center"/>
          </w:tcPr>
          <w:p>
            <w:pPr>
              <w:pStyle w:val="TableContents"/>
              <w:bidi w:val="0"/>
              <w:spacing w:before="0" w:after="283"/>
              <w:ind w:left="34" w:right="0" w:hanging="0"/>
              <w:jc w:val="left"/>
              <w:rPr>
                <w:rFonts w:ascii="Times New Roman;Times;serif" w:hAnsi="Times New Roman;Times;serif"/>
                <w:color w:val="000000"/>
                <w:sz w:val="14"/>
                <w:bdr w:val="single" w:sz="8" w:space="2" w:color="000000"/>
              </w:rPr>
            </w:pPr>
            <w:r>
              <w:rPr>
                <w:rFonts w:ascii="Times New Roman;Times;serif" w:hAnsi="Times New Roman;Times;serif"/>
                <w:color w:val="000000"/>
                <w:sz w:val="14"/>
                <w:bdr w:val="single" w:sz="8" w:space="2" w:color="000000"/>
              </w:rPr>
              <w:t xml:space="preserve">$7,569 </w:t>
            </w:r>
          </w:p>
        </w:tc>
      </w:tr>
      <w:tr>
        <w:trPr/>
        <w:tc>
          <w:tcPr>
            <w:tcW w:w="1593" w:type="dxa"/>
            <w:tcBorders/>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Compensation Actually Paid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14"/>
                <w:bdr w:val="double" w:sz="8" w:space="1" w:color="000000"/>
              </w:rPr>
            </w:pPr>
            <w:r>
              <w:rPr>
                <w:rFonts w:ascii="Times New Roman;Times;serif" w:hAnsi="Times New Roman;Times;serif"/>
                <w:color w:val="000000"/>
                <w:sz w:val="14"/>
                <w:bdr w:val="double" w:sz="8" w:space="1" w:color="000000"/>
              </w:rPr>
              <w:t>$13,687,672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rFonts w:ascii="Times New Roman;Times;serif" w:hAnsi="Times New Roman;Times;serif"/>
                <w:color w:val="000000"/>
                <w:sz w:val="14"/>
                <w:bdr w:val="double" w:sz="8" w:space="1" w:color="000000"/>
              </w:rPr>
            </w:pPr>
            <w:r>
              <w:rPr>
                <w:rFonts w:ascii="Times New Roman;Times;serif" w:hAnsi="Times New Roman;Times;serif"/>
                <w:color w:val="000000"/>
                <w:sz w:val="14"/>
                <w:bdr w:val="double" w:sz="8" w:space="1" w:color="000000"/>
              </w:rPr>
              <w:t>$7,350,570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7" w:type="dxa"/>
            <w:tcBorders/>
            <w:vAlign w:val="center"/>
          </w:tcPr>
          <w:p>
            <w:pPr>
              <w:pStyle w:val="TableContents"/>
              <w:bidi w:val="0"/>
              <w:spacing w:before="0" w:after="283"/>
              <w:ind w:left="0" w:right="0" w:hanging="0"/>
              <w:jc w:val="left"/>
              <w:rPr>
                <w:rFonts w:ascii="Times New Roman;Times;serif" w:hAnsi="Times New Roman;Times;serif"/>
                <w:color w:val="000000"/>
                <w:sz w:val="14"/>
                <w:bdr w:val="double" w:sz="8" w:space="1" w:color="000000"/>
              </w:rPr>
            </w:pPr>
            <w:r>
              <w:rPr>
                <w:rFonts w:ascii="Times New Roman;Times;serif" w:hAnsi="Times New Roman;Times;serif"/>
                <w:color w:val="000000"/>
                <w:sz w:val="14"/>
                <w:bdr w:val="double" w:sz="8" w:space="1" w:color="000000"/>
              </w:rPr>
              <w:t>$6,807,600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rFonts w:ascii="Times New Roman;Times;serif" w:hAnsi="Times New Roman;Times;serif"/>
                <w:color w:val="000000"/>
                <w:sz w:val="14"/>
                <w:bdr w:val="double" w:sz="8" w:space="1" w:color="000000"/>
              </w:rPr>
            </w:pPr>
            <w:r>
              <w:rPr>
                <w:rFonts w:ascii="Times New Roman;Times;serif" w:hAnsi="Times New Roman;Times;serif"/>
                <w:color w:val="000000"/>
                <w:sz w:val="14"/>
                <w:bdr w:val="double" w:sz="8" w:space="1" w:color="000000"/>
              </w:rPr>
              <w:t>$4,144,464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7" w:type="dxa"/>
            <w:tcBorders/>
            <w:vAlign w:val="center"/>
          </w:tcPr>
          <w:p>
            <w:pPr>
              <w:pStyle w:val="TableContents"/>
              <w:bidi w:val="0"/>
              <w:spacing w:before="0" w:after="283"/>
              <w:ind w:left="0" w:right="0" w:hanging="0"/>
              <w:jc w:val="left"/>
              <w:rPr>
                <w:rFonts w:ascii="Times New Roman;Times;serif" w:hAnsi="Times New Roman;Times;serif"/>
                <w:color w:val="000000"/>
                <w:sz w:val="14"/>
                <w:bdr w:val="double" w:sz="8" w:space="1" w:color="000000"/>
              </w:rPr>
            </w:pPr>
            <w:r>
              <w:rPr>
                <w:rFonts w:ascii="Times New Roman;Times;serif" w:hAnsi="Times New Roman;Times;serif"/>
                <w:color w:val="000000"/>
                <w:sz w:val="14"/>
                <w:bdr w:val="double" w:sz="8" w:space="1" w:color="000000"/>
              </w:rPr>
              <w:t>$971,112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4" w:right="0" w:hanging="0"/>
              <w:jc w:val="left"/>
              <w:rPr>
                <w:rFonts w:ascii="Times New Roman;Times;serif" w:hAnsi="Times New Roman;Times;serif"/>
                <w:color w:val="000000"/>
                <w:sz w:val="14"/>
                <w:bdr w:val="double" w:sz="8" w:space="1" w:color="000000"/>
              </w:rPr>
            </w:pPr>
            <w:r>
              <w:rPr>
                <w:rFonts w:ascii="Times New Roman;Times;serif" w:hAnsi="Times New Roman;Times;serif"/>
                <w:color w:val="000000"/>
                <w:sz w:val="14"/>
                <w:bdr w:val="double" w:sz="8" w:space="1" w:color="000000"/>
              </w:rPr>
              <w:t>$656,573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7" w:type="dxa"/>
            <w:tcBorders/>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bdr w:val="double" w:sz="8" w:space="1" w:color="000000"/>
              </w:rPr>
              <w:t>$(2,114,483</w:t>
            </w:r>
            <w:r>
              <w:rPr>
                <w:rFonts w:ascii="Times New Roman;Times;serif" w:hAnsi="Times New Roman;Times;serif"/>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6" w:type="dxa"/>
            <w:tcBorders/>
            <w:vAlign w:val="center"/>
          </w:tcPr>
          <w:p>
            <w:pPr>
              <w:pStyle w:val="TableContents"/>
              <w:bidi w:val="0"/>
              <w:spacing w:before="0" w:after="283"/>
              <w:ind w:left="34" w:right="0" w:hanging="0"/>
              <w:jc w:val="left"/>
              <w:rPr>
                <w:rFonts w:ascii="Times New Roman;Times;serif" w:hAnsi="Times New Roman;Times;serif"/>
                <w:color w:val="000000"/>
                <w:sz w:val="14"/>
              </w:rPr>
            </w:pPr>
            <w:r>
              <w:rPr>
                <w:rFonts w:ascii="Times New Roman;Times;serif" w:hAnsi="Times New Roman;Times;serif"/>
                <w:color w:val="000000"/>
                <w:sz w:val="14"/>
                <w:bdr w:val="double" w:sz="8" w:space="1" w:color="000000"/>
              </w:rPr>
              <w:t>$(45,199</w:t>
            </w:r>
            <w:r>
              <w:rPr>
                <w:rFonts w:ascii="Times New Roman;Times;serif" w:hAnsi="Times New Roman;Times;serif"/>
                <w:color w:val="000000"/>
                <w:sz w:val="14"/>
              </w:rPr>
              <w:t>)</w:t>
            </w:r>
          </w:p>
        </w:tc>
      </w:tr>
      <w:tr>
        <w:trPr/>
        <w:tc>
          <w:tcPr>
            <w:tcW w:w="159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6"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5042"/>
        <w:gridCol w:w="170"/>
        <w:gridCol w:w="170"/>
        <w:gridCol w:w="976"/>
        <w:gridCol w:w="170"/>
        <w:gridCol w:w="170"/>
        <w:gridCol w:w="902"/>
        <w:gridCol w:w="170"/>
        <w:gridCol w:w="170"/>
        <w:gridCol w:w="976"/>
        <w:gridCol w:w="170"/>
        <w:gridCol w:w="170"/>
        <w:gridCol w:w="949"/>
      </w:tblGrid>
      <w:tr>
        <w:trPr/>
        <w:tc>
          <w:tcPr>
            <w:tcW w:w="50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8"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65" w:type="dxa"/>
            <w:gridSpan w:val="4"/>
            <w:tcBorders/>
            <w:vAlign w:val="center"/>
          </w:tcPr>
          <w:p>
            <w:pPr>
              <w:pStyle w:val="TableContents"/>
              <w:bidi w:val="0"/>
              <w:spacing w:before="0" w:after="0"/>
              <w:jc w:val="left"/>
              <w:rPr/>
            </w:pPr>
            <w:r>
              <w:rPr/>
              <w:t> </w:t>
            </w:r>
          </w:p>
        </w:tc>
      </w:tr>
      <w:tr>
        <w:trPr/>
        <w:tc>
          <w:tcPr>
            <w:tcW w:w="504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8"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65"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2021 </w:t>
            </w:r>
          </w:p>
        </w:tc>
      </w:tr>
      <w:tr>
        <w:trPr/>
        <w:tc>
          <w:tcPr>
            <w:tcW w:w="504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6"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6"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tc>
      </w:tr>
      <w:tr>
        <w:trPr/>
        <w:tc>
          <w:tcPr>
            <w:tcW w:w="504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Total Compensation from SCT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5,659,727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$1,303,492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4,045,913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$1,029,527 </w:t>
            </w:r>
          </w:p>
        </w:tc>
      </w:tr>
      <w:tr>
        <w:trPr/>
        <w:tc>
          <w:tcPr>
            <w:tcW w:w="5042" w:type="dxa"/>
            <w:tcBorders/>
            <w:vAlign w:val="center"/>
          </w:tcPr>
          <w:p>
            <w:pPr>
              <w:pStyle w:val="TableContents"/>
              <w:bidi w:val="0"/>
              <w:spacing w:before="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rPr>
              <w:t>Subtractions: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center"/>
              <w:rPr>
                <w:color w:val="000000"/>
              </w:rPr>
            </w:pPr>
            <w:r>
              <w:rPr>
                <w:color w:val="000000"/>
              </w:rPr>
              <w:t> </w:t>
            </w:r>
          </w:p>
        </w:tc>
      </w:tr>
      <w:tr>
        <w:trPr/>
        <w:tc>
          <w:tcPr>
            <w:tcW w:w="5042"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SCT Value of Stock and Option Awards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$(4,147,712)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(687,958)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$(2,137,451)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(357,244) </w:t>
            </w:r>
          </w:p>
        </w:tc>
      </w:tr>
      <w:tr>
        <w:trPr/>
        <w:tc>
          <w:tcPr>
            <w:tcW w:w="5042" w:type="dxa"/>
            <w:tcBorders/>
            <w:vAlign w:val="center"/>
          </w:tcPr>
          <w:p>
            <w:pPr>
              <w:pStyle w:val="TableContents"/>
              <w:bidi w:val="0"/>
              <w:spacing w:before="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rPr>
              <w:t>Adjustments: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6"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0"/>
              <w:jc w:val="center"/>
              <w:rPr>
                <w:color w:val="000000"/>
              </w:rPr>
            </w:pPr>
            <w:r>
              <w:rPr>
                <w:color w:val="000000"/>
              </w:rPr>
              <w:t> </w:t>
            </w:r>
          </w:p>
        </w:tc>
      </w:tr>
      <w:tr>
        <w:trPr/>
        <w:tc>
          <w:tcPr>
            <w:tcW w:w="5042"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Unvested value at year end of equity granted during the covered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3,289,559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518,057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9,414,998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$1,573,581 </w:t>
            </w:r>
          </w:p>
        </w:tc>
      </w:tr>
      <w:tr>
        <w:trPr/>
        <w:tc>
          <w:tcPr>
            <w:tcW w:w="504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bidi w:val="0"/>
        <w:spacing w:before="200" w:after="200"/>
        <w:jc w:val="left"/>
        <w:rPr/>
      </w:pPr>
      <w:r>
        <w:rPr/>
      </w:r>
    </w:p>
    <w:p>
      <w:pPr>
        <w:pStyle w:val="TextBody"/>
        <w:bidi w:val="0"/>
        <w:jc w:val="left"/>
        <w:rPr/>
      </w:pPr>
      <w:hyperlink w:anchor="TOC">
        <w:bookmarkStart w:id="72" w:name="ny20083274x1_def14a_112-pvp_pg2"/>
        <w:bookmarkEnd w:id="7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5165"/>
        <w:gridCol w:w="170"/>
        <w:gridCol w:w="170"/>
        <w:gridCol w:w="937"/>
        <w:gridCol w:w="170"/>
        <w:gridCol w:w="170"/>
        <w:gridCol w:w="873"/>
        <w:gridCol w:w="170"/>
        <w:gridCol w:w="170"/>
        <w:gridCol w:w="950"/>
        <w:gridCol w:w="170"/>
        <w:gridCol w:w="170"/>
        <w:gridCol w:w="920"/>
      </w:tblGrid>
      <w:tr>
        <w:trPr/>
        <w:tc>
          <w:tcPr>
            <w:tcW w:w="51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gridSpan w:val="4"/>
            <w:tcBorders/>
            <w:vAlign w:val="center"/>
          </w:tcPr>
          <w:p>
            <w:pPr>
              <w:pStyle w:val="TableContents"/>
              <w:bidi w:val="0"/>
              <w:spacing w:before="0" w:after="0"/>
              <w:jc w:val="left"/>
              <w:rPr/>
            </w:pPr>
            <w:r>
              <w:rPr/>
              <w:t> </w:t>
            </w:r>
          </w:p>
        </w:tc>
      </w:tr>
      <w:tr>
        <w:trPr/>
        <w:tc>
          <w:tcPr>
            <w:tcW w:w="51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0"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2021 </w:t>
            </w:r>
          </w:p>
        </w:tc>
      </w:tr>
      <w:tr>
        <w:trPr/>
        <w:tc>
          <w:tcPr>
            <w:tcW w:w="51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7"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tc>
      </w:tr>
      <w:tr>
        <w:trPr/>
        <w:tc>
          <w:tcPr>
            <w:tcW w:w="5165"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Change from prior year end in fair value of awards granted in any prior fiscal year that are outstanding and unvested at covered year end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7"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$(1,051,502)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(189,282)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2,574,779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561,569 </w:t>
            </w:r>
          </w:p>
        </w:tc>
      </w:tr>
      <w:tr>
        <w:trPr/>
        <w:tc>
          <w:tcPr>
            <w:tcW w:w="5165" w:type="dxa"/>
            <w:tcBorders/>
            <w:vAlign w:val="center"/>
          </w:tcPr>
          <w:p>
            <w:pPr>
              <w:pStyle w:val="TableContents"/>
              <w:bidi w:val="0"/>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Change as of the vesting date (from the end of the prior fiscal year) in fair value of awards granted in any prior fiscal years for which vesting conditions were satisfied at the end of or during the covered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7" w:type="dxa"/>
            <w:tcBorders/>
            <w:vAlign w:val="center"/>
          </w:tcPr>
          <w:p>
            <w:pPr>
              <w:pStyle w:val="TableContents"/>
              <w:bidi w:val="0"/>
              <w:spacing w:before="0" w:after="283"/>
              <w:ind w:left="0"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$1,203,509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283"/>
              <w:ind w:left="5"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$289,417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$(14,847</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5" w:right="0" w:hanging="0"/>
              <w:jc w:val="left"/>
              <w:rPr>
                <w:rFonts w:ascii="Times New Roman;Times;serif" w:hAnsi="Times New Roman;Times;serif"/>
                <w:color w:val="000000"/>
                <w:sz w:val="16"/>
                <w:bdr w:val="single" w:sz="8" w:space="2" w:color="000000"/>
              </w:rPr>
            </w:pPr>
            <w:r>
              <w:rPr>
                <w:rFonts w:ascii="Times New Roman;Times;serif" w:hAnsi="Times New Roman;Times;serif"/>
                <w:color w:val="000000"/>
                <w:sz w:val="16"/>
                <w:bdr w:val="single" w:sz="8" w:space="2" w:color="000000"/>
              </w:rPr>
              <w:t xml:space="preserve">$61,100 </w:t>
            </w:r>
          </w:p>
        </w:tc>
      </w:tr>
      <w:tr>
        <w:trPr/>
        <w:tc>
          <w:tcPr>
            <w:tcW w:w="51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Compensation Actually Paid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$4,953,581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$1,233,726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$13,883,392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$2,868,533</w:t>
            </w:r>
          </w:p>
        </w:tc>
      </w:tr>
      <w:tr>
        <w:trPr/>
        <w:tc>
          <w:tcPr>
            <w:tcW w:w="51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fair value of each equity award was re-measured on each vesting date and/or year end, as applicable, in accordance with Accounting Standards Codification (ASC) Topic 718. The assumptions used in the valuation of each type of award are summarized below: </w:t>
            </w:r>
          </w:p>
        </w:tc>
      </w:tr>
    </w:tbl>
    <w:tbl>
      <w:tblPr>
        <w:tblW w:w="9745" w:type="dxa"/>
        <w:jc w:val="left"/>
        <w:tblInd w:w="0" w:type="dxa"/>
        <w:tblLayout w:type="fixed"/>
        <w:tblCellMar>
          <w:top w:w="0" w:type="dxa"/>
          <w:left w:w="0" w:type="dxa"/>
          <w:bottom w:w="0" w:type="dxa"/>
          <w:right w:w="0" w:type="dxa"/>
        </w:tblCellMar>
      </w:tblPr>
      <w:tblGrid>
        <w:gridCol w:w="140"/>
        <w:gridCol w:w="9605"/>
      </w:tblGrid>
      <w:tr>
        <w:trPr/>
        <w:tc>
          <w:tcPr>
            <w:tcW w:w="140" w:type="dxa"/>
            <w:tcBorders/>
            <w:vAlign w:val="center"/>
          </w:tcPr>
          <w:p>
            <w:pPr>
              <w:pStyle w:val="TableContents"/>
              <w:bidi w:val="0"/>
              <w:spacing w:before="0" w:after="0"/>
              <w:jc w:val="left"/>
              <w:rPr>
                <w:color w:val="000000"/>
              </w:rPr>
            </w:pPr>
            <w:r>
              <w:rPr>
                <w:color w:val="000000"/>
              </w:rPr>
              <w:t>•</w:t>
            </w:r>
          </w:p>
        </w:tc>
        <w:tc>
          <w:tcPr>
            <w:tcW w:w="96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Restricted stock units: The fair value of restricted stock units was based on the Company’s closing stock price on each measurement date. </w:t>
            </w:r>
          </w:p>
        </w:tc>
      </w:tr>
    </w:tbl>
    <w:tbl>
      <w:tblPr>
        <w:tblW w:w="9655" w:type="dxa"/>
        <w:jc w:val="left"/>
        <w:tblInd w:w="0" w:type="dxa"/>
        <w:tblLayout w:type="fixed"/>
        <w:tblCellMar>
          <w:top w:w="0" w:type="dxa"/>
          <w:left w:w="0" w:type="dxa"/>
          <w:bottom w:w="0" w:type="dxa"/>
          <w:right w:w="0" w:type="dxa"/>
        </w:tblCellMar>
      </w:tblPr>
      <w:tblGrid>
        <w:gridCol w:w="140"/>
        <w:gridCol w:w="9515"/>
      </w:tblGrid>
      <w:tr>
        <w:trPr/>
        <w:tc>
          <w:tcPr>
            <w:tcW w:w="140" w:type="dxa"/>
            <w:tcBorders/>
            <w:vAlign w:val="center"/>
          </w:tcPr>
          <w:p>
            <w:pPr>
              <w:pStyle w:val="TableContents"/>
              <w:bidi w:val="0"/>
              <w:spacing w:before="0" w:after="0"/>
              <w:jc w:val="left"/>
              <w:rPr>
                <w:color w:val="000000"/>
              </w:rPr>
            </w:pPr>
            <w:r>
              <w:rPr>
                <w:color w:val="000000"/>
              </w:rPr>
              <w:t>•</w:t>
            </w:r>
          </w:p>
        </w:tc>
        <w:tc>
          <w:tcPr>
            <w:tcW w:w="95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Non-qualified stock options: The fair value of non-qualified stock options was determined using a Black-Scholes option pricing model.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Performance unit awards: Performance unit awards are subject to vesting based on the Company’s level of attainment of performance targets, as well as a TSR modifier at the end of each performance period that can adjust the aggregate number of shares eligible to vest at the end of the three-year performance period. The fair value for performance unit awards was determined using a Monte Carlo simulation.</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Total shareholder return (TSR) is determined based on the value of an initial fixed investment of $100 in common stock on May 31, 2020, assuming the reinvestment of the dividends. The TSR peer group comprises the RDG SmallCap Medical Devices Index. </w:t>
            </w:r>
          </w:p>
        </w:tc>
      </w:tr>
    </w:tbl>
    <w:tbl>
      <w:tblPr>
        <w:tblW w:w="8305" w:type="dxa"/>
        <w:jc w:val="left"/>
        <w:tblInd w:w="0" w:type="dxa"/>
        <w:tblLayout w:type="fixed"/>
        <w:tblCellMar>
          <w:top w:w="0" w:type="dxa"/>
          <w:left w:w="0" w:type="dxa"/>
          <w:bottom w:w="0" w:type="dxa"/>
          <w:right w:w="0" w:type="dxa"/>
        </w:tblCellMar>
      </w:tblPr>
      <w:tblGrid>
        <w:gridCol w:w="260"/>
        <w:gridCol w:w="804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80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Reflects the dollar amount of net income reported in our audited financial statements for the applicable fiscal year.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6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GAAP Revenue equals Net Revenue, so no reconciliations are required for fiscal years 2026, 2025, 2024, 2023, 2022 or 2021. See our 2026 Annual Report on Form 10-K for the year ended May 31, 2026.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Tabular List of Financial Performance Measures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our assessment, the three most important financial performance measures used to link CAP (as calculated in accordance with the SEC rules) to our NEOs in fiscal year 2026 to the Company’s performance were: </w:t>
      </w:r>
    </w:p>
    <w:tbl>
      <w:tblPr>
        <w:tblW w:w="6055" w:type="dxa"/>
        <w:jc w:val="left"/>
        <w:tblInd w:w="0" w:type="dxa"/>
        <w:tblLayout w:type="fixed"/>
        <w:tblCellMar>
          <w:top w:w="0" w:type="dxa"/>
          <w:left w:w="0" w:type="dxa"/>
          <w:bottom w:w="0" w:type="dxa"/>
          <w:right w:w="0" w:type="dxa"/>
        </w:tblCellMar>
      </w:tblPr>
      <w:tblGrid>
        <w:gridCol w:w="140"/>
        <w:gridCol w:w="5915"/>
      </w:tblGrid>
      <w:tr>
        <w:trPr/>
        <w:tc>
          <w:tcPr>
            <w:tcW w:w="140" w:type="dxa"/>
            <w:tcBorders/>
            <w:vAlign w:val="center"/>
          </w:tcPr>
          <w:p>
            <w:pPr>
              <w:pStyle w:val="TableContents"/>
              <w:bidi w:val="0"/>
              <w:spacing w:before="0" w:after="0"/>
              <w:jc w:val="left"/>
              <w:rPr>
                <w:color w:val="000000"/>
              </w:rPr>
            </w:pPr>
            <w:r>
              <w:rPr>
                <w:color w:val="000000"/>
              </w:rPr>
              <w:t>•</w:t>
            </w:r>
          </w:p>
        </w:tc>
        <w:tc>
          <w:tcPr>
            <w:tcW w:w="5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Relative TSR values versus the RDG SmallCap Medical Devices Index; </w:t>
            </w:r>
          </w:p>
        </w:tc>
      </w:tr>
    </w:tbl>
    <w:tbl>
      <w:tblPr>
        <w:tblW w:w="2095" w:type="dxa"/>
        <w:jc w:val="left"/>
        <w:tblInd w:w="0" w:type="dxa"/>
        <w:tblLayout w:type="fixed"/>
        <w:tblCellMar>
          <w:top w:w="0" w:type="dxa"/>
          <w:left w:w="0" w:type="dxa"/>
          <w:bottom w:w="0" w:type="dxa"/>
          <w:right w:w="0" w:type="dxa"/>
        </w:tblCellMar>
      </w:tblPr>
      <w:tblGrid>
        <w:gridCol w:w="140"/>
        <w:gridCol w:w="1955"/>
      </w:tblGrid>
      <w:tr>
        <w:trPr/>
        <w:tc>
          <w:tcPr>
            <w:tcW w:w="140" w:type="dxa"/>
            <w:tcBorders/>
            <w:vAlign w:val="center"/>
          </w:tcPr>
          <w:p>
            <w:pPr>
              <w:pStyle w:val="TableContents"/>
              <w:bidi w:val="0"/>
              <w:spacing w:before="0" w:after="0"/>
              <w:jc w:val="left"/>
              <w:rPr>
                <w:color w:val="000000"/>
              </w:rPr>
            </w:pPr>
            <w:r>
              <w:rPr>
                <w:color w:val="000000"/>
              </w:rPr>
              <w:t>•</w:t>
            </w:r>
          </w:p>
        </w:tc>
        <w:tc>
          <w:tcPr>
            <w:tcW w:w="1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EBITDA and EPS; and </w:t>
            </w:r>
          </w:p>
        </w:tc>
      </w:tr>
    </w:tbl>
    <w:tbl>
      <w:tblPr>
        <w:tblW w:w="3880" w:type="dxa"/>
        <w:jc w:val="left"/>
        <w:tblInd w:w="0" w:type="dxa"/>
        <w:tblLayout w:type="fixed"/>
        <w:tblCellMar>
          <w:top w:w="0" w:type="dxa"/>
          <w:left w:w="0" w:type="dxa"/>
          <w:bottom w:w="0" w:type="dxa"/>
          <w:right w:w="0" w:type="dxa"/>
        </w:tblCellMar>
      </w:tblPr>
      <w:tblGrid>
        <w:gridCol w:w="140"/>
        <w:gridCol w:w="3740"/>
      </w:tblGrid>
      <w:tr>
        <w:trPr/>
        <w:tc>
          <w:tcPr>
            <w:tcW w:w="140" w:type="dxa"/>
            <w:tcBorders/>
            <w:vAlign w:val="center"/>
          </w:tcPr>
          <w:p>
            <w:pPr>
              <w:pStyle w:val="TableContents"/>
              <w:bidi w:val="0"/>
              <w:spacing w:before="0" w:after="0"/>
              <w:jc w:val="left"/>
              <w:rPr>
                <w:color w:val="000000"/>
              </w:rPr>
            </w:pPr>
            <w:r>
              <w:rPr>
                <w:color w:val="000000"/>
              </w:rPr>
              <w:t>•</w:t>
            </w:r>
          </w:p>
        </w:tc>
        <w:tc>
          <w:tcPr>
            <w:tcW w:w="3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Selected Measure is Revenue.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bidi w:val="0"/>
        <w:spacing w:before="200" w:after="200"/>
        <w:jc w:val="left"/>
        <w:rPr/>
      </w:pPr>
      <w:r>
        <w:rPr/>
      </w:r>
    </w:p>
    <w:p>
      <w:pPr>
        <w:pStyle w:val="TextBody"/>
        <w:bidi w:val="0"/>
        <w:jc w:val="left"/>
        <w:rPr/>
      </w:pPr>
      <w:hyperlink w:anchor="TOC">
        <w:bookmarkStart w:id="73" w:name="ny20083274x1_def14a_112-pvp_pg3"/>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 Versus Performance: Graphical Description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charts below describe the relationship between compensation actually paid to our CEO and other NEOs (as calculated in accordance with the SEC rules) in fiscal year 2021, 2022, 2023, 2024, 2025 and 2026 and (1) TSR of both the Company and the Company’s peer group, (2) our net income and (3) our revenue.</w:t>
      </w:r>
    </w:p>
    <w:p>
      <w:pPr>
        <w:pStyle w:val="TextBody"/>
        <w:bidi w:val="0"/>
        <w:spacing w:before="170" w:after="283"/>
        <w:ind w:left="0" w:right="0" w:hanging="0"/>
        <w:jc w:val="left"/>
        <w:rPr>
          <w:color w:val="000000"/>
        </w:rPr>
      </w:pPr>
      <w:r>
        <w:rPr>
          <w:color w:val="000000"/>
        </w:rPr>
        <w:drawing>
          <wp:inline distT="0" distB="0" distL="0" distR="0">
            <wp:extent cx="5981700" cy="35052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81700" cy="3505200"/>
                    </a:xfrm>
                    <a:prstGeom prst="rect">
                      <a:avLst/>
                    </a:prstGeom>
                  </pic:spPr>
                </pic:pic>
              </a:graphicData>
            </a:graphic>
          </wp:inline>
        </w:drawing>
      </w:r>
      <w:r>
        <w:rPr>
          <w:color w:val="000000"/>
        </w:rPr>
        <w:t> </w:t>
      </w:r>
    </w:p>
    <w:tbl>
      <w:tblPr>
        <w:tblW w:w="9985" w:type="dxa"/>
        <w:jc w:val="left"/>
        <w:tblInd w:w="0" w:type="dxa"/>
        <w:tblLayout w:type="fixed"/>
        <w:tblCellMar>
          <w:top w:w="0" w:type="dxa"/>
          <w:left w:w="0" w:type="dxa"/>
          <w:bottom w:w="0" w:type="dxa"/>
          <w:right w:w="0" w:type="dxa"/>
        </w:tblCellMar>
      </w:tblPr>
      <w:tblGrid>
        <w:gridCol w:w="260"/>
        <w:gridCol w:w="972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7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TSR represents the value of a $100 investment in common stock, assuming reinvestment of dividends, as measured at each fiscal year end.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bidi w:val="0"/>
        <w:spacing w:before="200" w:after="200"/>
        <w:jc w:val="left"/>
        <w:rPr/>
      </w:pPr>
      <w:r>
        <w:rPr/>
      </w:r>
    </w:p>
    <w:p>
      <w:pPr>
        <w:pStyle w:val="TextBody"/>
        <w:bidi w:val="0"/>
        <w:jc w:val="left"/>
        <w:rPr/>
      </w:pPr>
      <w:hyperlink w:anchor="TOC">
        <w:bookmarkStart w:id="74" w:name="ny20083274x1_def14a_112-pvp_pg4"/>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6029325" cy="34004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029325" cy="3400425"/>
                    </a:xfrm>
                    <a:prstGeom prst="rect">
                      <a:avLst/>
                    </a:prstGeom>
                  </pic:spPr>
                </pic:pic>
              </a:graphicData>
            </a:graphic>
          </wp:inline>
        </w:drawing>
      </w:r>
      <w:r>
        <w:rPr>
          <w:color w:val="000000"/>
        </w:rPr>
        <w:t> </w:t>
      </w:r>
    </w:p>
    <w:p>
      <w:pPr>
        <w:pStyle w:val="TextBody"/>
        <w:bidi w:val="0"/>
        <w:spacing w:before="1010" w:after="283"/>
        <w:ind w:left="0" w:right="0" w:hanging="0"/>
        <w:jc w:val="left"/>
        <w:rPr>
          <w:color w:val="000000"/>
        </w:rPr>
      </w:pPr>
      <w:r>
        <w:rPr>
          <w:color w:val="000000"/>
        </w:rPr>
        <w:drawing>
          <wp:inline distT="0" distB="0" distL="0" distR="0">
            <wp:extent cx="5981700" cy="34004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981700" cy="3400425"/>
                    </a:xfrm>
                    <a:prstGeom prst="rect">
                      <a:avLst/>
                    </a:prstGeom>
                  </pic:spPr>
                </pic:pic>
              </a:graphicData>
            </a:graphic>
          </wp:inline>
        </w:drawing>
      </w: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bidi w:val="0"/>
        <w:spacing w:before="200" w:after="200"/>
        <w:jc w:val="left"/>
        <w:rPr/>
      </w:pPr>
      <w:r>
        <w:rPr/>
      </w:r>
    </w:p>
    <w:p>
      <w:pPr>
        <w:pStyle w:val="TextBody"/>
        <w:bidi w:val="0"/>
        <w:jc w:val="left"/>
        <w:rPr/>
      </w:pPr>
      <w:hyperlink w:anchor="TOC">
        <w:bookmarkStart w:id="75" w:name="ny20083274x1_def14a_112-pvp_pg5"/>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76" w:name="tCPR"/>
      <w:bookmarkEnd w:id="76"/>
      <w:r>
        <w:rPr>
          <w:rFonts w:ascii="Times New Roman;Times;serif" w:hAnsi="Times New Roman;Times;serif"/>
          <w:b/>
          <w:color w:val="000000"/>
          <w:sz w:val="20"/>
        </w:rPr>
        <w:t xml:space="preserve">CEO Pay Ratio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Information about the relationship of the annual total compensation of our median employee and the annual total compensation of our CEO, Mr. Clemmer, for the fiscal year ended May 31, 2026 is set forth below: </w:t>
      </w:r>
    </w:p>
    <w:tbl>
      <w:tblPr>
        <w:tblW w:w="6310" w:type="dxa"/>
        <w:jc w:val="left"/>
        <w:tblInd w:w="0" w:type="dxa"/>
        <w:tblLayout w:type="fixed"/>
        <w:tblCellMar>
          <w:top w:w="0" w:type="dxa"/>
          <w:left w:w="0" w:type="dxa"/>
          <w:bottom w:w="0" w:type="dxa"/>
          <w:right w:w="0" w:type="dxa"/>
        </w:tblCellMar>
      </w:tblPr>
      <w:tblGrid>
        <w:gridCol w:w="140"/>
        <w:gridCol w:w="6170"/>
      </w:tblGrid>
      <w:tr>
        <w:trPr/>
        <w:tc>
          <w:tcPr>
            <w:tcW w:w="140" w:type="dxa"/>
            <w:tcBorders/>
            <w:vAlign w:val="center"/>
          </w:tcPr>
          <w:p>
            <w:pPr>
              <w:pStyle w:val="TableContents"/>
              <w:bidi w:val="0"/>
              <w:spacing w:before="0" w:after="0"/>
              <w:jc w:val="left"/>
              <w:rPr>
                <w:color w:val="000000"/>
              </w:rPr>
            </w:pPr>
            <w:r>
              <w:rPr>
                <w:color w:val="000000"/>
              </w:rPr>
              <w:t>•</w:t>
            </w:r>
          </w:p>
        </w:tc>
        <w:tc>
          <w:tcPr>
            <w:tcW w:w="6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annual total compensation of our median employee was $135,741;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annual total compensation of Mr. Clemmer as reported in the “Total” column of the Summary Compensation Table in this Proxy Statement was $6,060,145.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this information, the ratio of Mr. Clemmer’s annual total compensation for the fiscal year ended May 31, 2026 to the annual total compensation of our median employee, as of such date, is approximately 45 to 1. The Company believes this ratio is a reasonable estimate based on AngioDynamics’ specific employee demographics and compensation and was calculated in accordance with applicable rules of the SEC. The pay ratio reported by other companies may not be comparable to the pay ratio reported by us, as other companies may have different employment and compensation practices and may utilize different methodologies, exclusions, estimates and assumptions in calculating their pay ratios.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identify our median employee, we calculated the annual taxable compensation for all employees of the Company (other than the CEO) for the fiscal year ended May 31, 2026. We believe that annual taxable compensation is a consistently applied compensation measure and appropriate for determining the median-paid employee. We annualized the compensation of all employees (excluding employees in temporary or seasonal positions) who were hired during our fiscal year ended May 31, 2026 but did not work for AngioDynamics for the entire fiscal year and converted any compensation paid to our international employees into U.S. Dollars. </w:t>
      </w:r>
    </w:p>
    <w:p>
      <w:pPr>
        <w:pStyle w:val="TextBody"/>
        <w:bidi w:val="0"/>
        <w:spacing w:before="410" w:after="283"/>
        <w:jc w:val="center"/>
        <w:rPr>
          <w:rFonts w:ascii="Times New Roman;Times;serif" w:hAnsi="Times New Roman;Times;serif"/>
          <w:b/>
          <w:color w:val="000000"/>
          <w:sz w:val="20"/>
        </w:rPr>
      </w:pPr>
      <w:bookmarkStart w:id="77" w:name="tDCT"/>
      <w:bookmarkEnd w:id="77"/>
      <w:r>
        <w:rPr>
          <w:rFonts w:ascii="Times New Roman;Times;serif" w:hAnsi="Times New Roman;Times;serif"/>
          <w:b/>
          <w:color w:val="000000"/>
          <w:sz w:val="20"/>
        </w:rPr>
        <w:t xml:space="preserve">Director Compensation Table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sets forth the fees, awards and other compensation paid to or earned by our non-employee directors for the fiscal year ended May 31, 2026:</w:t>
      </w:r>
    </w:p>
    <w:tbl>
      <w:tblPr>
        <w:tblW w:w="5405" w:type="dxa"/>
        <w:jc w:val="left"/>
        <w:tblInd w:w="0" w:type="dxa"/>
        <w:tblLayout w:type="fixed"/>
        <w:tblCellMar>
          <w:top w:w="0" w:type="dxa"/>
          <w:left w:w="0" w:type="dxa"/>
          <w:bottom w:w="0" w:type="dxa"/>
          <w:right w:w="0" w:type="dxa"/>
        </w:tblCellMar>
      </w:tblPr>
      <w:tblGrid>
        <w:gridCol w:w="1865"/>
        <w:gridCol w:w="170"/>
        <w:gridCol w:w="170"/>
        <w:gridCol w:w="980"/>
        <w:gridCol w:w="170"/>
        <w:gridCol w:w="170"/>
        <w:gridCol w:w="725"/>
        <w:gridCol w:w="170"/>
        <w:gridCol w:w="170"/>
        <w:gridCol w:w="81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18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Paid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Howard W. Donnelly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120,000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152,005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272,005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Wesley E. Johnson, Jr.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97,500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152,005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249,505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Eileen Auen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90,000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152,005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242,005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 Stern Reed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92,500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152,005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244,505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Karen Licitra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82,500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152,005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234,505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Tarnoff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80,000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152,005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232,005 </w:t>
            </w:r>
          </w:p>
        </w:tc>
      </w:tr>
      <w:tr>
        <w:trPr/>
        <w:tc>
          <w:tcPr>
            <w:tcW w:w="1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Lorinda Burgess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20"/>
              </w:rPr>
            </w:pPr>
            <w:r>
              <w:rPr>
                <w:rFonts w:ascii="Times New Roman;Times;serif" w:hAnsi="Times New Roman;Times;serif"/>
                <w:color w:val="000000"/>
                <w:sz w:val="20"/>
              </w:rPr>
              <w:t>82,500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152,005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234,505</w:t>
            </w:r>
          </w:p>
        </w:tc>
      </w:tr>
      <w:tr>
        <w:trPr/>
        <w:tc>
          <w:tcPr>
            <w:tcW w:w="18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grant-date fair value based on FASB ASC 718. The assumption used in the valuation of such awards are discussed in Note 13 to our Audited Consolidated Financial Statements included in our Annual Report on Form 10-K for the Fiscal Year ended May 31, 2026. As of May 31, 2026, each non-employee director did not have unvested restricted stock units. </w:t>
            </w:r>
          </w:p>
        </w:tc>
      </w:tr>
    </w:tbl>
    <w:p>
      <w:pPr>
        <w:pStyle w:val="TextBody"/>
        <w:bidi w:val="0"/>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Director Compensation Program During the Fiscal Year Ended May 31,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fiscal year 2026, following consultation with Meridian, the Nominating, Compliance and Corporate Governance Committee’s independent compensation consultant, we generally maintained compensation at the same level as fiscal year 2022. Directors (who are not our employees) received an annual retainer of $65,000. The Chair of the Board of Directors received an additional annual retainer of $55,000. The Chair of the Audit Committee received an additional annual retainer of $25,000, the Chair of the Compensation and Human Capital Committee received an additional annual retainer of $17,500, and the Chair of the Nominating, Compliance and Corporate Governance Committee received an additional annual retainer of $17,500. Members of the Audit Committee receive an additional annual retainer of $10,000, members of the Compensation and Human Capital Committee received an additional annual retainer of $7,500 and members of the Nominating, Compliance and Corporate Governance Committee received an additional retainer of $7,500. 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bidi w:val="0"/>
        <w:spacing w:before="200" w:after="200"/>
        <w:jc w:val="left"/>
        <w:rPr/>
      </w:pPr>
      <w:r>
        <w:rPr/>
      </w:r>
    </w:p>
    <w:p>
      <w:pPr>
        <w:pStyle w:val="TextBody"/>
        <w:bidi w:val="0"/>
        <w:jc w:val="left"/>
        <w:rPr/>
      </w:pPr>
      <w:hyperlink w:anchor="TOC">
        <w:bookmarkStart w:id="78" w:name="ny20083274x1_def14a_112-pvp_pg6"/>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Directors who are not our employees also received an annual equity grant, wholly comprising restricted stock units, vesting one year from the grant date, with a grant-date fair value approximately equal to $152,000. On July 16, 2025, the Board of Directors approved granting restricted shares to our Non-Employee Directors with immediate vesting.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also reimburse directors who are not our employees for reasonable travel and other related expenses incurred to attend Board and Committee meetings.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Directors who are our employees receive no additional compensation for their services as directors.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 Ownership Guidelines for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further align the interests of our Board of Directors and shareholders, we maintain stock ownership guidelines for the Board of Directors. Under these guidelines, each member of our Board of Directors is required to hold shares equal in value to three times the director’s base cash retainer. New members of the Board of Directors are allowed 36 months from the time they join the Board to acquire the required number of shares. Each member of our Board of Directors is currently in compliance with the applicable holding requirement.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bidi w:val="0"/>
        <w:spacing w:before="200" w:after="200"/>
        <w:jc w:val="left"/>
        <w:rPr/>
      </w:pPr>
      <w:r>
        <w:rPr/>
      </w:r>
    </w:p>
    <w:p>
      <w:pPr>
        <w:pStyle w:val="TextBody"/>
        <w:bidi w:val="0"/>
        <w:jc w:val="left"/>
        <w:rPr/>
      </w:pPr>
      <w:hyperlink w:anchor="TOC">
        <w:bookmarkStart w:id="79" w:name="ny20083274x1_def14a_113-prop2_pg1"/>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0" w:name="tPROP2"/>
      <w:bookmarkEnd w:id="80"/>
      <w:r>
        <w:rPr>
          <w:rFonts w:ascii="Times New Roman;Times;serif" w:hAnsi="Times New Roman;Times;serif"/>
          <w:b/>
          <w:color w:val="000000"/>
          <w:sz w:val="20"/>
        </w:rPr>
        <w:t xml:space="preserve">PROPOSAL 2 - RATIFICATION OF APPOINTMENT OF INDEPENDENT REGISTERED PUBLIC ACCOUNTING FIRM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of our Board of Directors has selected Deloitte &amp; Touche LLP, independent certified public accountants, as our Company’s independent registered public accounting firm for the fiscal year ending May 31, 2027. The Audit Committee has directed that the appointment of Deloitte &amp; Touche LLP be submitted to our shareholders for ratification due to the significance of their appointment to us. If our shareholders fail to ratify the appointment, it will be considered as a direction to our Board of Directors and the Audit Committee to consider the selection of a different firm. Even if the appointment is ratified, the Audit Committee in its discretion may select a different independent registered public accounting firm at any time during the year if it determines that such a change would be in the best interests of our Company and our shareholders.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proposal to ratify the appointment of Deloitte &amp; Touche LLP as our independent registered public accounting firm for the fiscal year ending May 31, 2027, must be approved by the affirmative vote of the holders of a majority of the shares represented in person or by proxy and entitled to vote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Representatives of Deloitte &amp; Touche LLP are expected to participate in the live webcast for the Annual Meeting. They will have the opportunity to make a statement if they desire to do so, and will be available to respond to appropriate questions by shareholders. </w:t>
      </w:r>
    </w:p>
    <w:p>
      <w:pPr>
        <w:pStyle w:val="TextBody"/>
        <w:bidi w:val="0"/>
        <w:spacing w:before="410" w:after="283"/>
        <w:ind w:left="0" w:right="0" w:hanging="0"/>
        <w:jc w:val="left"/>
        <w:rPr>
          <w:rFonts w:ascii="Times New Roman;Times;serif" w:hAnsi="Times New Roman;Times;serif"/>
          <w:b/>
          <w:color w:val="000000"/>
          <w:sz w:val="20"/>
        </w:rPr>
      </w:pPr>
      <w:bookmarkStart w:id="81" w:name="tRBDS"/>
      <w:bookmarkEnd w:id="81"/>
      <w:r>
        <w:rPr>
          <w:rFonts w:ascii="Times New Roman;Times;serif" w:hAnsi="Times New Roman;Times;serif"/>
          <w:b/>
          <w:color w:val="000000"/>
          <w:sz w:val="20"/>
        </w:rPr>
        <w:t xml:space="preserve">Recommendation of the Board of Directors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THE BOARD OF DIRECTORS RECOMMENDS A VOTE “FOR” THE RATIFICATION OF THE APPOINTMENT OF DELOITTE &amp; TOUCHE LLP AS THE COMPANY’S INDEPENDENT REGISTERED PUBLIC ACCOUNTING FIRM FOR THE FISCAL YEAR ENDING MAY 31, 2027.</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bidi w:val="0"/>
        <w:spacing w:before="200" w:after="200"/>
        <w:jc w:val="left"/>
        <w:rPr/>
      </w:pPr>
      <w:r>
        <w:rPr/>
      </w:r>
    </w:p>
    <w:p>
      <w:pPr>
        <w:pStyle w:val="TextBody"/>
        <w:bidi w:val="0"/>
        <w:jc w:val="left"/>
        <w:rPr/>
      </w:pPr>
      <w:hyperlink w:anchor="TOC">
        <w:bookmarkStart w:id="82" w:name="ny20083274x1_def14a_114-audit_pg1"/>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3" w:name="tAM"/>
      <w:bookmarkEnd w:id="83"/>
      <w:r>
        <w:rPr>
          <w:rFonts w:ascii="Times New Roman;Times;serif" w:hAnsi="Times New Roman;Times;serif"/>
          <w:b/>
          <w:color w:val="000000"/>
          <w:sz w:val="20"/>
        </w:rPr>
        <w:t xml:space="preserve">AUDIT MATTERS </w:t>
      </w:r>
    </w:p>
    <w:p>
      <w:pPr>
        <w:pStyle w:val="TextBody"/>
        <w:bidi w:val="0"/>
        <w:spacing w:before="280" w:after="283"/>
        <w:ind w:left="0" w:right="0" w:hanging="0"/>
        <w:jc w:val="left"/>
        <w:rPr>
          <w:rFonts w:ascii="Times New Roman;Times;serif" w:hAnsi="Times New Roman;Times;serif"/>
          <w:b/>
          <w:color w:val="000000"/>
          <w:sz w:val="20"/>
        </w:rPr>
      </w:pPr>
      <w:bookmarkStart w:id="84" w:name="tACR"/>
      <w:bookmarkEnd w:id="84"/>
      <w:r>
        <w:rPr>
          <w:rFonts w:ascii="Times New Roman;Times;serif" w:hAnsi="Times New Roman;Times;serif"/>
          <w:b/>
          <w:color w:val="000000"/>
          <w:sz w:val="20"/>
        </w:rPr>
        <w:t xml:space="preserve">Audit Committee Report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our fiscal year ended May 31, 2026, the members of the Audit Committee were Wesley E. Johnson, Jr., Lorinda Burgess, Karen Licitra and Jan Stern Reed, each of whom has been determined by our Board to be independent under the Nasdaq listing standards. The Audit Committee operates under a written Audit Committee Charter, which is reviewed annually. The Audit Committee Charter is available on our website at www.angiodynamics.com under the “Investors-Corporate Governance-Highlights-Committee Charters” caption.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Management of the Company is responsible for internal controls, the financial reporting process and compliance with laws and regulations and ethical business standards. The Company’s independent registered public accounting firm is responsible for performing an independent audit of the Company’s financial statements and effectiveness of internal controls in accordance with auditing standards generally accepted in the United States of America and for issuing a report thereon. The Audit Committee is charged with the duty to monitor and oversee these processes.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Charter, the primary responsibilities of the Audit Committee are to assist the Board in its oversight of: (i) the integrity of the Company’s financial statements, financial reporting process, system of internal controls over financial reporting, and audit process; (ii) the Company’s compliance with, and process for monitoring compliance with, legal and regulatory requirements, in coordination with the Nominating, Compliance and Corporate Governance Committee; (iii) the independent auditor’s quarterly reviews, qualifications and independence; and (iv) the performance of the Company’s internal audit; and (v) policies and procedures for risk assessment and risk management. The quarterly reviews include discussions by management and the independent registered public accounting firm with the Audit Committee. The Audit Committee must also pre-approve all audit and permitted non-audit services to be performed by the independent registered public accounting firm.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the authority to select, determine the compensation paid to, and replace the Company’s independent registered public accounting firm.  During the fiscal year ended May 31, 2026, Deloitte &amp; Touche LLP acted as, and continues to act as, the Company’s auditor.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Prior to the issuance of the fiscal year 2026 financial statements, the Audit Committee met with management and with Deloitte &amp; Touche LLP to review the financial statements and to discuss significant accounting issues and policies. Management advised the Audit Committee that the Company’s consolidated financial statements were prepared in accordance with accounting principles generally accepted in the United States of America. The Audit Committee’s review included discussion with Deloitte &amp; Touche LLP of matters that are required to be discussed pursuant to Statement on Auditing Standards No. 61, “</w:t>
      </w:r>
      <w:r>
        <w:rPr>
          <w:rFonts w:ascii="Times New Roman;Times;serif" w:hAnsi="Times New Roman;Times;serif"/>
          <w:i/>
          <w:color w:val="000000"/>
          <w:sz w:val="20"/>
        </w:rPr>
        <w:t>Communications with Audit Committees</w:t>
      </w:r>
      <w:r>
        <w:rPr>
          <w:rFonts w:ascii="Times New Roman;Times;serif" w:hAnsi="Times New Roman;Times;serif"/>
          <w:color w:val="000000"/>
          <w:sz w:val="20"/>
        </w:rPr>
        <w:t xml:space="preserve">,” as adopted by the Public Company Accounting Oversight Board, or PCAOB.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discussed with Deloitte &amp; Touche LLP matters relating to Deloitte &amp; Touche LLP’s independence, including the written disclosures and the letters provided by Deloitte &amp; Touche LLP to the Audit Committee as required by applicable requirements of the PCAOB. Deloitte &amp; Touche LLP informed the Audit Committee in writing that they were independent with respect to the Company within the regulations promulgated by the Securities and Exchange Commission and the requirements of the PCAOB. The Audit Committee has concluded that Deloitte &amp; Touche LLP are independent of the Company and its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discussed with the Company’s independent registered public accounting firm the overall scope and plan for their audit. The Audit Committee met with the independent registered public accounting firm, with and without management present, to discuss the results of their examination and the evaluation of the Company’s internal controls.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basis of these reviews and discussions, the Audit Committee recommended to the Board of Directors that the Board approve the inclusion of the Company’s audited consolidated financial statements in the Company’s Annual Report on Form 10-K for the fiscal year ended May 31, 2026, for filing with the Securities and Exchange Commission.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Members of the Audit Committee: </w:t>
      </w:r>
    </w:p>
    <w:p>
      <w:pPr>
        <w:pStyle w:val="TextBody"/>
        <w:bidi w:val="0"/>
        <w:spacing w:before="16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Wesley E. Johnson Chair </w:t>
      </w:r>
    </w:p>
    <w:p>
      <w:pPr>
        <w:pStyle w:val="TextBody"/>
        <w:bidi w:val="0"/>
        <w:spacing w:before="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Lorinda Burgess </w:t>
      </w:r>
    </w:p>
    <w:p>
      <w:pPr>
        <w:pStyle w:val="TextBody"/>
        <w:bidi w:val="0"/>
        <w:spacing w:before="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Karen A. Licitra </w:t>
      </w:r>
    </w:p>
    <w:p>
      <w:pPr>
        <w:pStyle w:val="TextBody"/>
        <w:bidi w:val="0"/>
        <w:spacing w:before="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Jan Stern Reed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bidi w:val="0"/>
        <w:spacing w:before="200" w:after="200"/>
        <w:jc w:val="left"/>
        <w:rPr/>
      </w:pPr>
      <w:r>
        <w:rPr/>
      </w:r>
    </w:p>
    <w:p>
      <w:pPr>
        <w:pStyle w:val="TextBody"/>
        <w:bidi w:val="0"/>
        <w:jc w:val="left"/>
        <w:rPr/>
      </w:pPr>
      <w:hyperlink w:anchor="TOC">
        <w:bookmarkStart w:id="85" w:name="ny20083274x1_def14a_114-audit_pg2"/>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Report does not constitute soliciting material, and shall not be deemed to be filed or incorporated by reference into any other filing we make under the Securities Act of 1933, as amended, or the Securities Exchange Act of 1934, as amended (hereinafter referred to as the Exchange Act), except to the extent that we specifically incorporate the Audit Committee Report by reference therein. </w:t>
      </w:r>
    </w:p>
    <w:p>
      <w:pPr>
        <w:pStyle w:val="TextBody"/>
        <w:bidi w:val="0"/>
        <w:spacing w:before="260" w:after="283"/>
        <w:ind w:left="0" w:right="0" w:hanging="0"/>
        <w:jc w:val="left"/>
        <w:rPr>
          <w:rFonts w:ascii="Times New Roman;Times;serif" w:hAnsi="Times New Roman;Times;serif"/>
          <w:b/>
          <w:color w:val="000000"/>
          <w:sz w:val="20"/>
        </w:rPr>
      </w:pPr>
      <w:bookmarkStart w:id="86" w:name="tPAFS"/>
      <w:bookmarkEnd w:id="86"/>
      <w:r>
        <w:rPr>
          <w:rFonts w:ascii="Times New Roman;Times;serif" w:hAnsi="Times New Roman;Times;serif"/>
          <w:b/>
          <w:color w:val="000000"/>
          <w:sz w:val="20"/>
        </w:rPr>
        <w:t xml:space="preserve">Principal Accounting Fees and Services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fees for professional audit services rendered by Deloitte &amp; Touche LLP for the audit of our financial statements for the fiscal years ended May 31, 2026 and May 31, 2025, for inclusion in our Annual Reports on Form 10-K, reviews of quarterly financial statements, and fees incurred and paid in those periods for other services rendered by Deloitte &amp; Touche LLP, in thousands: </w:t>
      </w:r>
    </w:p>
    <w:tbl>
      <w:tblPr>
        <w:tblW w:w="5690" w:type="dxa"/>
        <w:jc w:val="left"/>
        <w:tblInd w:w="0" w:type="dxa"/>
        <w:tblLayout w:type="fixed"/>
        <w:tblCellMar>
          <w:top w:w="0" w:type="dxa"/>
          <w:left w:w="0" w:type="dxa"/>
          <w:bottom w:w="0" w:type="dxa"/>
          <w:right w:w="0" w:type="dxa"/>
        </w:tblCellMar>
      </w:tblPr>
      <w:tblGrid>
        <w:gridCol w:w="3680"/>
        <w:gridCol w:w="170"/>
        <w:gridCol w:w="170"/>
        <w:gridCol w:w="620"/>
        <w:gridCol w:w="170"/>
        <w:gridCol w:w="170"/>
        <w:gridCol w:w="710"/>
      </w:tblGrid>
      <w:tr>
        <w:trPr/>
        <w:tc>
          <w:tcPr>
            <w:tcW w:w="3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36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3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 - Deloitte &amp; Touche LLP</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$1,372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 - Deloitte &amp; Touche LLP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3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 - Deloitte &amp; Touche LLP</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 </w:t>
            </w:r>
          </w:p>
        </w:tc>
      </w:tr>
      <w:tr>
        <w:trPr/>
        <w:tc>
          <w:tcPr>
            <w:tcW w:w="3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 - Deloitte &amp; Touche LLP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 </w:t>
            </w:r>
          </w:p>
        </w:tc>
      </w:tr>
      <w:tr>
        <w:trPr/>
        <w:tc>
          <w:tcPr>
            <w:tcW w:w="3680"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$1,422</w:t>
            </w:r>
          </w:p>
        </w:tc>
      </w:tr>
      <w:tr>
        <w:trPr/>
        <w:tc>
          <w:tcPr>
            <w:tcW w:w="36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fees shown in the table were related to services that were approved by the Audit Committee. </w:t>
      </w:r>
    </w:p>
    <w:p>
      <w:pPr>
        <w:pStyle w:val="TextBody"/>
        <w:bidi w:val="0"/>
        <w:spacing w:before="240" w:after="283"/>
        <w:ind w:left="0" w:right="0" w:hanging="0"/>
        <w:jc w:val="left"/>
        <w:rPr>
          <w:rFonts w:ascii="Times New Roman;Times;serif" w:hAnsi="Times New Roman;Times;serif"/>
          <w:b/>
          <w:color w:val="000000"/>
          <w:sz w:val="20"/>
        </w:rPr>
      </w:pPr>
      <w:bookmarkStart w:id="87" w:name="tACPA"/>
      <w:bookmarkEnd w:id="87"/>
      <w:r>
        <w:rPr>
          <w:rFonts w:ascii="Times New Roman;Times;serif" w:hAnsi="Times New Roman;Times;serif"/>
          <w:b/>
          <w:color w:val="000000"/>
          <w:sz w:val="20"/>
        </w:rPr>
        <w:t xml:space="preserve">Policy on Audit Committee Pre-Approval of Audit and Permissible Non-Audit Services of Independent Registered Public Accounting Firm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Consistent with SEC policies regarding auditor independence, the Audit Committee has responsibility for appointing, setting compensation and overseeing the work of the independent registered public accounting firm.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recognition of this responsibility, the Audit Committee has established a policy to pre-approve all audit and permissible non-audit services provided by the independent registered public accounting firm.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engagement of the independent registered public accounting firm for the next year’s audit, management submits a list of services and related fees expected to be rendered during that year within each of four categories of services to the Audit Committee for approval.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Audit</w:t>
            </w:r>
            <w:r>
              <w:rPr>
                <w:rFonts w:ascii="Times New Roman;Times;serif" w:hAnsi="Times New Roman;Times;serif"/>
                <w:color w:val="000000"/>
                <w:sz w:val="20"/>
              </w:rPr>
              <w:t xml:space="preserve"> services include audit work performed on the financial statements and internal control over financial reporting, as well as work that generally only the independent registered public accounting firm can reasonably be expected to provide, including comfort letters, statutory audits, and discussions surrounding the proper application of financial accounting and/or reporting standards.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Audit-Related</w:t>
            </w:r>
            <w:r>
              <w:rPr>
                <w:rFonts w:ascii="Times New Roman;Times;serif" w:hAnsi="Times New Roman;Times;serif"/>
                <w:color w:val="000000"/>
                <w:sz w:val="20"/>
              </w:rPr>
              <w:t xml:space="preserve"> services are for assurance and related services that are traditionally performed by the independent registered public accounting firm, including due diligence related to mergers and acquisitions and special procedures required to meet certain regulatory requirements.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Tax</w:t>
            </w:r>
            <w:r>
              <w:rPr>
                <w:rFonts w:ascii="Times New Roman;Times;serif" w:hAnsi="Times New Roman;Times;serif"/>
                <w:color w:val="000000"/>
                <w:sz w:val="20"/>
              </w:rPr>
              <w:t xml:space="preserve"> services include all services, except those services specifically related to the audit of the financial statements, performed by the independent registered public accounting firm’s tax personnel, including tax analysis, assisting with coordination of execution of tax related activities, primarily in the area of corporate tax planning, supporting other tax-related regulatory requirements and tax compliance and reporting.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2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All Other Fees</w:t>
            </w:r>
            <w:r>
              <w:rPr>
                <w:rFonts w:ascii="Times New Roman;Times;serif" w:hAnsi="Times New Roman;Times;serif"/>
                <w:color w:val="000000"/>
                <w:sz w:val="20"/>
              </w:rPr>
              <w:t xml:space="preserve"> are those associated with services not captured in the other categories. We generally do not request such services from the independent registered public accounting firm.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engagement, the Audit Committee pre-approves the independent registered public accounting firm services within each category. The fees are budgeted in the Company’s annual operating budget. During the year, circumstances may arise when it may become necessary to engage the independent registered public accounting firm for additional services not contemplated in the original pre-approval categories. In those instances, the Audit Committee requires specific pre-approval before engaging the independent registered public accounting firm.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may delegate pre-approval authority to one or more of its members. The member to whom such authority is delegated must report, for informational purposes only, any pre-approval decisions to the Audit Committee at its next scheduled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bidi w:val="0"/>
        <w:spacing w:before="200" w:after="200"/>
        <w:jc w:val="left"/>
        <w:rPr/>
      </w:pPr>
      <w:r>
        <w:rPr/>
      </w:r>
    </w:p>
    <w:p>
      <w:pPr>
        <w:pStyle w:val="TextBody"/>
        <w:bidi w:val="0"/>
        <w:jc w:val="left"/>
        <w:rPr/>
      </w:pPr>
      <w:hyperlink w:anchor="TOC">
        <w:bookmarkStart w:id="88" w:name="ny20083274x1_def14a_115-prop3_pg1"/>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9" w:name="tPROP3"/>
      <w:bookmarkEnd w:id="89"/>
      <w:r>
        <w:rPr>
          <w:rFonts w:ascii="Times New Roman;Times;serif" w:hAnsi="Times New Roman;Times;serif"/>
          <w:b/>
          <w:color w:val="000000"/>
          <w:sz w:val="20"/>
        </w:rPr>
        <w:t xml:space="preserve">PROPOSAL 3 - ADVISORY VOTE ON THE COMPENSATION OF OUR NAMED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primary objective of our overall executive compensation program is to provide balanced, comprehensive and competitive rewards for the short and long-term in a cost-effective manner to the Company. We have designed our executive compensation program to incentivize achievement of earnings, sales and other financial metrics that we believe deliver value to our shareholders, drive operational results and promote high levels of individual performance. Our compensation program provides a combination of fixed and variable pay with an emphasis on at-risk compensation linked to challenging, but realistic performance goals. We believe that compensation levels in the medical device industry are dynamic and very competitive as a result of the need to attract and retain qualified executives with the necessary skills and experience to keep up with the complex regulatory environment in which we operate and to understand the rapidly changing medical technology in our industry. We believe that our current executive compensation program achieves our objectives effectively.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Shareholders are urged to read the Compensation Discussion and Analysis set forth in this proxy statement that discusses how our compensation policies and procedures reflect our compensation objectives, as well as the Summary Compensation Table and other related compensation tables and narrative disclosure, which describe the compensation of our named executive officers in fiscal year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Section 14A of the Exchange Act, as amended, the Dodd-Frank Wall Street Reform and Consumer Protection Act, and as a matter of good corporate governance, shareholders will be asked at the Annual Meeting to approve the following advisory resolution: </w:t>
      </w:r>
    </w:p>
    <w:p>
      <w:pPr>
        <w:pStyle w:val="TextBody"/>
        <w:bidi w:val="0"/>
        <w:spacing w:before="410" w:after="283"/>
        <w:ind w:left="0" w:right="0" w:hanging="0"/>
        <w:jc w:val="left"/>
        <w:rPr>
          <w:rFonts w:ascii="Times New Roman;Times;serif" w:hAnsi="Times New Roman;Times;serif"/>
          <w:b/>
          <w:color w:val="000000"/>
          <w:sz w:val="20"/>
        </w:rPr>
      </w:pPr>
      <w:bookmarkStart w:id="90" w:name="tAOP"/>
      <w:bookmarkEnd w:id="90"/>
      <w:r>
        <w:rPr>
          <w:rFonts w:ascii="Times New Roman;Times;serif" w:hAnsi="Times New Roman;Times;serif"/>
          <w:b/>
          <w:color w:val="000000"/>
          <w:sz w:val="20"/>
        </w:rPr>
        <w:t xml:space="preserve">Adoption of Proposal No. 3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RESOLVED, that the shareholders of AngioDynamics, Inc. approve the compensation of the Company’s named executive officers as disclosed pursuant to Item 402 of Regulation S-K, including the Compensation Discussion and Analysis, the Summary Compensation Table and related compensation tables, and the related disclosure contained in this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 majority of the shares represented in person or by proxy and entitled to vote on this item will reflect the advice of the shareholders. This advisory vote is not binding. Although non-binding, the Compensation and Human Capital Committee will consider the outcome of the advisory vote when making future decisions regarding our executive compensation programs.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taking into account the advisory vote of our shareholders at the 2023 Annual Meeting of Shareholders, previously approved an annual frequency for shareholder votes to approve the compensation of our named executive officers. As a result, unless the Board determines otherwise, the next such vote will be held at the Company’s 2029 Annual Meeting of Shareholders. </w:t>
      </w:r>
    </w:p>
    <w:p>
      <w:pPr>
        <w:pStyle w:val="TextBody"/>
        <w:bidi w:val="0"/>
        <w:spacing w:before="410" w:after="283"/>
        <w:ind w:left="0" w:right="0" w:hanging="0"/>
        <w:jc w:val="left"/>
        <w:rPr>
          <w:rFonts w:ascii="Times New Roman;Times;serif" w:hAnsi="Times New Roman;Times;serif"/>
          <w:b/>
          <w:color w:val="000000"/>
          <w:sz w:val="20"/>
        </w:rPr>
      </w:pPr>
      <w:bookmarkStart w:id="91" w:name="tRBDO"/>
      <w:bookmarkEnd w:id="91"/>
      <w:r>
        <w:rPr>
          <w:rFonts w:ascii="Times New Roman;Times;serif" w:hAnsi="Times New Roman;Times;serif"/>
          <w:b/>
          <w:color w:val="000000"/>
          <w:sz w:val="20"/>
        </w:rPr>
        <w:t xml:space="preserve">Recommendation of the Board of Directors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THE BOARD OF DIRECTORS RECOMMENDS A VOTE “FOR” THE APPROVAL OF THE COMPENSATION OF OUR NAMED EXECUTIVE OFFICERS.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bidi w:val="0"/>
        <w:spacing w:before="200" w:after="200"/>
        <w:jc w:val="left"/>
        <w:rPr/>
      </w:pPr>
      <w:r>
        <w:rPr/>
      </w:r>
    </w:p>
    <w:p>
      <w:pPr>
        <w:pStyle w:val="TextBody"/>
        <w:bidi w:val="0"/>
        <w:jc w:val="left"/>
        <w:rPr/>
      </w:pPr>
      <w:hyperlink w:anchor="TOC">
        <w:bookmarkStart w:id="92" w:name="ny20083274x1_def14a_116-prop4_pg1"/>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3" w:name="tPROP4"/>
      <w:bookmarkEnd w:id="93"/>
      <w:r>
        <w:rPr>
          <w:rFonts w:ascii="Times New Roman;Times;serif" w:hAnsi="Times New Roman;Times;serif"/>
          <w:b/>
          <w:color w:val="000000"/>
          <w:sz w:val="20"/>
        </w:rPr>
        <w:t xml:space="preserve">PROPOSAL 4 - APPROVAL OF AN AMENDMENT TO THE ANGIODYNAMICS, INC. 2020 EQUITY INCENTIVE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our annual meeting in 2020, our shareholders approved the AngioDynamics, Inc. 2020 Equity Incentive Plan (the “2020 Plan”) and authorized an initial reserve of 2,400,000 shares of our common stock to be made available for issuance thereunder. At our annual meeting in 2022, our shareholders approved an increase in the number of shares reserved for issuance under the 2020 Plan of 1,950,000. At our annual meeting in 2023, our shareholders approved an increase in the number of shares reserved for issuance under the 2020 Plan of 1,500,000. At our annual meeting in 2024, our shareholders approved an increase in the number of shares reserved for issuance under the 2020 Plan of 3,200,000. We are now asking in this Proposal 4 for shareholder approval of an amendment to the 2020 Plan to increase the reserve of shares available to be issued under the 2020 Plan from 9,050,000 to 10,050,000 shares, an increase of 1,000,000 shares, all of which would be available for the grant of as “incentive stock options,” or “ISOs” (by which we mean stock options that meet certain requirements of the Internal Revenue Code of 1986, as amended (the “Code”)). Our Board of Directors approved the amendment on October 2, 2026, subject to shareholder approval at the Annual Meeting. The rules of Nasdaq provide that approval of this Proposal 4 requires the affirmative vote of the holders of a majority of the votes cast on the proposal and our by-laws require a higher standard of the affirmative vote of the holders of a majority of the shares represented in person or by proxy and entitled to vote. Therefore, approval of this Proposal 4 requires the affirmative vote of the holders of a majority of the shares represented in person or by proxy and entitled to vote at the Annual Meeting; an abstention will have the effect of a negative vote on this Proposal 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primary purposes of the 2020 Plan are (i) to provide competitive equity incentives to enable us to attract, retain, motivate and reward persons who render services to us and (ii) to align the interests of our employees and such other persons with the interests of our shareholders. The 2020 Plan replaced our 2004 Stock and Incentive Plan, as amended (the “2004 Plan”). No new grants were made under the 2004 Plan following approval of the 2020 Plan, but previously granted awards under the 2004 Plan remain outstanding in accordance with their terms.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believes that increasing the 2020 Plan share reserve by 1,000,000 would provide sufficient shares for the Company’s equity-based compensation needs for approximately two years following shareholder approval. This estimate is based on our average “burn rate” over the past three years, as more fully described below. The reserve increase may be sufficient for a longer or shorter period of time, depending on our future equity grant needs, which are related to factors such as our employee population, future award forfeitures and cancellations, the Company’s acquisition activity, the Company’s stock price, and our retentive needs in a competitive compensation environment. While we believe that the assumptions we used to set expectations on share usage are reasonable, future share usage may differ from current expectations.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use of equity compensation is a significant part of our overall compensation philosophy at AngioDynamics. The 2020 Plan serves as an important part of this practice, and is a critical part of the compensation package that we offer our personnel. We believe that the use of equity-based incentives, with a mix of time-based and performance-based vesting conditions, is critical for us to attract and retain the most qualified personnel and to respond to relevant changes in equity compensation practices. In addition, equity awards provide our employees an opportunity to acquire or increase their ownership stake in the Company, and we believe this alignment with our shareholders’ interests creates a strong incentive to work hard for our growth and success. If our shareholders do not approve the requested increase in the share reserve under the 2020 Plan, we will continue to grant awards under the 2020 Plan until the number of shares authorized and available for issuance thereunder has been exhausted, and our Compensation and Human Capital Committee and the Board would need to consider whether to adopt alternative compensation arrangements based on their assessments of the Company’s needs because our future ability to issue appropriate equity compensation to hire and retain talent will be significantly limited.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more information regarding shares of our common stock that may be issued upon the exercise of options, warrants and other rights granted to employees, consultants or members of our Board under all of our equity compensation plans as of the fiscal year end, please see “Equity Compensation Plan Information.”</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descriptions of the 2020 Plan terms are set forth in this Proposal 4 are qualified by the terms of the 2020 Plan, which as proposed to be amended is set forth in Appendix A to this Proxy Statement.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Burn Rate and Potential Dilution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the closing market price of our common stock on September 18, 2026, which was $15.44, the additional 1,000,000 shares proposed to be made available for issuance under the 2020 Plan would have a market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bidi w:val="0"/>
        <w:spacing w:before="200" w:after="200"/>
        <w:jc w:val="left"/>
        <w:rPr/>
      </w:pPr>
      <w:r>
        <w:rPr/>
      </w:r>
    </w:p>
    <w:p>
      <w:pPr>
        <w:pStyle w:val="TextBody"/>
        <w:bidi w:val="0"/>
        <w:jc w:val="left"/>
        <w:rPr/>
      </w:pPr>
      <w:hyperlink w:anchor="TOC">
        <w:bookmarkStart w:id="94" w:name="ny20083274x1_def14a_116-prop4_pg2"/>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value of approximately $15,440,000. The potential dilution resulting from issuing all of the outstanding awards under the 2004 Plan and the outstanding awards and shares remaining available for issuance under the 2020 Plan would be approximately 15.5% on a fully-diluted basis using our common stock outstanding as of September 18, 2026 (42,054,450 shares). If the additional 1,000,000 shares proposed are made available for issuance under the 2020 Plan, the potential dilution will increase by 1.7 percentage points and fully-diluted total potential dilution would approximate 17.2%.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information included in this Proxy Statement and our 2026 Annual Report is updated by the following information regarding all existing equity compensation plans as of September 18, 2026: </w:t>
      </w:r>
    </w:p>
    <w:tbl>
      <w:tblPr>
        <w:tblW w:w="10205" w:type="dxa"/>
        <w:jc w:val="left"/>
        <w:tblInd w:w="0" w:type="dxa"/>
        <w:tblLayout w:type="fixed"/>
        <w:tblCellMar>
          <w:top w:w="0" w:type="dxa"/>
          <w:left w:w="0" w:type="dxa"/>
          <w:bottom w:w="0" w:type="dxa"/>
          <w:right w:w="0" w:type="dxa"/>
        </w:tblCellMar>
      </w:tblPr>
      <w:tblGrid>
        <w:gridCol w:w="8840"/>
        <w:gridCol w:w="170"/>
        <w:gridCol w:w="170"/>
        <w:gridCol w:w="1025"/>
      </w:tblGrid>
      <w:tr>
        <w:trPr/>
        <w:tc>
          <w:tcPr>
            <w:tcW w:w="88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r>
      <w:tr>
        <w:trPr/>
        <w:tc>
          <w:tcPr>
            <w:tcW w:w="8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stock options outstanding</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2,504,620 </w:t>
            </w:r>
          </w:p>
        </w:tc>
      </w:tr>
      <w:tr>
        <w:trPr/>
        <w:tc>
          <w:tcPr>
            <w:tcW w:w="8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exercise price of stock options outstanding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14.26 </w:t>
            </w:r>
          </w:p>
        </w:tc>
      </w:tr>
      <w:tr>
        <w:trPr/>
        <w:tc>
          <w:tcPr>
            <w:tcW w:w="8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remaining duration of stock options outstanding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5.03 years </w:t>
            </w:r>
          </w:p>
        </w:tc>
      </w:tr>
      <w:tr>
        <w:trPr/>
        <w:tc>
          <w:tcPr>
            <w:tcW w:w="88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Total number of full value awards outstanding (includes restricted stock units and performance share units)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4,338,463</w:t>
            </w:r>
            <w:r>
              <w:rPr>
                <w:rFonts w:ascii="Times New Roman;Times;serif" w:hAnsi="Times New Roman;Times;serif"/>
                <w:color w:val="000000"/>
                <w:sz w:val="20"/>
              </w:rPr>
              <w:t xml:space="preserve"> </w:t>
            </w:r>
          </w:p>
        </w:tc>
      </w:tr>
      <w:tr>
        <w:trPr/>
        <w:tc>
          <w:tcPr>
            <w:tcW w:w="8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available for grant under the 2020 Plan</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885,381</w:t>
            </w:r>
            <w:r>
              <w:rPr>
                <w:rFonts w:ascii="Times New Roman;Times;serif" w:hAnsi="Times New Roman;Times;serif"/>
                <w:color w:val="000000"/>
                <w:sz w:val="20"/>
              </w:rPr>
              <w:t xml:space="preserve"> </w:t>
            </w:r>
          </w:p>
        </w:tc>
      </w:tr>
      <w:tr>
        <w:trPr/>
        <w:tc>
          <w:tcPr>
            <w:tcW w:w="8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shares of common stock outstanding as of the record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42,054,450</w:t>
            </w:r>
          </w:p>
        </w:tc>
      </w:tr>
      <w:tr>
        <w:trPr/>
        <w:tc>
          <w:tcPr>
            <w:tcW w:w="88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bl>
    <w:tbl>
      <w:tblPr>
        <w:tblW w:w="5440" w:type="dxa"/>
        <w:jc w:val="left"/>
        <w:tblInd w:w="0" w:type="dxa"/>
        <w:tblLayout w:type="fixed"/>
        <w:tblCellMar>
          <w:top w:w="0" w:type="dxa"/>
          <w:left w:w="0" w:type="dxa"/>
          <w:bottom w:w="0" w:type="dxa"/>
          <w:right w:w="0" w:type="dxa"/>
        </w:tblCellMar>
      </w:tblPr>
      <w:tblGrid>
        <w:gridCol w:w="260"/>
        <w:gridCol w:w="51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No stock appreciation rights were outstanding as of September 18, 2026. </w:t>
            </w:r>
          </w:p>
        </w:tc>
      </w:tr>
    </w:tbl>
    <w:tbl>
      <w:tblPr>
        <w:tblW w:w="7405" w:type="dxa"/>
        <w:jc w:val="left"/>
        <w:tblInd w:w="0" w:type="dxa"/>
        <w:tblLayout w:type="fixed"/>
        <w:tblCellMar>
          <w:top w:w="0" w:type="dxa"/>
          <w:left w:w="0" w:type="dxa"/>
          <w:bottom w:w="0" w:type="dxa"/>
          <w:right w:w="0" w:type="dxa"/>
        </w:tblCellMar>
      </w:tblPr>
      <w:tblGrid>
        <w:gridCol w:w="260"/>
        <w:gridCol w:w="714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1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number of shares of outstanding PSUs assumes performance at the maximum performance level.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5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2020 Plan is our only active employee equity incentive plan. The number of shares remaining available for future grants under the 2020 Plan reflects PSUs at maximum payout.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“burn rate,” or share utilization rate, related to our use of equity compensation awards for the last three fiscal years is shown in the table below: </w:t>
      </w:r>
    </w:p>
    <w:tbl>
      <w:tblPr>
        <w:tblW w:w="7955" w:type="dxa"/>
        <w:jc w:val="left"/>
        <w:tblInd w:w="0" w:type="dxa"/>
        <w:tblLayout w:type="fixed"/>
        <w:tblCellMar>
          <w:top w:w="0" w:type="dxa"/>
          <w:left w:w="0" w:type="dxa"/>
          <w:bottom w:w="0" w:type="dxa"/>
          <w:right w:w="0" w:type="dxa"/>
        </w:tblCellMar>
      </w:tblPr>
      <w:tblGrid>
        <w:gridCol w:w="890"/>
        <w:gridCol w:w="170"/>
        <w:gridCol w:w="170"/>
        <w:gridCol w:w="1430"/>
        <w:gridCol w:w="170"/>
        <w:gridCol w:w="170"/>
        <w:gridCol w:w="3560"/>
        <w:gridCol w:w="170"/>
        <w:gridCol w:w="170"/>
        <w:gridCol w:w="1055"/>
      </w:tblGrid>
      <w:tr>
        <w:trPr/>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r>
      <w:tr>
        <w:trPr/>
        <w:tc>
          <w:tcPr>
            <w:tcW w:w="8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 Granted</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Diluted Weighted Average Number of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Outstanding </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Burn Rate</w:t>
            </w:r>
            <w:r>
              <w:rPr>
                <w:rFonts w:ascii="Times New Roman;Times;serif" w:hAnsi="Times New Roman;Times;serif"/>
                <w:b/>
                <w:color w:val="000000"/>
                <w:position w:val="5"/>
                <w:sz w:val="13"/>
                <w:sz w:val="16"/>
              </w:rPr>
              <w:t>(3)</w:t>
            </w:r>
            <w:r>
              <w:rPr>
                <w:rFonts w:ascii="Times New Roman;Times;serif" w:hAnsi="Times New Roman;Times;serif"/>
                <w:b/>
                <w:color w:val="000000"/>
                <w:sz w:val="16"/>
              </w:rPr>
              <w:t xml:space="preserve"> </w:t>
            </w:r>
          </w:p>
        </w:tc>
      </w:tr>
      <w:tr>
        <w:trPr/>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20"/>
              </w:rPr>
            </w:pPr>
            <w:r>
              <w:rPr>
                <w:rFonts w:ascii="Times New Roman;Times;serif" w:hAnsi="Times New Roman;Times;serif"/>
                <w:color w:val="000000"/>
                <w:sz w:val="20"/>
              </w:rPr>
              <w:t>1,748,123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60" w:type="dxa"/>
            <w:tcBorders/>
            <w:shd w:fill="CCEEFF" w:val="clear"/>
            <w:vAlign w:val="center"/>
          </w:tcPr>
          <w:p>
            <w:pPr>
              <w:pStyle w:val="TableContents"/>
              <w:bidi w:val="0"/>
              <w:spacing w:before="0" w:after="283"/>
              <w:ind w:left="1166" w:right="0" w:hanging="0"/>
              <w:jc w:val="left"/>
              <w:rPr>
                <w:rFonts w:ascii="Times New Roman;Times;serif" w:hAnsi="Times New Roman;Times;serif"/>
                <w:color w:val="000000"/>
                <w:sz w:val="20"/>
              </w:rPr>
            </w:pPr>
            <w:r>
              <w:rPr>
                <w:rFonts w:ascii="Times New Roman;Times;serif" w:hAnsi="Times New Roman;Times;serif"/>
                <w:color w:val="000000"/>
                <w:sz w:val="20"/>
              </w:rPr>
              <w:t>41,525,697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4.21%</w:t>
            </w:r>
          </w:p>
        </w:tc>
      </w:tr>
      <w:tr>
        <w:trPr/>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240" w:right="0" w:hanging="0"/>
              <w:jc w:val="left"/>
              <w:rPr>
                <w:rFonts w:ascii="Times New Roman;Times;serif" w:hAnsi="Times New Roman;Times;serif"/>
                <w:color w:val="000000"/>
                <w:sz w:val="20"/>
              </w:rPr>
            </w:pPr>
            <w:r>
              <w:rPr>
                <w:rFonts w:ascii="Times New Roman;Times;serif" w:hAnsi="Times New Roman;Times;serif"/>
                <w:color w:val="000000"/>
                <w:sz w:val="20"/>
              </w:rPr>
              <w:t>2,142,362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60" w:type="dxa"/>
            <w:tcBorders/>
            <w:vAlign w:val="center"/>
          </w:tcPr>
          <w:p>
            <w:pPr>
              <w:pStyle w:val="TableContents"/>
              <w:bidi w:val="0"/>
              <w:spacing w:before="0" w:after="283"/>
              <w:ind w:left="1166" w:right="0" w:hanging="0"/>
              <w:jc w:val="left"/>
              <w:rPr>
                <w:rFonts w:ascii="Times New Roman;Times;serif" w:hAnsi="Times New Roman;Times;serif"/>
                <w:color w:val="000000"/>
                <w:sz w:val="20"/>
              </w:rPr>
            </w:pPr>
            <w:r>
              <w:rPr>
                <w:rFonts w:ascii="Times New Roman;Times;serif" w:hAnsi="Times New Roman;Times;serif"/>
                <w:color w:val="000000"/>
                <w:sz w:val="20"/>
              </w:rPr>
              <w:t>40,852,564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5.24%</w:t>
            </w:r>
          </w:p>
        </w:tc>
      </w:tr>
      <w:tr>
        <w:trPr/>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20"/>
              </w:rPr>
            </w:pPr>
            <w:r>
              <w:rPr>
                <w:rFonts w:ascii="Times New Roman;Times;serif" w:hAnsi="Times New Roman;Times;serif"/>
                <w:color w:val="000000"/>
                <w:sz w:val="20"/>
              </w:rPr>
              <w:t>1,855,583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60" w:type="dxa"/>
            <w:tcBorders/>
            <w:shd w:fill="CCEEFF" w:val="clear"/>
            <w:vAlign w:val="center"/>
          </w:tcPr>
          <w:p>
            <w:pPr>
              <w:pStyle w:val="TableContents"/>
              <w:bidi w:val="0"/>
              <w:spacing w:before="0" w:after="283"/>
              <w:ind w:left="1166" w:right="0" w:hanging="0"/>
              <w:jc w:val="left"/>
              <w:rPr>
                <w:rFonts w:ascii="Times New Roman;Times;serif" w:hAnsi="Times New Roman;Times;serif"/>
                <w:color w:val="000000"/>
                <w:sz w:val="20"/>
              </w:rPr>
            </w:pPr>
            <w:r>
              <w:rPr>
                <w:rFonts w:ascii="Times New Roman;Times;serif" w:hAnsi="Times New Roman;Times;serif"/>
                <w:color w:val="000000"/>
                <w:sz w:val="20"/>
              </w:rPr>
              <w:t>40,180,925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4.62% </w:t>
            </w:r>
          </w:p>
        </w:tc>
      </w:tr>
      <w:tr>
        <w:trPr/>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240" w:right="0" w:hanging="0"/>
              <w:jc w:val="left"/>
              <w:rPr>
                <w:rFonts w:ascii="Times New Roman;Times;serif" w:hAnsi="Times New Roman;Times;serif"/>
                <w:color w:val="000000"/>
                <w:sz w:val="20"/>
              </w:rPr>
            </w:pPr>
            <w:r>
              <w:rPr>
                <w:rFonts w:ascii="Times New Roman;Times;serif" w:hAnsi="Times New Roman;Times;serif"/>
                <w:color w:val="000000"/>
                <w:sz w:val="20"/>
              </w:rPr>
              <w:t>742,784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60" w:type="dxa"/>
            <w:tcBorders/>
            <w:vAlign w:val="center"/>
          </w:tcPr>
          <w:p>
            <w:pPr>
              <w:pStyle w:val="TableContents"/>
              <w:bidi w:val="0"/>
              <w:spacing w:before="0" w:after="283"/>
              <w:ind w:left="1166" w:right="0" w:hanging="0"/>
              <w:jc w:val="left"/>
              <w:rPr>
                <w:rFonts w:ascii="Times New Roman;Times;serif" w:hAnsi="Times New Roman;Times;serif"/>
                <w:color w:val="000000"/>
                <w:sz w:val="20"/>
              </w:rPr>
            </w:pPr>
            <w:r>
              <w:rPr>
                <w:rFonts w:ascii="Times New Roman;Times;serif" w:hAnsi="Times New Roman;Times;serif"/>
                <w:color w:val="000000"/>
                <w:sz w:val="20"/>
              </w:rPr>
              <w:t>39,480,367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 </w:t>
            </w:r>
          </w:p>
        </w:tc>
      </w:tr>
      <w:tr>
        <w:trPr/>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240" w:right="0" w:hanging="0"/>
              <w:jc w:val="left"/>
              <w:rPr>
                <w:rFonts w:ascii="Times New Roman;Times;serif" w:hAnsi="Times New Roman;Times;serif"/>
                <w:color w:val="000000"/>
                <w:sz w:val="20"/>
              </w:rPr>
            </w:pPr>
            <w:r>
              <w:rPr>
                <w:rFonts w:ascii="Times New Roman;Times;serif" w:hAnsi="Times New Roman;Times;serif"/>
                <w:color w:val="000000"/>
                <w:sz w:val="20"/>
              </w:rPr>
              <w:t>817,376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60" w:type="dxa"/>
            <w:tcBorders/>
            <w:shd w:fill="CCEEFF" w:val="clear"/>
            <w:vAlign w:val="center"/>
          </w:tcPr>
          <w:p>
            <w:pPr>
              <w:pStyle w:val="TableContents"/>
              <w:bidi w:val="0"/>
              <w:spacing w:before="0" w:after="283"/>
              <w:ind w:left="1166" w:right="0" w:hanging="0"/>
              <w:jc w:val="left"/>
              <w:rPr>
                <w:rFonts w:ascii="Times New Roman;Times;serif" w:hAnsi="Times New Roman;Times;serif"/>
                <w:color w:val="000000"/>
                <w:sz w:val="20"/>
              </w:rPr>
            </w:pPr>
            <w:r>
              <w:rPr>
                <w:rFonts w:ascii="Times New Roman;Times;serif" w:hAnsi="Times New Roman;Times;serif"/>
                <w:color w:val="000000"/>
                <w:sz w:val="20"/>
              </w:rPr>
              <w:t>39,009,419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53" w:right="0" w:hanging="0"/>
              <w:jc w:val="left"/>
              <w:rPr>
                <w:rFonts w:ascii="Times New Roman;Times;serif" w:hAnsi="Times New Roman;Times;serif"/>
                <w:color w:val="000000"/>
                <w:sz w:val="20"/>
              </w:rPr>
            </w:pPr>
            <w:r>
              <w:rPr>
                <w:rFonts w:ascii="Times New Roman;Times;serif" w:hAnsi="Times New Roman;Times;serif"/>
                <w:color w:val="000000"/>
                <w:sz w:val="20"/>
              </w:rPr>
              <w:t>2.10%</w:t>
            </w:r>
          </w:p>
        </w:tc>
      </w:tr>
      <w:tr>
        <w:trPr/>
        <w:tc>
          <w:tcPr>
            <w:tcW w:w="8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r>
    </w:tbl>
    <w:tbl>
      <w:tblPr>
        <w:tblW w:w="9370" w:type="dxa"/>
        <w:jc w:val="left"/>
        <w:tblInd w:w="0" w:type="dxa"/>
        <w:tblLayout w:type="fixed"/>
        <w:tblCellMar>
          <w:top w:w="0" w:type="dxa"/>
          <w:left w:w="0" w:type="dxa"/>
          <w:bottom w:w="0" w:type="dxa"/>
          <w:right w:w="0" w:type="dxa"/>
        </w:tblCellMar>
      </w:tblPr>
      <w:tblGrid>
        <w:gridCol w:w="260"/>
        <w:gridCol w:w="91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stock options, restricted stock units, and performance unit awards (assuming performance is achieved at the target level). </w:t>
            </w:r>
          </w:p>
        </w:tc>
      </w:tr>
    </w:tbl>
    <w:tbl>
      <w:tblPr>
        <w:tblW w:w="7255" w:type="dxa"/>
        <w:jc w:val="left"/>
        <w:tblInd w:w="0" w:type="dxa"/>
        <w:tblLayout w:type="fixed"/>
        <w:tblCellMar>
          <w:top w:w="0" w:type="dxa"/>
          <w:left w:w="0" w:type="dxa"/>
          <w:bottom w:w="0" w:type="dxa"/>
          <w:right w:w="0" w:type="dxa"/>
        </w:tblCellMar>
      </w:tblPr>
      <w:tblGrid>
        <w:gridCol w:w="260"/>
        <w:gridCol w:w="699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As stated in the Company’s Annual Report on Form 10-K for the fiscal year ending May 31, 2026. </w:t>
            </w:r>
          </w:p>
        </w:tc>
      </w:tr>
    </w:tbl>
    <w:tbl>
      <w:tblPr>
        <w:tblW w:w="2545" w:type="dxa"/>
        <w:jc w:val="left"/>
        <w:tblInd w:w="0" w:type="dxa"/>
        <w:tblLayout w:type="fixed"/>
        <w:tblCellMar>
          <w:top w:w="0" w:type="dxa"/>
          <w:left w:w="0" w:type="dxa"/>
          <w:bottom w:w="0" w:type="dxa"/>
          <w:right w:w="0" w:type="dxa"/>
        </w:tblCellMar>
      </w:tblPr>
      <w:tblGrid>
        <w:gridCol w:w="260"/>
        <w:gridCol w:w="228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22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Shown on a fully-diluted basis.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Key Plan Features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committed to sound corporate governance and to incorporating best practices in our equity compensation programs. Some key features of the 2020 Plan reflecting these principles are summarized below: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Available shares.</w:t>
            </w:r>
            <w:r>
              <w:rPr>
                <w:rFonts w:ascii="Times New Roman;Times;serif" w:hAnsi="Times New Roman;Times;serif"/>
                <w:color w:val="000000"/>
                <w:sz w:val="20"/>
              </w:rPr>
              <w:t xml:space="preserve"> The 2020 Plan authorizes an aggregate of 9,050,000 shares for grant, subject to anti-dilution adjustments upon the occurrence of significant corporate events. As noted above, approval of this Proposal 4 would authorize up to an additional 1,000,000 shares to be made available for grants under the 2020 Plan.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No “evergreen” provision.</w:t>
            </w:r>
            <w:r>
              <w:rPr>
                <w:rFonts w:ascii="Times New Roman;Times;serif" w:hAnsi="Times New Roman;Times;serif"/>
                <w:color w:val="000000"/>
                <w:sz w:val="20"/>
              </w:rPr>
              <w:t xml:space="preserve"> The 2020 Plan does not include an “evergreen” feature, which would allow the number of shares available for issuance under the 2020 Plan to be automatically replenished.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No liberal share recycling.</w:t>
            </w:r>
            <w:r>
              <w:rPr>
                <w:rFonts w:ascii="Times New Roman;Times;serif" w:hAnsi="Times New Roman;Times;serif"/>
                <w:color w:val="000000"/>
                <w:sz w:val="20"/>
              </w:rPr>
              <w:t xml:space="preserve"> Shares withheld for the payment of taxes related to any award or tendered for the payment of an exercise price of an option shall not again be available for awards under the 2020 Plan.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No discounted options or SARs.</w:t>
            </w:r>
            <w:r>
              <w:rPr>
                <w:rFonts w:ascii="Times New Roman;Times;serif" w:hAnsi="Times New Roman;Times;serif"/>
                <w:color w:val="000000"/>
                <w:sz w:val="20"/>
              </w:rPr>
              <w:t xml:space="preserve"> No awards of stock options or SARs will be granted under the 2020 Plan with an exercise price of less than fair market value of our common stock on the date of grant.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No repricing or cash buyouts of stock options or SARs.</w:t>
            </w:r>
            <w:r>
              <w:rPr>
                <w:rFonts w:ascii="Times New Roman;Times;serif" w:hAnsi="Times New Roman;Times;serif"/>
                <w:color w:val="000000"/>
                <w:sz w:val="20"/>
              </w:rPr>
              <w:t xml:space="preserve"> The 2020 Plan does not permit the repricing or cash buyouts of stock options or SARs without shareholder approval.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bidi w:val="0"/>
        <w:spacing w:before="200" w:after="200"/>
        <w:jc w:val="left"/>
        <w:rPr/>
      </w:pPr>
      <w:r>
        <w:rPr/>
      </w:r>
    </w:p>
    <w:p>
      <w:pPr>
        <w:pStyle w:val="TextBody"/>
        <w:bidi w:val="0"/>
        <w:jc w:val="left"/>
        <w:rPr/>
      </w:pPr>
      <w:hyperlink w:anchor="TOC">
        <w:bookmarkStart w:id="95" w:name="ny20083274x1_def14a_116-prop4_pg3"/>
        <w:bookmarkEnd w:id="9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Dividends/dividend equivalents subject to vesting.</w:t>
            </w:r>
            <w:r>
              <w:rPr>
                <w:rFonts w:ascii="Times New Roman;Times;serif" w:hAnsi="Times New Roman;Times;serif"/>
                <w:color w:val="000000"/>
                <w:sz w:val="20"/>
              </w:rPr>
              <w:t xml:space="preserve"> The Company does not currently pay dividends. Any dividends and dividend equivalents payable with respect to 2020 Plan awards would be subject to the same vesting terms as the related award.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Minimum vesting requirement.</w:t>
            </w:r>
            <w:r>
              <w:rPr>
                <w:rFonts w:ascii="Times New Roman;Times;serif" w:hAnsi="Times New Roman;Times;serif"/>
                <w:color w:val="000000"/>
                <w:sz w:val="20"/>
              </w:rPr>
              <w:t xml:space="preserve"> Generally, awards under the 2020 Plan will have a minimum restriction or vesting period of one year from the date of grant. Grants to our non-employee directors could be made without any vesting conditions (e.g., could be granted as fully vested awards).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Double trigger change-in-control.</w:t>
            </w:r>
            <w:r>
              <w:rPr>
                <w:rFonts w:ascii="Times New Roman;Times;serif" w:hAnsi="Times New Roman;Times;serif"/>
                <w:color w:val="000000"/>
                <w:sz w:val="20"/>
              </w:rPr>
              <w:t xml:space="preserve"> The 2020 Plan does not provide for the automatic vesting of outstanding awards in connection with a change in control. Such awards would only accelerate following a change-in-control if either the successor entity does not assume or continue the awards or if the participant suffers a qualifying termination after the awards are assumed or replaced.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Director award limit.</w:t>
            </w:r>
            <w:r>
              <w:rPr>
                <w:rFonts w:ascii="Times New Roman;Times;serif" w:hAnsi="Times New Roman;Times;serif"/>
                <w:color w:val="000000"/>
                <w:sz w:val="20"/>
              </w:rPr>
              <w:t xml:space="preserve"> Non-employee directors may not be granted awards with a grant date fair value of greater than $500,000 in any calendar year. </w:t>
            </w:r>
          </w:p>
        </w:tc>
      </w:tr>
    </w:tbl>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Description of the 2020 Plan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principal provisions of the 2020 Plan.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Purposes of the 2020 Plan. </w:t>
      </w:r>
      <w:r>
        <w:rPr>
          <w:rFonts w:ascii="Times New Roman;Times;serif" w:hAnsi="Times New Roman;Times;serif"/>
          <w:i w:val="false"/>
          <w:caps w:val="false"/>
          <w:smallCaps w:val="false"/>
          <w:color w:val="000000"/>
          <w:sz w:val="20"/>
        </w:rPr>
        <w:t xml:space="preserve">The primary purposes of the 2020 Plan are (i) to provide competitive equity incentives to enable us to attract, retain, motivate, and reward persons who render services to us and (ii) to align the interests of our employees and such other persons with the interests of our shareholders by providing participants with the opportunity to share in any appreciation in the value of our stock that their efforts help bring about.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Shares Authorized for Issuance.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9,050,000 shares of our common stock were previously approved for issuance under the 2020 Plan and, if this Proposal No. 4 is approved, an additional 1,000,000 shares would be available for issuance under the 2020 Plan. If any shares of common stock subject to an award under the 2020 Plan are not issued and cease to be issuable to an award recipient because of the termination, expiration, forfeiture, or cancellation, in whole or in part, of such award or the settlement of such award in cash or for any other reason, or if any such shares shall, after issuance, be reacquired by us because of a grantee’s failure to comply with the terms and conditions of an award, the shares not so issued, or the shares so reacquired, will be again available for future awards under the 2020 Plan. However, any shares of common stock withheld or tendered in payment of any applicable exercise price, grant price, strike price, or taxes relating to any award, or repurchased by us using proceeds from exercise of an option, will not be again available for awards under the 2020 Plan. In addition, the gross number of shares of common stock underlying a stock-settled stock appreciation right will reduce the share reserve described above when such stock appreciation right is settled in shares. All of the shares reserved under the 2020 Plan can be issued as incentive stock options. Shares may be authorized, but unissued shares of common stock or shares of common stock held in the treasury.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Administration. </w:t>
      </w:r>
      <w:r>
        <w:rPr>
          <w:rFonts w:ascii="Times New Roman;Times;serif" w:hAnsi="Times New Roman;Times;serif"/>
          <w:i w:val="false"/>
          <w:caps w:val="false"/>
          <w:smallCaps w:val="false"/>
          <w:color w:val="000000"/>
          <w:sz w:val="20"/>
        </w:rPr>
        <w:t xml:space="preserve">The Compensation and Human Capital Committee of our Board of Directors administers the 2020 Plan, except in instances when the Board decides to directly administer the 2020 Plan. As applicable, the Board and the Compensation and Human Capital Committee are referred to in this description as the “committee.” The committee determines the persons who are to receive awards, the number of shares subject to each such award, and the other terms and conditions of such awards. The committee also has the authority to interpret the provisions of the 2020 Plan and of any awards granted thereunder and to modify awards granted under the 2020 Plan. The committee may not, however, “re-price” options or stock appreciation rights issued under the 2020 Plan without the prior approval of our shareholders.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Eligibility.</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2020 Plan provides for the grant of ISOs, within the meaning of section 422 of the Code, to our employees, and for the grant of nonqualified stock options, restricted stock, restricted stock units, stock appreciation rights, and other stock-based awards to our employees, directors, and other service providers. As of September 18, 2026, there were approximately 718 employees, 7 non-employee directors, and no service providers who were eligible to participate in the 2020 Plan.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Director Limits. </w:t>
      </w:r>
      <w:r>
        <w:rPr>
          <w:rFonts w:ascii="Times New Roman;Times;serif" w:hAnsi="Times New Roman;Times;serif"/>
          <w:i w:val="false"/>
          <w:caps w:val="false"/>
          <w:smallCaps w:val="false"/>
          <w:color w:val="000000"/>
          <w:sz w:val="20"/>
        </w:rPr>
        <w:t xml:space="preserve">No non-employee director may be granted awards with a grant date fair value of greater than $500,000 in any calendar year.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Minimum Vesting.</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Generally, awards under the 2020 Plan will have a minimum restriction or vesting period of one year from the date of grant, although the committee may provide for earlier vesting upon a participant’s termination by reason of death or disability and up to 5% of the shares of common stock reserved for issuance 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bidi w:val="0"/>
        <w:spacing w:before="200" w:after="200"/>
        <w:jc w:val="left"/>
        <w:rPr/>
      </w:pPr>
      <w:r>
        <w:rPr/>
      </w:r>
    </w:p>
    <w:p>
      <w:pPr>
        <w:pStyle w:val="TextBody"/>
        <w:bidi w:val="0"/>
        <w:jc w:val="left"/>
        <w:rPr/>
      </w:pPr>
      <w:hyperlink w:anchor="TOC">
        <w:bookmarkStart w:id="96" w:name="ny20083274x1_def14a_116-prop4_pg4"/>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2020 Plan may be subject to shorter restrictions (or no restrictions). The minimum vesting requirement does not apply to grants made to our non-employee directors, which may be granted as fully-vested awards. In addition, awards to our non-employee directors granted on or promptly following an annual meeting of shareholders may vest upon the next annual meeting of shareholders that occurs in the following year (as long as such meeting occurs at least 50 weeks following such preceding meeting) without counting against this limit.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Options.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committee will determine the exercise price of options granted under the 2020 Plan, which will be at least equal to the fair market value of our common stock on the date of grant (except that, with respect to an ISO granted to a grantee who owns 10% of the voting power of all classes of our outstanding stock, the exercise price must equal at least 110% of the fair market value on the grant date). The term of an option may not exceed ten years (but the term of an ISO granted to a grantee who owns 10% of our voting power as described in the preceding sentence may not exceed five years). The committee will determine the terms and conditions of all options, including the vesting period and conditions (which may be time-based, performance-based, or a combination) and post-termination exercise periods in the event of termination of service of an employee, director, or other service provider. All options will be subject to any other terms and conditions included in the applicable award agreement.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Stock Appreciation Rights. </w:t>
      </w:r>
      <w:r>
        <w:rPr>
          <w:rFonts w:ascii="Times New Roman;Times;serif" w:hAnsi="Times New Roman;Times;serif"/>
          <w:i w:val="false"/>
          <w:caps w:val="false"/>
          <w:smallCaps w:val="false"/>
          <w:color w:val="000000"/>
          <w:sz w:val="20"/>
        </w:rPr>
        <w:t xml:space="preserve">Stock appreciation rights, or “SARs,” may be granted under the 2020 Plan. SARs allow the recipient to receive the appreciation in the fair market value of our common stock between the date of grant and the exercise date of the SARs or, if the SARs are linked to an option, the date of grant of the option. The committee will determine the terms of SARs, including when such rights vest and become exercisable (which vesting conditions may be time-based, performance-based, or a combination) and whether to pay the increased appreciation in cash, with shares of our common stock, with other securities or property, or a combination thereof. All SARs will be subject to any other terms and conditions included in the applicable award agreement.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Restricted Stock and Restricted Stock Units.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Restricted stock and restricted stock units may be granted under the 2020 Plan. Restricted stock awards are grants of shares of our common stock that vest in accordance with the terms and conditions established by the committee, and restricted stock units are a promise to issue shares of our common stock in the future if the applicable vesting conditions are satisfied. The vesting conditions applicable to any awards of restricted stock or restricted stock units may be time-based, performance-based, or a combination. All awards of restricted stock and restricted stock units will be subject to any other terms and conditions included in the applicable award agreement.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Other Stock-Based Awards.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2020 Plan authorizes the committee to grant awards other than options, SARs, restricted stock, or restricted stock units that are payable in shares of our common stock or measured by reference to the value of our common stock. All other-stock based awards will be subject to any terms and conditions (including vesting conditions) included in the applicable award agreement.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Adjustments. </w:t>
      </w:r>
      <w:r>
        <w:rPr>
          <w:rFonts w:ascii="Times New Roman;Times;serif" w:hAnsi="Times New Roman;Times;serif"/>
          <w:i w:val="false"/>
          <w:caps w:val="false"/>
          <w:smallCaps w:val="false"/>
          <w:color w:val="000000"/>
          <w:sz w:val="20"/>
        </w:rPr>
        <w:t xml:space="preserve">In the event of a corporate transaction that affects our common stock (including, for example, a recapitalization, merger, stock split or reverse split, repurchase, exchange, spin-off, dividend or distribution (other than normal cash dividends), or similar corporate transaction, including, without limitation, a “change in control”), or an unusual or nonrecurring event affects AngioDynamics, that the committee determines could result in dilution or enlargement of the rights intended to be granted or available under the 2020 Plan, then the committee shall make proportionate substitution or adjustment as it deems equitable to the class or maximum number of shares of common stock (or other securities or property) available for grant under the 2020 Plan or subject to awards outstanding under the 2020 Plan, the exercise price or strike price of outstanding awards under the 2020 Plan, and any performance conditions or metrics or other terms and conditions applicable to awards outstanding under the 2020 Plan.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Change in Control.</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Unless otherwise provided in a written agreement with a participant in the 2020 Plan, if such participant’s employment is terminated by us without “cause,” or if such participant resigns for “good reason,” in each case within 3 months preceding, or at any time following, a “change in control,” that participant’s outstanding equity awards will be subject to accelerated vesting upon such termination (with any applicable performance conditions deemed satisfied at the “target” level). However, if the committee determines that an award under the 2020 Plan has not been assumed or continued by the successor in a “change in control” transaction, then such award will vest upon such “change in control” (with any applicable performance conditions deemed satisfied at the “target” level).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2020 Plan, a “change in control” will generally be deemed to occur if any person or group of persons acting in concert becomes the beneficial owner of more than 40% of our common stock; a majority of our Board changes over any period of two years or less without the approval of a majority of the directors serving at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bidi w:val="0"/>
        <w:spacing w:before="200" w:after="200"/>
        <w:jc w:val="left"/>
        <w:rPr/>
      </w:pPr>
      <w:r>
        <w:rPr/>
      </w:r>
    </w:p>
    <w:p>
      <w:pPr>
        <w:pStyle w:val="TextBody"/>
        <w:bidi w:val="0"/>
        <w:jc w:val="left"/>
        <w:rPr/>
      </w:pPr>
      <w:hyperlink w:anchor="TOC">
        <w:bookmarkStart w:id="97" w:name="ny20083274x1_def14a_116-prop4_pg5"/>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beginning of such period; there is consummated a merger or consolidation with any other corporation, or the shareholders approve a plan of complete liquidation or dissolution of the Company or there is consummated a sale of assets or plan of complete liquidation following which our shareholders before the transaction will not own at least 60% of our voting power or assets.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Transfers of Awards. </w:t>
      </w:r>
      <w:r>
        <w:rPr>
          <w:rFonts w:ascii="Times New Roman;Times;serif" w:hAnsi="Times New Roman;Times;serif"/>
          <w:i w:val="false"/>
          <w:caps w:val="false"/>
          <w:smallCaps w:val="false"/>
          <w:color w:val="000000"/>
          <w:sz w:val="20"/>
        </w:rPr>
        <w:t xml:space="preserve">The 2020 Plan does not allow for the transfer of awards, except for transfers by will or the laws of descent and distribution or to such other persons designated by a participant to receive the award upon the participant’s death, or except as may otherwise be authorized by the committee.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Dividends and Dividend Equivalents. </w:t>
      </w:r>
      <w:r>
        <w:rPr>
          <w:rFonts w:ascii="Times New Roman;Times;serif" w:hAnsi="Times New Roman;Times;serif"/>
          <w:i w:val="false"/>
          <w:caps w:val="false"/>
          <w:smallCaps w:val="false"/>
          <w:color w:val="000000"/>
          <w:sz w:val="20"/>
        </w:rPr>
        <w:t xml:space="preserve">The committee in its sole discretion may provide as part of an award dividends or dividend equivalents, on such terms and conditions consistent with the following: (i) any dividends payable in respect of restricted stock awards that remain subject to vesting conditions shall be retained by the Company and delivered to the participant within 15 days following the date on which such restrictions on such restricted stock awards lapse and, if such restricted stock is forfeited, the participant shall have no right to such dividends, and (ii) to the extent provided in an award agreement, dividend equivalents attributable to any other type of award shall be distributed to the participant in cash or, in the sole discretion of the committee, in shares of our common stock having a fair market value equal to the amount of such dividend equivalents, upon the settlement of such award and, if such award is forfeited, the participant shall have no right to such dividend equivalents.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Clawbacks.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2020 Plan provides that if an award has been granted to a service provider and the committee later determines that the financial results used to determine the amount of that award, or any payment under the award, are materially restated and that such service provider engaged in fraud or intentional misconduct with respect to the inputs to, or determination of, such financial results, the Company will seek repayment or recovery of the award, as the committee in its sole discretion determines is reasonable and appropriate, notwithstanding any contrary provision of the 2020 Plan. In addition, the committee may provide that any service provider and/or any award, including any shares subject to or issued under an award, is subject to recovery, recoupment, clawback, and/or any other forfeiture policy maintained by the Company from time to time.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Amendment of Plan.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Subject to any applicable shareholder approval requirements of Delaware or federal law, any rules or listing standards that apply to our Company, or the Code, the 2020 Plan may be amended by the Board at any time and in any respect, including without limitation to permit or facilitate qualification of options previously granted or to be granted in the future (1) as incentive stock options under the Code, or (2) for such other special tax treatment as may be enacted. Without shareholder approval, however, no amendment may increase the aggregate number of shares which may be issued under the 2020 Plan, or may permit the exercise price of outstanding options or SARs to be reduced (or such option or SAR to be “repriced”), in each case except for permitted adjustments under the 2020 Plan in connection with certain corporate transactions, as described above. No amendment of the 2020 Plan may adversely affect any award granted prior to the date of such amendment or termination without the written consent of the holder of such award.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Federal Income Tax Consequences under the 2020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general summary as of the date of this proxy statement of the material U.S. federal income tax consequences to AngioDynamics and participants in the 2020 Plan with respect to awards granted under the 2020 Plan. This summary is based upon the Code, Treasury Regulations, administrative pronouncements, and judicial decisions, in each case as in effect on the date hereof, all of which are subject to change (possibly with retroactive effect). The specific tax consequences for any participant will depend upon his or her individual circumstances. This summary does not address state, local, or non-U.S. tax consequences to AngioDynamics or participants in the 2020 Plan.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Treatment of the Participants.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ISOs.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 participant will recognize no income upon grant of an ISO and will generally incur no tax upon exercise of an ISO, provided that the participant is an employee when the ISO is granted and did not cease being an employee for more than three months prior to exercise of the ISO. If a participant holds the shares purchased upon exercise of the ISO (the “ISO Shares”) for more than one year after the date the ISO was exercised and for more than two years after the ISO’s grant date (the “required holding period” ), then the participant generally will realize long-term capital gain or loss (rather than ordinary income or loss) upon disposition of the ISO Shares in an amount equal to the difference between the amount realized upon such disposition and the exercise price of the ISOs.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bidi w:val="0"/>
        <w:spacing w:before="200" w:after="200"/>
        <w:jc w:val="left"/>
        <w:rPr/>
      </w:pPr>
      <w:r>
        <w:rPr/>
      </w:r>
    </w:p>
    <w:p>
      <w:pPr>
        <w:pStyle w:val="TextBody"/>
        <w:bidi w:val="0"/>
        <w:jc w:val="left"/>
        <w:rPr/>
      </w:pPr>
      <w:hyperlink w:anchor="TOC">
        <w:bookmarkStart w:id="98" w:name="ny20083274x1_def14a_116-prop4_pg6"/>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participant disposes of ISO Shares prior to the expiration of the required holding period (a “disqualifying disposition”), then gain realized upon such disposition, to the extent of the difference between the ISO exercise price and the fair market value of the ISO Shares on the date of exercise, will be treated as ordinary income. Any additional gain will be capital gain, and treated as long-term capital gain if the ISO Shares were held by the participant for at least one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Note that the difference between the exercise price and fair market value of the ISO Shares on the date of exercise is an adjustment to income for purposes of the “alternative minimum tax” (“AMT”) provisions of the Code. However, if a disqualifying disposition of the ISO Shares occurs in the same calendar year as exercise of the ISO, there is no AMT adjustment with respect to those ISO Shares. Also, upon a sale of ISO Shares that is not a disqualifying disposition, your taxable income may be reduced in the year of sale by the excess of the fair market value of the ISO Shares at exercise over the amount paid for the ISO Shares.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Nonqualified Stock Options.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 participant will not recognize any taxable income at the time a nonqualified stock option, or “NQSO,” is granted. However, upon exercise of a NQSO, a participant must generally include in income as compensation an amount equal to the difference between the fair market value of the shares on the date of exercise and the NQSO’s exercise price. The included amount must be treated as ordinary income by the participant and will be subject to income tax withholding by us if the participant is an employee. Upon disposition of the shares by a participant, the participant will generally recognize capital gain or loss in an amount equal to the difference between the amount received on disposition and the fair market value of the shares on the date of exercise. This gain will generally be long-term capital gain if the participant has held the shares for at least one year.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Stock Appreciation Rights.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 grant of a stock appreciation right has no federal income tax consequences at the time of grant. Upon the exercise of stock appreciation rights, the value of the shares or other consideration received is generally taxable to the recipient as ordinary income, which will be subject to income tax withholding by us if the participant is an employee.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w:t>
      </w:r>
      <w:r>
        <w:rPr>
          <w:rFonts w:ascii="Times New Roman;Times;serif" w:hAnsi="Times New Roman;Times;serif"/>
          <w:i w:val="false"/>
          <w:caps w:val="false"/>
          <w:smallCaps w:val="false"/>
          <w:color w:val="000000"/>
          <w:sz w:val="20"/>
        </w:rPr>
        <w:t xml:space="preserve">A participant receiving restricted shares for services recognizes taxable income when the shares become vested, generally when they are transferable or no longer subject to a substantial risk of forfeiture. Upon vesting, the participant will generally include in ordinary income an amount, which will be subject to income tax withholding by us if the participant is an employee, equal to the difference between the fair market value of the shares at the time they become substantially vested and the amount paid for the shares (if 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disposition of the shares by a participant, the participant will generally recognize capital gain or loss in an amount equal to the difference between the amount received on disposition and the fair market value of the shares on the date of exercise. This gain will generally be long-term capital gain if the participant has held the shares for at least one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participant can file an election with the IRS (an “83(b) Election”), not later than 30 days after the date of the transfer of the restricted shares, to include in income as compensation (treated as ordinary income), in the year of the transfer of such restricted shares, an amount equal to the difference between the fair market value of such shares on the date of transfer and any amount paid for such shares. The included amount must be treated as ordinary income by the participant and will be subject to income tax withholding by us if the participant is an employee. Income is not again required to be included upon the lapse of the restrictions. Upon disposition of the shares by a participant, the participant will generally recognize capital gain or loss in an amount equal to the difference between the amount received on disposition and the fair market value of the shares on the date of grant. This gain will generally be long-term capital gain if the 83(b) Election was made at least one year prior to the disposition.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Units. </w:t>
      </w:r>
      <w:r>
        <w:rPr>
          <w:rFonts w:ascii="Times New Roman;Times;serif" w:hAnsi="Times New Roman;Times;serif"/>
          <w:i w:val="false"/>
          <w:caps w:val="false"/>
          <w:smallCaps w:val="false"/>
          <w:color w:val="000000"/>
          <w:sz w:val="20"/>
        </w:rPr>
        <w:t xml:space="preserve">A participant receiving a restricted stock unit will generally recognize ordinary income in an amount equal to the money or the fair market value of the shares or other consideration received at the time of their settlement, which will be subject to income tax withholding by us if the participant is an employee.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Code Section 409A.</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Section 409A of the Code (“Section 409A”) imposes significant restrictions on a range of nonqualified deferred compensation plans, along with a penalty on a participant receiving compensation under a plan that does not meet the requirements of Section 409A.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definition of a nonqualified deferred compensation plan is broad and could include certain awards granted under the 2020 Plan. Certain compensation under the 2020 Plan, however, would not be subject to Section 409A, such as options where the exercise price is at least equal to fair market value on the date of grant, and transfers of property subject to Section 83 of the Code (other than option grants).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bidi w:val="0"/>
        <w:spacing w:before="200" w:after="200"/>
        <w:jc w:val="left"/>
        <w:rPr/>
      </w:pPr>
      <w:r>
        <w:rPr/>
      </w:r>
    </w:p>
    <w:p>
      <w:pPr>
        <w:pStyle w:val="TextBody"/>
        <w:bidi w:val="0"/>
        <w:jc w:val="left"/>
        <w:rPr/>
      </w:pPr>
      <w:hyperlink w:anchor="TOC">
        <w:bookmarkStart w:id="99" w:name="ny20083274x1_def14a_116-prop4_pg7"/>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Amounts deferred under a nonqualified deferred compensation plan that do not comply with Section 409A may be taxed earlier than would otherwise be the case (e.g., at the time of vesting instead of the time of payment) and may be subject to an additional 20% penalty tax (and, potentially, certain interest, penalties, and additional state taxes). To the extent applicable, the 2020 Plan and awards granted under the 2020 Plan are intended to be structured and interpreted in a manner intended to either comply with or be exempt from Section 409A of the Code and the Department of Treasury regulations and other interpretive guidance that may be issued under Section 409A of the Code.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Treatment of AngioDynamics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any withholding requirement, the standard of reasonableness, and (if applicable) Section 162(m) of the Code (which generally limits our annual compensation deduction attributable to certain of our executive officers to $1 million annually), we generally will be entitled to a deduction to the extent any participant recognizes ordinary income from an award granted under the 2020 Plan. As in previous years, the potential deductibility of compensation is only one of many considerations that the committee will take into account when determining awards under the 2020 Plan, and we believe it is important that the committee retain flexibility and authority to grant or adjust awards under the 2020 Plan as needed to address particular circumstances, or unexpected, unusual, or non-recurring events, or to attract and retain key executive talent, even if this results in the grant or settlement of awards under the 2020 Plan that are not deductible (whether by application of Section 162(m), to the extent applicable, or otherwise). Therefore, the committee may make awards under the 2020 Plan that are not deductible if, in its judgment, such payments are advisable to achieve our compensation objectives.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New Plan Benefits/Prior Option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of common stock issuable pursuant to the terms of the 2020 Plan are available for awards to all eligible participants of the plan. Because awards under the 2020 Plan are made in the discretion of the committee, however, the identity of future award recipients and the size and terms of future awards are not known at this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Since the inception of the 2020 Plan, the following individuals and groups have received stock options under the 2020 Plan covering the indicated number of shares of our common stock: </w:t>
      </w:r>
    </w:p>
    <w:tbl>
      <w:tblPr>
        <w:tblW w:w="8900" w:type="dxa"/>
        <w:jc w:val="left"/>
        <w:tblInd w:w="0" w:type="dxa"/>
        <w:tblLayout w:type="fixed"/>
        <w:tblCellMar>
          <w:top w:w="0" w:type="dxa"/>
          <w:left w:w="0" w:type="dxa"/>
          <w:bottom w:w="0" w:type="dxa"/>
          <w:right w:w="0" w:type="dxa"/>
        </w:tblCellMar>
      </w:tblPr>
      <w:tblGrid>
        <w:gridCol w:w="7025"/>
        <w:gridCol w:w="170"/>
        <w:gridCol w:w="170"/>
        <w:gridCol w:w="1535"/>
      </w:tblGrid>
      <w:tr>
        <w:trPr/>
        <w:tc>
          <w:tcPr>
            <w:tcW w:w="7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r>
      <w:tr>
        <w:trPr/>
        <w:tc>
          <w:tcPr>
            <w:tcW w:w="70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Individual/Group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Options </w:t>
            </w:r>
          </w:p>
        </w:tc>
      </w:tr>
      <w:tr>
        <w:trPr/>
        <w:tc>
          <w:tcPr>
            <w:tcW w:w="7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 Clemmer - President, CEO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585,134 </w:t>
            </w:r>
          </w:p>
        </w:tc>
      </w:tr>
      <w:tr>
        <w:trPr/>
        <w:tc>
          <w:tcPr>
            <w:tcW w:w="7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A. Trowbridge - EVP, CFO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174,614 </w:t>
            </w:r>
          </w:p>
        </w:tc>
      </w:tr>
      <w:tr>
        <w:trPr/>
        <w:tc>
          <w:tcPr>
            <w:tcW w:w="7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Lawrence T. Weiss, SVP, Chief Legal Officer &amp; Corporate Secretary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103,650 </w:t>
            </w:r>
          </w:p>
        </w:tc>
      </w:tr>
      <w:tr>
        <w:trPr/>
        <w:tc>
          <w:tcPr>
            <w:tcW w:w="7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Laura Piccinini - SVP &amp; GM, Cardiovascular and International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127,516 </w:t>
            </w:r>
          </w:p>
        </w:tc>
      </w:tr>
      <w:tr>
        <w:trPr/>
        <w:tc>
          <w:tcPr>
            <w:tcW w:w="7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Warren G. Nighan - SVP, Global Supply Chain, Quality and Regulatory Affairs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62,540 </w:t>
            </w:r>
          </w:p>
        </w:tc>
      </w:tr>
      <w:tr>
        <w:trPr/>
        <w:tc>
          <w:tcPr>
            <w:tcW w:w="7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as a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1,053,454 </w:t>
            </w:r>
          </w:p>
        </w:tc>
      </w:tr>
      <w:tr>
        <w:trPr/>
        <w:tc>
          <w:tcPr>
            <w:tcW w:w="7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directors who are not executive officers as a group</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261" w:right="0" w:hanging="0"/>
              <w:jc w:val="left"/>
              <w:rPr>
                <w:color w:val="000000"/>
              </w:rPr>
            </w:pPr>
            <w:r>
              <w:rPr>
                <w:color w:val="000000"/>
              </w:rPr>
              <w:t xml:space="preserve">— </w:t>
            </w:r>
          </w:p>
        </w:tc>
      </w:tr>
      <w:tr>
        <w:trPr/>
        <w:tc>
          <w:tcPr>
            <w:tcW w:w="7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nominee for election as a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261" w:right="0" w:hanging="0"/>
              <w:jc w:val="left"/>
              <w:rPr>
                <w:color w:val="000000"/>
              </w:rPr>
            </w:pPr>
            <w:r>
              <w:rPr>
                <w:color w:val="000000"/>
              </w:rPr>
              <w:t xml:space="preserve">— </w:t>
            </w:r>
          </w:p>
        </w:tc>
      </w:tr>
      <w:tr>
        <w:trPr/>
        <w:tc>
          <w:tcPr>
            <w:tcW w:w="7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associate of any such directors, executive officers or nominees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261" w:right="0" w:hanging="0"/>
              <w:jc w:val="left"/>
              <w:rPr>
                <w:color w:val="000000"/>
              </w:rPr>
            </w:pPr>
            <w:r>
              <w:rPr>
                <w:color w:val="000000"/>
              </w:rPr>
              <w:t xml:space="preserve">— </w:t>
            </w:r>
          </w:p>
        </w:tc>
      </w:tr>
      <w:tr>
        <w:trPr/>
        <w:tc>
          <w:tcPr>
            <w:tcW w:w="7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other person who received or is to receive 5% of such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261" w:right="0" w:hanging="0"/>
              <w:jc w:val="left"/>
              <w:rPr>
                <w:color w:val="000000"/>
              </w:rPr>
            </w:pPr>
            <w:r>
              <w:rPr>
                <w:color w:val="000000"/>
              </w:rPr>
              <w:t xml:space="preserve">— </w:t>
            </w:r>
          </w:p>
        </w:tc>
      </w:tr>
      <w:tr>
        <w:trPr/>
        <w:tc>
          <w:tcPr>
            <w:tcW w:w="7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employees, including all current officers who are not executive officers, as a group</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593,040</w:t>
            </w:r>
          </w:p>
        </w:tc>
      </w:tr>
      <w:tr>
        <w:trPr/>
        <w:tc>
          <w:tcPr>
            <w:tcW w:w="70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 of the Board of Directors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THE BOARD OF DIRECTORS RECOMMENDS A VOTE “FOR” THE PROPOSAL TO APPROVE AN AMENDMENT TO THE ANGIODYNAMICS, INC. 2020 EQUITY INCENTIVE PLAN.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bidi w:val="0"/>
        <w:spacing w:before="200" w:after="200"/>
        <w:jc w:val="left"/>
        <w:rPr/>
      </w:pPr>
      <w:r>
        <w:rPr/>
      </w:r>
    </w:p>
    <w:p>
      <w:pPr>
        <w:pStyle w:val="TextBody"/>
        <w:bidi w:val="0"/>
        <w:jc w:val="left"/>
        <w:rPr/>
      </w:pPr>
      <w:hyperlink w:anchor="TOC">
        <w:bookmarkStart w:id="100" w:name="ny20083274x1_def14a_117-certain_pg1"/>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1" w:name="tCRRT"/>
      <w:bookmarkEnd w:id="101"/>
      <w:r>
        <w:rPr>
          <w:rFonts w:ascii="Times New Roman;Times;serif" w:hAnsi="Times New Roman;Times;serif"/>
          <w:b/>
          <w:color w:val="000000"/>
          <w:sz w:val="20"/>
        </w:rPr>
        <w:t xml:space="preserve">CERTAIN RELATIONSHIPS AND RELATED TRANSACTIONS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Related Party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were no related party transactions pursuant to Item 404 of Regulation S-K during our fiscal year ended May 31, 2026.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Policy on Related Party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27, 2007, the Board of Directors approved a Related Person Transaction Policy. The policy defines “Related Person Transaction” as certain transactions, arrangements or relationships in which the Company participates, the amount exceeds $50,000 and certain related persons have a material interest. Under the policy, any potential Related Person Transaction, including for example the purchase of goods or services, guarantees of indebtedness or employment, must be pre-approved by the Audit Committee unless circumstances make pre-approval impracticable. In the latter case, management is allowed to enter into the transaction, but the transaction remains subject to ratification by the Audit Committee at a subsequent Audit Committee meeting. In determining whether to approve or ratify a Related Person Transaction, the Audit Committee will take into account a number of factors, including the related person’s interest and approximate dollar amount of the transaction, as well as, whether the transaction occurred in the ordinary course of business or through a competitive bid process. On an annual basis, the Audit Committee will review and assess ongoing Related Person Transactions to determine whether the relationships remain appropriate.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DELINQUENT SECTION 16(a) REPORTS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of 1934, as amended, requires our executive officers and directors, and persons who own more than 10% of a registered class of our equity securities, to file reports of initial ownership and changes in ownership with the SEC. Based solely on our review of copies of such forms received by us, or on written representations from certain reporting persons that no reports were required for such persons, we believe that, during the fiscal year ended May 31, 2026, all of our executive officers, directors and 10% shareholders complied with all Section 16 filing requirements.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bidi w:val="0"/>
        <w:spacing w:before="200" w:after="200"/>
        <w:jc w:val="left"/>
        <w:rPr/>
      </w:pPr>
      <w:r>
        <w:rPr/>
      </w:r>
    </w:p>
    <w:p>
      <w:pPr>
        <w:pStyle w:val="TextBody"/>
        <w:bidi w:val="0"/>
        <w:jc w:val="left"/>
        <w:rPr/>
      </w:pPr>
      <w:hyperlink w:anchor="TOC">
        <w:bookmarkStart w:id="102" w:name="ny20083274x1_def14a_118-report_pg1"/>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3" w:name="tAR"/>
      <w:bookmarkEnd w:id="103"/>
      <w:r>
        <w:rPr>
          <w:rFonts w:ascii="Times New Roman;Times;serif" w:hAnsi="Times New Roman;Times;serif"/>
          <w:b/>
          <w:color w:val="000000"/>
          <w:sz w:val="20"/>
        </w:rPr>
        <w:t xml:space="preserve">ANNUAL REPORT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AngioDynamics shareholder may obtain without charge additional copies of our annual report on Form 10-K for the fiscal year ended May 31, 2026, along with all amendments (without exhibits), as filed with the SEC, by writing to: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Counsel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AngioDynamics,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14 Plaza Drive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Latham, New York 12110</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bidi w:val="0"/>
        <w:spacing w:before="200" w:after="200"/>
        <w:jc w:val="left"/>
        <w:rPr/>
      </w:pPr>
      <w:r>
        <w:rPr/>
      </w:r>
    </w:p>
    <w:p>
      <w:pPr>
        <w:pStyle w:val="TextBody"/>
        <w:bidi w:val="0"/>
        <w:jc w:val="left"/>
        <w:rPr/>
      </w:pPr>
      <w:hyperlink w:anchor="TOC">
        <w:bookmarkStart w:id="104" w:name="ny20083274x1_def14a_119-shareholder_pg1"/>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5" w:name="tSPAN"/>
      <w:bookmarkEnd w:id="105"/>
      <w:r>
        <w:rPr>
          <w:rFonts w:ascii="Times New Roman;Times;serif" w:hAnsi="Times New Roman;Times;serif"/>
          <w:b/>
          <w:color w:val="000000"/>
          <w:sz w:val="20"/>
        </w:rPr>
        <w:t xml:space="preserve">SHAREHOLDER PROPOSALS AND NOMINATIONS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Rule 14a-8 under the Exchange Act, shareholders may present proper proposals for inclusion in our proxy statement and for consideration at our next Annual Meeting of Shareholders. To be eligible for inclusion in our 2027 proxy statement pursuant to Rule 14a-8, your proposal must be received by us no later than June 8, 2027 and must otherwise comply with Rule 14a-8. While the Board of Directors will consider shareholder proposals, we reserve the right to omit from our proxy statement shareholder proposals that we are not required to include under the Exchange Act, including under Rule 14a-8.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our By-Laws contain an advance notice provision with respect to matters to be brought before an Annual Meeting of Shareholders, including nominations for directors, and not included in our proxy statement. If you would like to nominate a director or bring any other business before the shareholders at the 2027 Annual Meeting, you must comply with the procedures contained in the By-Laws and you must notify us in writing, and such notice must be delivered to or received by our Secretary no earlier than July 20, 2027 and no later than August 19, 2027. However, if the fiscal 2027 Annual Meeting is called for a date that is not within 25 days before or after November 17, 2026, notice must be received by our Secretary no later than the later of (i) the close of business on the 90th day before the 2027 Annual Meeting and (ii) the close of business on the 10th day following the day on which notice of the 2027 Annual Meeting was mailed to shareholders or public disclosure of the date of the 2027 Annual Meeting was made, whichever first occurs.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write to our Secretary at our principal executive office, 14 Plaza Drive, Latham, New York 12110, to deliver the notices discussed above and to request a copy of the relevant By-Law provisions regarding the requirements for making shareholder proposals and nominations of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bidi w:val="0"/>
        <w:spacing w:before="200" w:after="200"/>
        <w:jc w:val="left"/>
        <w:rPr/>
      </w:pPr>
      <w:r>
        <w:rPr/>
      </w:r>
    </w:p>
    <w:p>
      <w:pPr>
        <w:pStyle w:val="TextBody"/>
        <w:bidi w:val="0"/>
        <w:jc w:val="left"/>
        <w:rPr/>
      </w:pPr>
      <w:hyperlink w:anchor="TOC">
        <w:bookmarkStart w:id="106" w:name="ny20083274x1_def14a_120-other_pg1"/>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7" w:name="tOTM"/>
      <w:bookmarkEnd w:id="107"/>
      <w:r>
        <w:rPr>
          <w:rFonts w:ascii="Times New Roman;Times;serif" w:hAnsi="Times New Roman;Times;serif"/>
          <w:b/>
          <w:color w:val="000000"/>
          <w:sz w:val="20"/>
        </w:rPr>
        <w:t xml:space="preserve">OTHER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 we know of no matters other than those set forth herein that will be presented for consideration at the meeting. If any other matter or matters are properly brought before the meeting or any adjournment thereof, the persons named in the accompanying proxy will have discretionary authority to vote, or otherwise act, with respect to such matters in accordance with their judgment.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bidi w:val="0"/>
        <w:spacing w:before="200" w:after="200"/>
        <w:jc w:val="left"/>
        <w:rPr/>
      </w:pPr>
      <w:r>
        <w:rPr/>
      </w:r>
    </w:p>
    <w:p>
      <w:pPr>
        <w:pStyle w:val="TextBody"/>
        <w:bidi w:val="0"/>
        <w:jc w:val="left"/>
        <w:rPr/>
      </w:pPr>
      <w:hyperlink w:anchor="TOC">
        <w:bookmarkStart w:id="108" w:name="ny20083274x1_def14a_200-appa_pg1"/>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9" w:name="tAPPA"/>
      <w:bookmarkEnd w:id="109"/>
      <w:r>
        <w:rPr>
          <w:rFonts w:ascii="Times New Roman;Times;serif" w:hAnsi="Times New Roman;Times;serif"/>
          <w:b/>
          <w:color w:val="000000"/>
          <w:sz w:val="20"/>
        </w:rPr>
        <w:t xml:space="preserve">APPENDIX A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ANGIODYNAMICS,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2020 EQUITY INCENTIVE PLAN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i/>
          <w:color w:val="000000"/>
          <w:sz w:val="20"/>
        </w:rPr>
        <w:t>(as amended)</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w:t>
      </w:r>
      <w:r>
        <w:rPr>
          <w:rFonts w:ascii="Times New Roman;Times;serif" w:hAnsi="Times New Roman;Times;serif"/>
          <w:b/>
          <w:i/>
          <w:color w:val="000000"/>
          <w:sz w:val="20"/>
        </w:rPr>
        <w:t>Purposes</w:t>
      </w:r>
      <w:r>
        <w:rPr>
          <w:rFonts w:ascii="Times New Roman;Times;serif" w:hAnsi="Times New Roman;Times;serif"/>
          <w:color w:val="000000"/>
          <w:sz w:val="20"/>
        </w:rPr>
        <w:t xml:space="preserve">. The primary purposes of this Plan are (a) to provide competitive equity incentives that will enable the Company to attract, retain, motivate, and reward persons who render services that benefit the Company or other enterprises in which the Company has a significant interest and (b) to align the interests of such persons with the interests of the Company’s shareholders generally.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w:t>
      </w:r>
      <w:r>
        <w:rPr>
          <w:rFonts w:ascii="Times New Roman;Times;serif" w:hAnsi="Times New Roman;Times;serif"/>
          <w:b/>
          <w:i/>
          <w:color w:val="000000"/>
          <w:sz w:val="20"/>
        </w:rPr>
        <w:t>Definitions</w:t>
      </w:r>
      <w:r>
        <w:rPr>
          <w:rFonts w:ascii="Times New Roman;Times;serif" w:hAnsi="Times New Roman;Times;serif"/>
          <w:color w:val="000000"/>
          <w:sz w:val="20"/>
        </w:rPr>
        <w:t xml:space="preserve">. Unless otherwise required by the context, the following terms, when used in this Plan, shall have the meanings set forth in this Section 2.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2.1.1.“Affiliate” means an affiliate as defined in Rule 12b-2 promulgated under Section 12 of the Exchange Act.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2.1.2.“Award” means an award granted under this Plan in one of the forms provided for in Section 3(a).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2.1.3.“Award Agreement” means a written instrument signed by an officer of the Company and setting forth the terms and conditions of an Award granted under the Plan.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2.1.4.“Beneficiary” means a person or entity (including but not limited to a trust or estate), designated in writing by a Service Provider or other rightful holder of an Award, on such forms and in accordance with such terms and conditions as the Committee may prescribe, to whom such Service Provider’s or other rightful holder’s rights under the Plan shall pass in the event of the death of such Service Provider or other rightful holder. In the event that the person or entity so designated is not living or in existence at the time of the death of the Service Provider or other rightful holder of the Award, or in the event that no such person or entity has been so designated, the “Beneficiary” shall mean the legal representative of the estate of the Service Provider or other rightful holder, or the person or entity to whom the Service Provider’s or other rightful holder’s rights with respect to the Award pass by will or the laws of descent and distribution.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2.1.5.“Board” or “Board of Directors” means the Board of Directors of the Company, as constituted from time to time.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2.1.6.“Cause” means, unless otherwise provided in an applicable Award Agreement, (x) if a Service Provider is a party to a written employment, severance, consulting, or other service agreement with the Company or any of its Subsidiaries that contains a definition of “Cause” (or term of similar meaning), then “Cause” as so therein defined, and (y) if a Service Provider is not party to such an agreement, then (i) such Service Provider has willfully failed to perform the Service Provider’s duties with the Company or any of its Subsidiaries (other than because of the Service Provider’s death or disability); (ii) the engaging by the Service Provider in misconduct which is injurious to the Company or any of its Subsidiaries, monetarily or otherwise; (iii) the Service Provider’s commission of (a) a felony or (b) a crime involving fraud, dishonesty, or moral turpitude; or (iv) the Service Provider’s material violation of any written policy of the Company or any of its Subsidiaries applicable to the Service Provider or material breach of a written agreement with the Company or any of its Subsidiaries.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2.1.7.“Change in Control” means that any of the following events has occurred: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2.1.7.1.any Person is or becomes the Beneficial Owner, directly or indirectly, of securities of the Company (not including any securities acquired directly from the Company or its Affiliates) representing more than 40% of the combined voting power of the Company’s then-outstanding securities, excluding any Person who becomes such a Beneficial Owner in connection with a transaction described in clause (A) of paragraph (iii) below;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2.1.7.2.the following individuals cease for any reason to constitute a majority of the number of directors serving on the Board: individuals who, at the beginning of any period of two consecutive years or less (not including any period prior to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bidi w:val="0"/>
        <w:spacing w:before="200" w:after="200"/>
        <w:jc w:val="left"/>
        <w:rPr/>
      </w:pPr>
      <w:r>
        <w:rPr/>
      </w:r>
    </w:p>
    <w:p>
      <w:pPr>
        <w:pStyle w:val="TextBody"/>
        <w:bidi w:val="0"/>
        <w:jc w:val="left"/>
        <w:rPr/>
      </w:pPr>
      <w:hyperlink w:anchor="TOC">
        <w:bookmarkStart w:id="110" w:name="ny20083274x1_def14a_200-appa_pg2"/>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shareholders was approved or recommended by a vote of at least two-thirds (2/3) of the directors then still in office who either were directors at the beginning of such period or whose appointment, election, or nomination for election was previously so approved or recommended;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2.1.7.3.there is consummated a merger or consolidation of the Company or any Subsidiary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at least 60% of the combined voting power of the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(not including any securities acquired directly from the Company or its Affiliates) representing more than 40% or more of the combined voting power of the Company’s then outstanding securities; or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2.1.7.4.the shareholders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60% of the combined voting power of the voting securities of which are owned by shareholders of the Company in substantially the same proportions as their ownership of the Company immediately prior to such sale.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the foregoing provisions of this Section 2(g),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2.1.7.4.1.the term “Beneficial Owner” shall have the meaning set forth in Rule 13d-3 under the Exchange Act;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2.1.7.4.2.the term “Effective Date” shall mean the date on which the Plan is effective as provided in Section 11 hereof; and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2.1.7.4.3.the term “Person” shall have the meaning given in Section 3(a)(9) of the Exchange Act, as modified and used in Sections 13(d) and 14(d) thereof, except that such term shall not include (1) the Company or any of its Subsidiaries, (2) a trustee or other fiduciary holding securities under an employee benefit plan of the Company or any of its Affiliates, (3) an underwriter temporarily holding securities pursuant to an offering of such securities, or (4) a corporation or other entity owned, directly or indirectly, by the shareholders of the Company in substantially the same proportions as their ownership of stock of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if a Change in Control constitutes a payment event with respect to any Award (or any portion of an Award) that provides for the deferral of compensation that is subject to Section 409A of the Code, to the extent required to avoid the imposition of additional taxes under Section 409A of the Code, the transaction or event described in subsection (i), (ii), (iii), or (iv) with respect to such Award (or portion thereof) shall only constitute a Change in Control for purposes of the payment timing of such Award if such transaction also constitutes a “change in control event,” as defined in Treasury Regulation Section 1.409A-3(i)(5).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2.1.8.“Code” means the Internal Revenue Code of 1986, as amended and in effect from time to time. References to a particular section of the Code shall include references to any related Treasury Regulations and to successor provisions of the Code.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2.1.9.“Committee” means the committee appointed by the Board of Directors to administer the Plan pursuant to the provisions of Section 12(a) below.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2.1.10.“Common Stock” means common stock of the Company, par value $.01 per share.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2.1.11.“Company” means AngioDynamics, Inc., a Delaware corporation, and, except for purposes of determining under Section 2(g) hereof whether or not a Change in Control has occurred, shall include its successors.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bidi w:val="0"/>
        <w:spacing w:before="200" w:after="200"/>
        <w:jc w:val="left"/>
        <w:rPr/>
      </w:pPr>
      <w:r>
        <w:rPr/>
      </w:r>
    </w:p>
    <w:p>
      <w:pPr>
        <w:pStyle w:val="TextBody"/>
        <w:bidi w:val="0"/>
        <w:jc w:val="left"/>
        <w:rPr/>
      </w:pPr>
      <w:hyperlink w:anchor="TOC">
        <w:bookmarkStart w:id="111" w:name="ny20083274x1_def14a_200-appa_pg3"/>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2.1.12.“Employee” means any person who is employed by the Company or a Subsidiary on a full-time or part-time basis, including an officer or director if he is so employed.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2.1.13.“Exchange Act” means the Securities Exchange Act of 1934, as amended from time to time.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2.1.14.“Fair Market Value” with respect to a share of Common Stock on a particular date means as follows: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2.1.14.1.The mean between the high and low sale prices of a share of Common Stock on such date, as reported by the National Association of Securities Dealers, Inc. Automated Quotation System or such other system then in use with regard to the Common Stock or, if on such date the Common Stock is publicly traded but not quoted by any such system, the mean of the closing bid and asked prices of a share of Common Stock on such date as furnished by a professional market maker making a market in the Common Stock; or </w:t>
      </w:r>
    </w:p>
    <w:p>
      <w:pPr>
        <w:pStyle w:val="TextBody"/>
        <w:bidi w:val="0"/>
        <w:spacing w:before="12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2.1.14.2.If in (i) above, there were no sales on such date reported as provided above, the respective prices on the most recent prior day on which a sale was so reported.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case of an Incentive Stock Option, if the foregoing method of determining fair market value should be inconsistent with Section 422 of the Code, “Fair Market Value” shall be determined by the Committee in a manner consistent with Section 422 of the Code and shall mean the value as so determined. In the case of other securities or other property, “Fair Market Value” shall mean the fair market value of such other securities or other property as determined by the Committee in its sole discretion.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2.1.15.“Good Reason” means, unless otherwise provided in an applicable Award Agreement, (x) if a Service Provider is a party to a written employment, severance, consulting, or other service agreement with the Company or its Subsidiaries that contains a definition of “Good Reason” (or term of similar meaning), then “Good Reason” as so therein defined, and (y) if a Service Provider is not party to such an agreement, then the occurrence of any of the following without the Service Provider’s prior written consent: (i) a material reduction in the Service Provider’s base salary or target annual bonus; (ii) a material and substantial adverse diminution in the Participant’s duties or responsibilities]; (iii) the Company’s or its Subsidiary’s material breach of a written agreement to which it is a party with the Service Provider; or (iv) the relocation of the Service Provider’s principal place of employment to a location which increases the Service Provider’s one-way commuting distance by more than fifty (50) miles;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(1) the Service Provider provides the Company with written notice of the circumstances giving rise to Good Reason within thirty (30) days of their occurrence, (2) the Company fails to cure such circumstances within thirty (30) days following receipt of such written notice, and (3) the Service Provider terminates his or her service within thirty (30) days following expiration of such cure period.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2.1.16.“Incentive Stock Option” means an option, including an Option as the context may require, intended to meet the requirements of Section 422 of the Code.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2.1.17.“Linked Stock Appreciation Rights” means Stock Appreciation Rights that are linked to all or any part of an Option, subject to and in accordance with Section 7 and the other applicable provisions of the Plan.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2.1.18.“Nonqualified Stock Option” means an option, including an Option as the context may require, which is not intended to be an Incentive Stock Option.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2.1.19.“Option” means an option granted under this Plan to purchase shares of Common Stock. Options may be Incentive Stock Options or Nonqualified Stock Options.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2.1.20.“Other Stock-Based Award” means an Award that is not an Option, Stock Appreciation Right, Restricted Stock, or Restricted Stock Unit that is granted under Section 8 of the Plan and is (i) payable by delivery of Common Stock and/or (ii) measured by reference to the value of Common Stock.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2.1.21.“Plan” means this AngioDynamics, Inc. 2020 Equity Incentive Plan, as amended from time to time.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2.1.22.“Restricted Stock” means shares of Common Stock which are issued to a Service Provider in accordance with Section 5 and the other applicable provisions of the Plan subject to restrictions and/or forfeiture provisions specified by the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bidi w:val="0"/>
        <w:spacing w:before="200" w:after="200"/>
        <w:jc w:val="left"/>
        <w:rPr/>
      </w:pPr>
      <w:r>
        <w:rPr/>
      </w:r>
    </w:p>
    <w:p>
      <w:pPr>
        <w:pStyle w:val="TextBody"/>
        <w:bidi w:val="0"/>
        <w:jc w:val="left"/>
        <w:rPr/>
      </w:pPr>
      <w:hyperlink w:anchor="TOC">
        <w:bookmarkStart w:id="112" w:name="ny20083274x1_def14a_200-appa_pg4"/>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2.1.23.“Restricted Stock Unit” means an unsecured and unfunded promise to issue or deliver shares of Common Stock, cash, other securities, or other property to a Service Provider at a future time or times subject to and in accordance with Section 5 below and the other applicable provisions of the Plan if certain terms and conditions specified by the Committee are satisfied.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2.1.24.“Service Provider” means a person who renders, has rendered, or who the Committee expects to render services that benefit or will benefit the Company or a Subsidiary, in the capacity of employee, director, independent contractor, agent, advisor, consultant, representative, or otherwise, and includes but is not limited to (i) Employees, (ii) personal service corporations, limited liability companies, and similar entities through which any such person renders, has rendered, or is expected to render such services, and (iii) members of the Board who are not Employees.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2.1.25.“Stock Appreciation Right” means a right granted subject to and in accordance with Section 7 and the other applicable provisions of the Plan.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2.1.26.“Subsidiary” means a corporation or other form of entity or business association of which shares (or other ownership interests) having more than 50% of the voting power are owned or controlled, directly or indirectly, by the Company;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in the case of an Incentive Stock Option, the term “Subsidiary” shall mean a Subsidiary (as defined by the preceding clause) which is also a “subsidiary corporation” as defined in Section 424(f) of the Code.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3.</w:t>
      </w:r>
      <w:r>
        <w:rPr>
          <w:rFonts w:ascii="Times New Roman;Times;serif" w:hAnsi="Times New Roman;Times;serif"/>
          <w:b/>
          <w:i/>
          <w:color w:val="000000"/>
          <w:sz w:val="20"/>
        </w:rPr>
        <w:t>Grants of Awards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3.1.1.Subject to the provisions of the Plan, the Committee may at any time, and from time to time, grant the following types of awards to any Service Provider: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3.1.1.1.Restricted Stock;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3.1.1.2.Restricted Stock Units;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3.1.1.3.Options;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3.1.1.4.Stock Appreciation Rights; and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3.1.1.5.Other Stock-Based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provision above of this Section 3(a) to the contrary notwithstanding, the Committee may grant Incentive Stock Options only to Service Providers who are Employees.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3.1.2.After an Award has been granted,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3.1.2.1.the Committee may waive any term or condition thereof that could have been excluded from such Award when it was granted,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3.1.2.2.may amend any Award after it has been granted to include (or exclude) any provision which could have been included in (or excluded from) such Award when it was granted, subject to the written consent of the affected participant, if such amendment would result in less favorable terms applying to such participant,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no additional consideration need be received by the Company in exchange for such waiver or amendment.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3.1.3.The Committee may (but need not) grant any Award linked to another Award, including, without limitation, Options linked to Stock Appreciation Rights. Linked Awards may be granted as either alternatives or supplements to one another. The terms and conditions of any such linked Awards shall be determined by the Committee, subject to the provisions of the Plan.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3.1.4.No Service Provider shall acquire any rights in or to or with respect to any Award unless and until an Award Agreement is delivered to him and returned to the designated Company representative executed by the Service Provider within the time, if any, prescribed therefore by the Committee or its delegate (which execution and delivery may be in electronic form or through electronic procedures established by the Committee). Any such Award Agreement shall not be inconsistent with this Plan and shall incorporate this Plan by reference. Executing and returning such Award Agreement to the Company shall constitute the Service Provider’s irrevocable agreement to and acceptance of the terms and conditions of the Award set forth in such Award Agreement and of the Plan applicable to such Award.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bidi w:val="0"/>
        <w:spacing w:before="200" w:after="200"/>
        <w:jc w:val="left"/>
        <w:rPr/>
      </w:pPr>
      <w:r>
        <w:rPr/>
      </w:r>
    </w:p>
    <w:p>
      <w:pPr>
        <w:pStyle w:val="TextBody"/>
        <w:bidi w:val="0"/>
        <w:jc w:val="left"/>
        <w:rPr/>
      </w:pPr>
      <w:hyperlink w:anchor="TOC">
        <w:bookmarkStart w:id="113" w:name="ny20083274x1_def14a_200-appa_pg5"/>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3.1.5.The Plan is intended to enable the Committee to grant Options that qualify for the tax treatment applicable to incentive stock options under Section 422 of the Code, as well as Options and other Awards that do not qualify for such tax treatment. Any provision of the Plan to the contrary notwithstanding, the Plan shall be interpreted, administered, and construed to enable the Committee to grant Options that qualify for the tax treatment applicable to incentive stock options under Section 422 of the Code as well as Options and other Awards that do not qualify for such tax treatment, and any provision of the Plan that cannot be so interpreted, administered, or construed shall to that extent be disregarded.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3.1.6.Any Award shall have a minimum restriction or vesting period, as applicable, of one year from the date of grant;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Committee may provide for earlier vesting upon a Service Provider’s termination of employment or service by reason of death or disability. Notwithstanding any provision herein to the contrary, 5% of the total number of shares available for allotment and issuance, transfer, or delivery under the Plan (the “Excepted Shares”) shall not be subject to the minimum restriction or vesting period, as applicable, described in the preceding sentence, it being understood that an Award may be granted to members of the Board who are not Employees on or promptly following the Company’s annual meeting of stockholders in a given year that vests upon the Company’s annual meeting of stockholders in the following year that occurs at least fifty (50) weeks following such preceding meeting without counting against such minimum restriction or vesting period limitation or as an “Excepted Share.”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4.</w:t>
      </w:r>
      <w:r>
        <w:rPr>
          <w:rFonts w:ascii="Times New Roman;Times;serif" w:hAnsi="Times New Roman;Times;serif"/>
          <w:b/>
          <w:i/>
          <w:color w:val="000000"/>
          <w:sz w:val="20"/>
        </w:rPr>
        <w:t>Stock Subject to this Plan; Award Limits</w:t>
      </w:r>
      <w:r>
        <w:rPr>
          <w:rFonts w:ascii="Times New Roman;Times;serif" w:hAnsi="Times New Roman;Times;serif"/>
          <w:color w:val="000000"/>
          <w:sz w:val="20"/>
        </w:rPr>
        <w:t xml:space="preserv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4.1.1.Subject to Sections 4(c) and Section 10,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4.1.1.1.the maximum aggregate number of shares of Common Stock which may be issued pursuant to Awards is 10,050,000 shares of Common Stock. Not more than 100% of such maximum aggregate number of shares may be issued pursuant to Options that are Incentive Stock Options; and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4.1.1.2.no member of the Board who is not an Employee may be granted, in any calendar year, Awards under this Plan with a grant date fair value (determined in accordance with GAAP) of greater than $500,000. Any Award granted to a Service Provider while he or she was an Employee, or while he or she was a consultant but not a member of the Board, will not count for purposes of the limitations under this Section 4(a)(ii).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after any Award is earned or exercised, the issuance or transfer of shares of Common Stock or money is deferred, any amounts equivalent to dividends or other earnings during the deferral period (including shares which may be distributed in payment of any such amounts) shall be disregarded in applying the limitation set forth above in clause (ii) of this Section 4(a). If, in connection with an acquisition of another company or all or part of the assets of another company by the Company or a Subsidiary, or in connection with a merger or other combination of another company with the Company or a Subsidiary, the Company either (A) assumes stock options or other stock incentive obligations of such other company, or (B) grants stock options or other stock incentives in substitution for stock options or other stock incentive obligations of such other company, then none of the shares of Common Stock that are issuable or transferable pursuant to such stock options or other stock incentives that are assumed or granted in substitution by the Company shall be charged against the limitations set forth in this Section 4(a).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4.1.2.Shares which may be issued pursuant to Awards may be authorized but unissued shares of Common Stock, or shares of Common Stock held in the treasury, whether acquired by the Company specifically for use under this Plan or otherwise, as the Committee may from time to time determine;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any shares acquired or held by the Company for the purposes of this Plan shall, unless and until issued to a Service Provider or other rightful holder of an Award in accordance with the terms and conditions of such Award, be and at all times remain treasury shares of the Company, irrespective of whether such shares are entered in a special account for purposes of this Plan, and shall be available for any corporate purpose.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4.1.3.The maximum aggregate number of shares set forth in Section 4(a)(i) above shall be charged only for the number of shares which are actually issued under the Plan; if any shares of Common Stock subject to an Award shall not be issued to a Service Provider and shall cease to be issuable to a Service Provider because of the termination, expiration, forfeiture, or cancellation, in whole or in part, of such Award or the settlement of such Award in cash or for any other reason, or if any such shares shall, after issuance, be reacquired by the Company because of a Service Provider’s failure to comply with the terms and conditions of an Award,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bidi w:val="0"/>
        <w:spacing w:before="200" w:after="200"/>
        <w:jc w:val="left"/>
        <w:rPr/>
      </w:pPr>
      <w:r>
        <w:rPr/>
      </w:r>
    </w:p>
    <w:p>
      <w:pPr>
        <w:pStyle w:val="TextBody"/>
        <w:bidi w:val="0"/>
        <w:jc w:val="left"/>
        <w:rPr/>
      </w:pPr>
      <w:hyperlink w:anchor="TOC">
        <w:bookmarkStart w:id="114" w:name="ny20083274x1_def14a_200-appa_pg6"/>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shares not so issued, or the shares so reacquired by the Company, as the case may be, shall no longer be charged against the limitations provided for in Section 4(a)(i) above and may again be made subject to Awards;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(x) any shares of Common Stock withheld or tendered in payment of any applicable exercise price, grant price, strike price, or taxes relating to any Award, or (y) repurchased by the Company using proceeds from exercise of an Option, shall be deemed to constitute shares issued under the Plan and shall not again be available for Awards under the Plan. For the avoidance of doubt, the gross number of Shares underlying a stock-settled Stock Appreciation Right shall reduce the limit set forth in Section 4(a)(i) above when such Stock Appreciation Right is settled in shares of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w:t>
      </w:r>
      <w:r>
        <w:rPr>
          <w:rFonts w:ascii="Times New Roman;Times;serif" w:hAnsi="Times New Roman;Times;serif"/>
          <w:b/>
          <w:i/>
          <w:color w:val="000000"/>
          <w:sz w:val="20"/>
        </w:rPr>
        <w:t>Restricted Stock and Restricted Stock Units</w:t>
      </w:r>
      <w:r>
        <w:rPr>
          <w:rFonts w:ascii="Times New Roman;Times;serif" w:hAnsi="Times New Roman;Times;serif"/>
          <w:color w:val="000000"/>
          <w:sz w:val="20"/>
        </w:rPr>
        <w:t xml:space="preserve">. Restricted Stock and Restricted Stock Units shall be subject to the following provisions and such other terms and conditions, consistent with the following provisions, as the Committee may provide in the applicable Award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5.1.1.Upon the grant of Restricted Stock, the Committee shall cause a stock certificate registered in the name of the participant to be issued or shall cause share(s) of Common Stock to be registered in the name of the participant and held in book-entry form subject to the Company’s directions and, if the Committee determines that the Restricted Stock shall be held by the Company or in escrow rather than issued to the participant pending the release of the applicable restrictions, the Committee may require the participant to additionally execute and deliver to the Company (i) an escrow agreement satisfactory to the Committee, if applicable, and (ii) the appropriate stock power (endorsed in blank) with respect to the Restricted Stock covered by such agreement. If a participant shall fail to execute and deliver (in a manner permitted by the Committee) an Award Agreement evidencing an Award of Restricted Stock and, if applicable, an escrow agreement and blank stock power within the amount of time specified by the Committee, the Award shall be null and void. Subject to the restrictions set forth in this Section 5 and the applicable Award Agreement, a participant generally shall have the rights and privileges of a stockholder as to shares of Restricted Stock, including, without limitation, the right to vote such Restricted Stock and receive dividends in respect of such Restricted Stock, subject to the limitations set forth in Section 13(a). To the extent shares of Restricted Stock are forfeited, any stock certificates issued to the participant evidencing such shares shall be returned to the Company, and all rights of the participant to such shares and as a stockholder with respect thereto shall terminate without further obligation on the part of the Company. A participant shall have no rights or privileges as a stockholder as to Restricted Stock Units.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5.1.2.Restricted Stock and Restricted Stock Units shall vest, and any applicable restrictions shall lapse, in such manner and on such date or dates or upon such event or events as determined by the Committee, including, without limitation, upon satisfaction of any continued employment or service conditions, performance conditions (which may be, without limitation, objective, subjective, based on Company-wide or individual metrics, or any combination thereof), and/or other terms and conditions specified by the Committee;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notwithstanding any such dates or events, the Committee may, in its sole discretion, accelerate the vesting of any Restricted Stock or Restricted Stock Unit or the lapsing of any applicable restrictions at any time and for any reason. Unless otherwise provided under the Plan or by the Committee, whether in an Award Agreement or otherwise, in the event of a Service Provider’s termination of employment or service for any reason prior to the time that such participant’s Restricted Stock or Restricted Stock Units, as applicable, have vested, (i) all vesting with respect to such participant’s Restricted Stock or Restricted Stock Units, as applicable, shall cease and (ii) unvested shares of Restricted Stock and unvested Restricted Stock Units, as applicable, shall be forfeited to the Company by the participant for no consideration as of the date of such termination.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5.1.3.Upon the vesting or lapsing of restrictions applicable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issue to the participant or the participant’s beneficiary, without charge, the stock certificate (or, if applicable, a notice evidencing a book-entry notation) evidencing the shares of Restricted Stock which have not then been forfeited and with respect to which such restrictions have expired (rounded down to the nearest full share).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5.1.4.Unless otherwise provided by the Committee in an Award Agreement or otherwise, upon the vesting of any outstanding Restricted Stock Units, the Company shall issue to the participant or the participant’s beneficiary, without charge, one share of Common Stock (or other securities or other property, as applicable)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bidi w:val="0"/>
        <w:spacing w:before="200" w:after="200"/>
        <w:jc w:val="left"/>
        <w:rPr/>
      </w:pPr>
      <w:r>
        <w:rPr/>
      </w:r>
    </w:p>
    <w:p>
      <w:pPr>
        <w:pStyle w:val="TextBody"/>
        <w:bidi w:val="0"/>
        <w:jc w:val="left"/>
        <w:rPr/>
      </w:pPr>
      <w:hyperlink w:anchor="TOC">
        <w:bookmarkStart w:id="115" w:name="ny20083274x1_def14a_200-appa_pg7"/>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each such outstanding Restricted Stock Unit;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Committee may, in its sole discretion, elect to (i) pay cash or part cash and part shares of Common Stock in lieu of issuing only shares of Common Stock in respect of such Restricted Stock Units or (ii) defer the issuance of shares of Common Stock (or cash or part cash and part shares of Common Stock, as the case may be) beyond the applicable vesting date if such extension would not cause adverse tax consequences under Section 409A of the Code. If a cash payment is made in lieu of issuing shares of Common Stock in respect of such Restricted Stock Units, the amount of such payment shall be equal to the Fair Market Value per share of the Common Stock as of the date on which such Restricted Stock Units vested.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5.1.5.Each certificate, if any, or book entry representing Restricted Stock awarded under the Plan, if any, shall bear a legend or book entry notation substantially in the form of the following, in addition to any other information the Company deems appropriate, until the lapse of all restrictions with respect to such shares of Common Stock: </w:t>
      </w:r>
    </w:p>
    <w:p>
      <w:pPr>
        <w:pStyle w:val="TextBody"/>
        <w:bidi w:val="0"/>
        <w:spacing w:before="120" w:after="283"/>
        <w:ind w:left="800" w:right="0" w:firstLine="400"/>
        <w:jc w:val="left"/>
        <w:rPr>
          <w:color w:val="000000"/>
        </w:rPr>
      </w:pPr>
      <w:r>
        <w:rPr>
          <w:color w:val="000000"/>
        </w:rPr>
        <w:t>“</w:t>
      </w:r>
      <w:r>
        <w:rPr>
          <w:rFonts w:ascii="Times New Roman;Times;serif" w:hAnsi="Times New Roman;Times;serif"/>
          <w:color w:val="000000"/>
          <w:sz w:val="20"/>
        </w:rPr>
        <w:t xml:space="preserve">TRANSFER OF THIS CERTIFICATE AND THE SHARES REPRESENTED HEREBY IS RESTRICTED PURSUANT TO THE TERMS OF THE ANGIODYNAMICS, INC. 2020 EQUITY INCENTIVE PLAN AND A RESTRICTED STOCK AWARD AGREEMENT BETWEEN ANGIODYNAMICS, INC. AND THE PARTICIPANT. A COPY OF SUCH PLAN AND AWARD AGREEMENT IS ON FILE AT THE PRINCIPAL EXECUTIVE OFFICES OF ANGIODYNAMICS, INC.”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6.</w:t>
      </w:r>
      <w:r>
        <w:rPr>
          <w:rFonts w:ascii="Times New Roman;Times;serif" w:hAnsi="Times New Roman;Times;serif"/>
          <w:b/>
          <w:i/>
          <w:color w:val="000000"/>
          <w:sz w:val="20"/>
        </w:rPr>
        <w:t>Options</w:t>
      </w:r>
      <w:r>
        <w:rPr>
          <w:rFonts w:ascii="Times New Roman;Times;serif" w:hAnsi="Times New Roman;Times;serif"/>
          <w:color w:val="000000"/>
          <w:sz w:val="20"/>
        </w:rPr>
        <w:t xml:space="preserve">. Options shall be subject to the following provisions and such other terms and conditions, consistent with the following provisions, as the Committee may provide in the applicable Award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6.1.1.Subject to the provisions of Section 10, the purchase price (or exercise price) per share of each Option granted under the Plan (other than substitute Awards described in Section 4(a)) shall be no less than 100% of the Fair Market Value of a share of Common Stock on the date the Option is granted;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the case of an Incentive Stock Option granted to any Employee who, at the time such Incentive Stock Option is granted, owns stock possessing more than 10% of the total combined voting power of all classes of stock of his employer corporation or of its parent or subsidiary corporation, such purchase price (or exercise price) shall be no less than 110% of the Fair Market Value of a share of Common Stock on the date the Incentive Stock Option is granted).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6.1.2.The purchase price (or exercise price) of shares subject to an Option may be paid in whole or in part (i) in money, (ii) by bank-certified, cashier’s, or personal check subject to collection, (iii) if so provided in the applicable Award Agreement and, subject to compliance with Section 402 of the Sarbanes-Oxley Act of 2002, as amended, and any other applicable law or regulation (including of any applicable securities exchanges on which the Common Stock is quoted or traded) and further subject to such terms and conditions as the Committee may impose, by delivering to the Company a properly executed exercise notice together with a copy of irrevocable instructions to a stockbroker (which may be in electronic form or through electronic procedures established by the Committee) to sell immediately some or all of the shares acquired by exercise of the option and to deliver promptly to the Company an amount of sale proceeds (or, in lieu of or pending a sale, loan proceeds) sufficient to pay the purchase price (or exercise price), or (iv) if so provided in the applicable Award Agreement and subject to such terms and conditions as may be specified therein, in shares of Common Stock which have been owned by the optionee for at least six months or which were acquired on the open market and which are surrendered to the Company actually or by attestation. Shares of Common Stock thus surrendered shall be valued at their Fair Market Value on the date of exercise.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6.1.3.Each Option may be exercisable in full at the time of grant or may become exercisable in one or more installments and at such time or times and subject to such terms and conditions, as the Committee may determine. Without limiting the foregoing, an Option may (but need not) provide by its terms that it will become exercisable in whole or in part upon the completion of specified periods of any continued employment or service conditions, performance conditions (which may be, without limitation, objective, subjective, based on Company-wide or individual metrics, or any combination thereof), and/or other terms and conditions specified by the Committee. The Committee may at any time accelerate the date on which an Option becomes exercisable, and no additional consideration need be received by the Company in exchange for such acceleration. Unless otherwise provided in the Award Agreement evidencing the Option, an Option, to the extent it becomes exercisable, may be exercised at any time in whole or in part until the expiration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bidi w:val="0"/>
        <w:spacing w:before="200" w:after="200"/>
        <w:jc w:val="left"/>
        <w:rPr/>
      </w:pPr>
      <w:r>
        <w:rPr/>
      </w:r>
    </w:p>
    <w:p>
      <w:pPr>
        <w:pStyle w:val="TextBody"/>
        <w:bidi w:val="0"/>
        <w:jc w:val="left"/>
        <w:rPr/>
      </w:pPr>
      <w:hyperlink w:anchor="TOC">
        <w:bookmarkStart w:id="116" w:name="ny20083274x1_def14a_200-appa_pg8"/>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termination of the Option. In addition, unless otherwise provided under the Plan or by the Committee, whether in an Award Agreement or otherwise, in the event of a Service Provider’s termination of employment or service for any reason prior to the time that such participant’s Options have vested, (i) all vesting with respect to such participant’s Options shall cease and (ii) unvested Options shall be forfeited to the Company by the participant for no consideration as of the date of such termination.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6.1.4.Subject to Section 13(b) below, each Option shall be exercisable during the life of the optionee only by him or his guardian or legal representative, and after death only by his Beneficiary. Notwithstanding any other provision of this Plan, (i) no Option shall be exercisable after the tenth anniversary of the date on which the Option was granted;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if a Nonqualified Stock Option would expire at a time when trading in the shares of Common Stock is prohibited by the Company’s insider trading policy (or Company-imposed “blackout period”), then the term of such Nonqualified Stock Option shall be automatically extended until the 30th day following the expiration of such prohibition, and (ii) no Incentive Stock Option which is granted to any optionee who, at the time such Option is granted, owns stock possessing more than 10% of the total combined voting power of all classes of stock of his employer corporation or of its parent or subsidiary corporation, shall be exercisable after the expiration of five years from the date such Option is granted. If an Option is granted for a term of less than ten years, the Committee may, at any time prior to the expiration of the Option, extend its term for a period ending not later than on the tenth anniversary of the date on which the Option was granted, and no additional consideration need be received by the Company in exchange for such extension. Subject to the foregoing provisions of this Section 6(d), the Committee may (but need not) provide for an Option to be exercisable after termination of the Service Provider’s employment or other service for any period and subject to any terms and conditions that the Committee may determine.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6.1.5.An Option may, but need not, be granted as an Incentive Stock Option;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aggregate Fair Market Value (determined as of the time the option is granted) of the stock with respect to which Incentive Stock Options may be exercisable for the first time by any Employee during any calendar year (under all plans, including this Plan, of his employer corporation and its parent and subsidiary corporations) shall not exceed $100,000 unless the Code is amended to allow a higher dollar amount. All Options granted under the Plan shall be Nonqualified Stock Options unless the applicable Award Agreement expressly states that the Option is intended to be an Incentive Stock Option.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6.1.6.Shares purchased pursuant to the exercise of an Option shall be issued to the person exercising the Option as soon as practicable after the Option is properly exercised, subject to compliance with all applicable law and regulation (including of any applicable securities exchanges on which the Common Stock is quoted or traded).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6.1.7.The Committee shall not have the authority to reduce the exercise price of outstanding Options, except as permitted by Section 10 below (relating to adjustments for changes in capitalization and similar adjustments).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6.1.8.No option shall be exercisable unless and until the Company (i) obtains the approval of all regulatory bodies whose approval the Company may deem necessary or desirable, and (ii) complies with all legal requirements deemed applicable by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6.1.9.An Option shall be considered exercised if and when written notice, signed by the person exercising the Option and stating the number of shares with respect to which the Option is being exercised, is received by the designated representative of the Company on a properly completed form approved for this purpose by the Committee (which may be in electronic form or through electronic procedures established by the Committee), accompanied by full payment of the Option exercise price in one or more of the forms authorized in the Award Agreement evidencing such Option and described in Section 6(b) above for the number of shares to be purchased. No Option may at any time be exercised with respect to a fractional share unless the Award Agreement evidencing such Option expressly provides otherwise.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6.1.10.Each optionee awarded an Incentive Stock Option under the Plan shall notify the Company in writing immediately after the date the optionee makes a disqualifying disposition of any share of Common Stock acquired pursuant to the exercise of such Incentive Stock Option. A disqualifying disposition is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bidi w:val="0"/>
        <w:spacing w:before="200" w:after="200"/>
        <w:jc w:val="left"/>
        <w:rPr/>
      </w:pPr>
      <w:r>
        <w:rPr/>
      </w:r>
    </w:p>
    <w:p>
      <w:pPr>
        <w:pStyle w:val="TextBody"/>
        <w:bidi w:val="0"/>
        <w:jc w:val="left"/>
        <w:rPr/>
      </w:pPr>
      <w:hyperlink w:anchor="TOC">
        <w:bookmarkStart w:id="117" w:name="ny20083274x1_def14a_200-appa_pg9"/>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disposition (including, without limitation, any sale) of such share of Common Stock before the later of (i) the date that is two years after the grant date of the Incentive Stock Option, or (ii) the date that is one year after the date of exercise of the Incentive Stock Option. The Company may, if determined by the Committee and in accordance with procedures established by the Committee, retain possession, as agent for the applicable optionee, of any share of Common Stock acquired pursuant to the exercise of an Incentive Stock Option until the end of the period described in the preceding sentence, subject to complying with any instructions from such optionee as to the sale of such share of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w:t>
      </w:r>
      <w:r>
        <w:rPr>
          <w:rFonts w:ascii="Times New Roman;Times;serif" w:hAnsi="Times New Roman;Times;serif"/>
          <w:b/>
          <w:i/>
          <w:color w:val="000000"/>
          <w:sz w:val="20"/>
        </w:rPr>
        <w:t>Stock Appreciation Rights</w:t>
      </w:r>
      <w:r>
        <w:rPr>
          <w:rFonts w:ascii="Times New Roman;Times;serif" w:hAnsi="Times New Roman;Times;serif"/>
          <w:color w:val="000000"/>
          <w:sz w:val="20"/>
        </w:rPr>
        <w:t xml:space="preserve">. Stock Appreciation Rights shall be subject to the following provisions and such other terms and conditions, consistent with the following provisions, as the Committee may provide in the applicable Award Agreement: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7.1.1.Stock Appreciation Rights that are granted under the Plan may be linked to all or any part of an Option (“Linked Stock Appreciation Rights”), or may be granted without any linkage to an Option (“Free-Standing Stock Appreciation Rights”). Linked Stock Appreciation Rights may be granted on the date of grant of the related Option or on any date thereafter, as the Committee may determine. The strike price (or exercise price) of each Stock Appreciation Right granted under the Plan (other than substitute Awards described in Section 4(a)) shall be no less than 100% of the Fair Market Value of a share of Common Stock on the date such Stock Appreciation Right is granted. In the case of Linked Stock Appreciation Rights that are granted as an alternative to the related Option, the strike price (or exercise price) shall be the price at which shares may be purchased under the related Option.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7.1.2.Linked Stock Appreciation Rights may be granted either as an alternative or a supplement to the Option to which they are linked (the “related” Option). Linked Stock Appreciation Rights that are granted as an alternative to the related Option may only be exercised when the related Option is exercisable, and at no time may a number of such Linked Stock Appreciation Rights be exercised that exceeds the number of shares with respect to which the related Option is then exercisable. Upon exercise of Linked Stock Appreciation Rights that are granted as an alternative to an Option, the holder shall be entitled to receive the amount determined pursuant to Section 7(e) below. Exercise of each such Linked Stock Appreciation Right shall cancel the related Option with respect to one share of Common Stock purchasable under the Option. Linked Stock Appreciation Rights that are granted as a supplement to the related Option shall entitle the holder to receive the amount determined pursuant to Section 7(e) below if and when the holder purchases shares under the related Option or at any subsequent time specified in the Award Agreement evidencing such Stock Appreciation Rights.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7.1.3.Stock Appreciation Rights may be exercisable in full at the time of grant or may become exercisable in one or more installments and at such time or times and subject to such terms and conditions, as the Committee may determine. Without limiting the foregoing, Stock Appreciation Rights may (but need not) provide by their terms that they will become exercisable in whole or in part upon the completion of specified periods of any continued employment or service conditions, performance conditions (which may be, without limitation, objective, subjective, based on Company-wide or individual metrics, or any combination thereof), and/or other terms and conditions specified by the Committee. The Committee may at any time accelerate the date on which Stock Appreciation Rights become exercisable, and no additional consideration need be received by the Company in exchange for such acceleration. Unless otherwise provided in the Plan or the Award Agreement evidencing the Stock Appreciation Rights, Stock Appreciation Rights, to the extent they become exercisable, may be exercised at any time in whole or in part until they expire or terminate. In addition, unless otherwise provided under the Plan or by the Committee, whether in an Award Agreement or otherwise, in the event of a Service Provider’s termination of employment or service for any reason prior to the time that such participant’s Stock Appreciation Rights have vested, (i) all vesting with respect to such participant’s Stock Appreciation Rights shall cease and (ii) unvested Stock Appreciation Rights shall be forfeited to the Company by the participant for no consideration as of the date of such termination.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7.1.4.No Free-Standing Stock Appreciation Rights or Linked Stock Appreciation Rights that are granted as a supplement to the related Option shall be exercisable after the tenth anniversary of the date on which the Stock Appreciation Rights were granted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if such Stock Appreciation Right would expire at a time when trading in the shares of Common Stock is prohibited by the Company’s insider trading policy (or Company-imposed “blackout period”), then the term of such Stock Appreciation Right shall be automatically extended until the 30th day following the expiration of such prohibition) and no Linked Stock Appreciation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bidi w:val="0"/>
        <w:spacing w:before="200" w:after="200"/>
        <w:jc w:val="left"/>
        <w:rPr/>
      </w:pPr>
      <w:r>
        <w:rPr/>
      </w:r>
    </w:p>
    <w:p>
      <w:pPr>
        <w:pStyle w:val="TextBody"/>
        <w:bidi w:val="0"/>
        <w:jc w:val="left"/>
        <w:rPr/>
      </w:pPr>
      <w:hyperlink w:anchor="TOC">
        <w:bookmarkStart w:id="118" w:name="ny20083274x1_def14a_200-appa_pg10"/>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Rights that are granted as an alternative to the related Option shall be exercisable after the related Option ceases to be exercisable. If the Committee grants Stock Appreciation Rights for a lesser term than that permitted by the preceding sentence, the Committee may, at any time prior to expiration of the Stock Appreciation Rights, extend their term to the maximum term permitted by the preceding sentence, and no additional consideration need be received by the Company in exchange for such extension. Subject to the foregoing provisions of this Section 7(d), the Committee may (but need not) provide for Stock Appreciation Rights to be exercisable after termination of the Service Provider’s employment or other service for any period and subject to any terms and conditions that the Committee may determine.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7.1.5.Upon exercise of Stock Appreciation Rights, the holder thereof shall be entitled to receive cash, a number of shares of Common Stock that have a Fair Market Value on the date of exercise of such Stock Appreciation Rights, other securities, or other property, or a combination of cash, Common Stock, other securities, or other property valued at Fair Market Value on such date, as the Committee may determine, equal to the amount by which the Fair Market Value of a share of Common Stock on the date of such exercise exceeds the strike price (or exercise price) of the Stock Appreciation Rights, multiplied by the number of Stock Appreciation Rights exercised;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no event shall a fractional share be issued unless the Award Agreement evidencing such Stock Appreciation Rights expressly provides otherwise.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7.1.6.Subject to Section 13(b) below, Stock Appreciation Rights shall be exercisable during the life of the Service Provider only by him or his guardian or legal representative, and after death only by his Beneficiary.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7.1.7.The Committee shall not have the authority to reduce the exercise price of outstanding Stock Appreciation Rights, except as permitted by Section 10 below (relating to adjustments for changes in capitalization and similar adjustments).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8.</w:t>
      </w:r>
      <w:r>
        <w:rPr>
          <w:rFonts w:ascii="Times New Roman;Times;serif" w:hAnsi="Times New Roman;Times;serif"/>
          <w:b/>
          <w:i/>
          <w:color w:val="000000"/>
          <w:sz w:val="20"/>
        </w:rPr>
        <w:t>Other Stock-Based Awards</w:t>
      </w:r>
      <w:r>
        <w:rPr>
          <w:rFonts w:ascii="Times New Roman;Times;serif" w:hAnsi="Times New Roman;Times;serif"/>
          <w:color w:val="000000"/>
          <w:sz w:val="20"/>
        </w:rPr>
        <w:t xml:space="preserve">. The Committee may grant Other Stock-Based Awards under the Plan to Service Providers, alone or in tandem with other Awards, in such amounts and dependent on such conditions as the Committee shall from time to time in its sole discretion determine, including, without limitation, the completion of specified periods of any continued employment or service conditions, performance conditions (which may be, without limitation, objective, subjective, based on Company-wide or individual metrics, or any combination thereof), and/or other terms and conditions specified by the Committee. Each Other Stock-Based Award granted under the Plan shall be evidenced by an Award Agreement and shall be subject to such conditions not inconsistent with the Plan as may be reflected in the applicable Award Agreement.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9.</w:t>
      </w:r>
      <w:r>
        <w:rPr>
          <w:rFonts w:ascii="Times New Roman;Times;serif" w:hAnsi="Times New Roman;Times;serif"/>
          <w:b/>
          <w:i/>
          <w:color w:val="000000"/>
          <w:sz w:val="20"/>
        </w:rPr>
        <w:t>Certain Change in Control, Termination of Service, Death and Disability Provisions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9.1.</w:t>
      </w:r>
      <w:r>
        <w:rPr>
          <w:rFonts w:ascii="Times New Roman;Times;serif" w:hAnsi="Times New Roman;Times;serif"/>
          <w:b/>
          <w:color w:val="000000"/>
          <w:sz w:val="20"/>
        </w:rPr>
        <w:t>Default Provisions</w:t>
      </w:r>
      <w:r>
        <w:rPr>
          <w:rFonts w:ascii="Times New Roman;Times;serif" w:hAnsi="Times New Roman;Times;serif"/>
          <w:color w:val="000000"/>
          <w:sz w:val="20"/>
        </w:rPr>
        <w:t xml:space="preserve">. Except as may otherwise be provided in a then-effective written agreement (including an Award Agreement) between a Service Provider and the Company, upon a Change in Control, (i) if another award meeting the requirements of Section 9.3 (a “Replacement Award”) of the Plan is provided to an applicable Service Provider to replace an outstanding Award (the “Replaced Award”), then the provisions of Section 9.3 of the Plan shall apply to such Replacement Award, and (ii) if a Service Provider’s outstanding Award is not so replaced with a Replacement Award, then such outstanding Award shall instead be subject to the provisions of Section 9.2 of the Plan.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9.2.</w:t>
      </w:r>
      <w:r>
        <w:rPr>
          <w:rFonts w:ascii="Times New Roman;Times;serif" w:hAnsi="Times New Roman;Times;serif"/>
          <w:b/>
          <w:color w:val="000000"/>
          <w:sz w:val="20"/>
        </w:rPr>
        <w:t>Treatment of Outstanding Awards Not Replaced</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9.2.1.Upon a Change in Control, a Service Provider’s then-outstanding Awards, other than Options and Stock Appreciation Rights, that are not subject to Section 9.3 and are not vested, shall become fully vested (with any performance conditions, if applicable, deemed satisfied at the “target” level) and shall be settled in cash, Shares (or securities of the successor entity), or a combination thereof, as determined by the Committee, within thirty (30) days following such Change in Control (except to the extent that settlement of the Award must be made pursuant to its original schedule in order to comply with Section 409A of the Code).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9.2.2.Upon a Change in Control, a Service Provider’s then-outstanding Options and Stock Appreciation Rights that are not subject to Section 9.3 and are not vested shall immediately become fully vested and exercisable over the exercise period set forth in the applicable Award Agreement (with any performance conditions, if applicable, deemed satisfied at the “target” level). Notwithstanding the immediately preceding sentence, the Committee may elect to cancel such outstanding Options or Stock Appreciation Rights and pay the Service Provider an amount of cash, Shares (or securities of the successor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bidi w:val="0"/>
        <w:spacing w:before="200" w:after="200"/>
        <w:jc w:val="left"/>
        <w:rPr/>
      </w:pPr>
      <w:r>
        <w:rPr/>
      </w:r>
    </w:p>
    <w:p>
      <w:pPr>
        <w:pStyle w:val="TextBody"/>
        <w:bidi w:val="0"/>
        <w:jc w:val="left"/>
        <w:rPr/>
      </w:pPr>
      <w:hyperlink w:anchor="TOC">
        <w:bookmarkStart w:id="119" w:name="ny20083274x1_def14a_200-appa_pg11"/>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entity), or a combination thereof, as determined by the Committee (less normal withholding taxes), within thirty (30) days following such Change in Control (except to the extent that settlement of the Award must be made pursuant to its original schedule in order to comply with Section 409A of the Code), with a value (as determined by the Committee) equal to the excess of (i) the value, as determined by the Committee, of the consideration (including cash) received by the holder of a Share as a result of the Change in Control (or if the Company’s shareholders do not receive any consideration as a result of the Change in Control, the Fair Market Value of a Share on the day immediately prior to the Change in Control) over (ii) the exercise price of such Options or the strike price (or exercise price) of such Stock Appreciation Rights, multiplied by the number of Shares subject to each such Award in accordance with Section 409A of the Code, to the extent applicable. No payment shall be made to a Service Provider for any Option or Stock Appreciation Right if the exercise price or strike price for such Option or Stock Appreciation Right, respectively, exceeds the value, as determined by the Committee, of the consideration (including cash) received by the holder of a Share as a result of the Change in Control (or if the Company’s shareholders do not receive any consideration as a result of the Change in Control, the Fair Market Value of a Share on the day immediately prior to the Change in Control).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9.3.</w:t>
      </w:r>
      <w:r>
        <w:rPr>
          <w:rFonts w:ascii="Times New Roman;Times;serif" w:hAnsi="Times New Roman;Times;serif"/>
          <w:b/>
          <w:color w:val="000000"/>
          <w:sz w:val="20"/>
        </w:rPr>
        <w:t>Treatment of Replaced Awards</w:t>
      </w:r>
      <w:r>
        <w:rPr>
          <w:rFonts w:ascii="Times New Roman;Times;serif" w:hAnsi="Times New Roman;Times;serif"/>
          <w:color w:val="000000"/>
          <w:sz w:val="20"/>
        </w:rPr>
        <w:t xml:space="preserv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9.3.1.Another award provided to a Service Provider to replace an Award under this Plan shall meet the conditions of this Section 9.3 (and hence qualify as a Replacement Award) if: (i) it is of the same type as the Replaced Award (or, if it is of a different type as the Replaced Award (such as a deferred cash equivalent award) and, the Committee, as constituted immediately prior to the Change in Control, finds such type acceptable); (ii) it has a value at least equal to the value of the Replaced Award; (iii) it relates to publicly traded equity securities listed on a U.S. national securities exchange of the Company or its successor in the Change in Control or another entity that is affiliated with the Company or its successor following the Change in Control, except in the case of a Replacement Award granted in the form of a deferred cash equivalent award; (iv) its terms and conditions comply with Section 9.3(b); and (v) its other terms and conditions are not less favorable to the Service Provider than the terms and conditions of the Replaced Award (including the provisions that would apply in the event of a subsequent Change in Control). Without limiting the generality of the foregoing, the Replacement Award may take the form of a continuation of the Replaced Award if the requirements of the preceding sentence are satisfied. The determination of whether the conditions of this Section 9.3(a) are satisfied shall be made by the Committee, as constituted immediately before the Change in Control, in its sole discretion. Without limiting the generality of the foregoing, the Committee may determine the value of Awards and Replacement Awards that are Options or Stock Appreciation Rights by reference to either their intrinsic value or their fair value in each case in a manner that is intended to comply with Section 409A of the Code. </w:t>
      </w:r>
    </w:p>
    <w:p>
      <w:pPr>
        <w:pStyle w:val="TextBody"/>
        <w:bidi w:val="0"/>
        <w:spacing w:before="12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9.3.2.If at any time within three (3) months preceding, or at any time following, a Change in Control, a Service Provider incurs an involuntary termination of service without Cause or a voluntary termination of service for Good Reason, then all Replacement Awards held by the Participant shall become fully vested and free of restrictions and, (i) in the case of Replacement Awards in the form of stock options or stock appreciation rights shall be fully exercisable for the full remaining term of the stock options or stock appreciation rights, as applicable (calculated without regard to such termination of service), (ii) any performance conditions applicable to such Replacement Awards shall be deemed to be satisfied at the “target” level, and (iii) any such Replacement Awards (other than stock options or stock appreciation rights) shall be paid or settled upon or within thirty (30) days of such termination of service. Notwithstanding the foregoing, with respect to any Replacement Award that is subject to Section 409A of the Code, payment or settlement of such Replacement Award shall be made pursuant to its original schedule if and to the extent necessary to comply with Section 409A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10.</w:t>
      </w:r>
      <w:r>
        <w:rPr>
          <w:rFonts w:ascii="Times New Roman;Times;serif" w:hAnsi="Times New Roman;Times;serif"/>
          <w:b/>
          <w:i/>
          <w:color w:val="000000"/>
          <w:sz w:val="20"/>
        </w:rPr>
        <w:t>Adjustment Provisions</w:t>
      </w:r>
      <w:r>
        <w:rPr>
          <w:rFonts w:ascii="Times New Roman;Times;serif" w:hAnsi="Times New Roman;Times;serif"/>
          <w:color w:val="000000"/>
          <w:sz w:val="20"/>
        </w:rPr>
        <w:t xml:space="preserve">. In the event that any recapitalization, or reclassification, reorganization, split-up, stock split, reverse split, repurchase, or consolidation of shares of Common Stock shall be effected, or the outstanding shares of Common Stock shall be, in connection with a merger or consolidation of the Company or a sale by the Company of all or a part of its assets, exchanged for a different number or class of shares of stock or other securities or property of the Company or any other entity or person, or a spin-off or split-off or a record date for determination of holders of Common Stock entitled to receive a dividend or other distribution payable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bidi w:val="0"/>
        <w:spacing w:before="200" w:after="200"/>
        <w:jc w:val="left"/>
        <w:rPr/>
      </w:pPr>
      <w:r>
        <w:rPr/>
      </w:r>
    </w:p>
    <w:p>
      <w:pPr>
        <w:pStyle w:val="TextBody"/>
        <w:bidi w:val="0"/>
        <w:jc w:val="left"/>
        <w:rPr/>
      </w:pPr>
      <w:hyperlink w:anchor="TOC">
        <w:bookmarkStart w:id="120" w:name="ny20083274x1_def14a_200-appa_pg12"/>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Common Stock or other property (other than normal cash dividends), or other similar corporate transaction affecting the Common Stock (including a Change in Control) shall occur, or unusual or nonrecurring events occur affecting the Company, including changes in applicable rules, rulings, regulations, or other requirements, that the Committee determines, in its sole discretion, could result in dilution or enlargement of the rights intended to be granted to, or available for, participants in the Plan, the Committee shall make such proportionate substitution or adjustment, if any, as the Committee deems equitable, to any or all of: (i) the maximum aggregate number and the class of shares or other securities or property that may be issued in accordance with Section 4(a)(i) above pursuant to Awards thereafter granted, (ii) any other limit applicable under the Plan with respect to the number of Awards which may be granted hereunder, (iii) the number and the class of shares or other securities or property that may be issued or transferred under outstanding Awards, (iv) the purchase price, exercise price, or strike price of Awards, and (v) any performance conditions or metrics or other terms and conditions applicable to any outstanding Awards;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with respect to Incentive Stock Options any such adjustments shall comply with Sections 422 and 424 of the Code;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in the case of any “equity restructuring” (within the meaning of the Financial Accounting Standards Board Accounting Standards Codification Topic 718 (or any successor pronouncement thereto)), the Committee shall make an equitable or proportionate adjustment to outstanding Awards to reflect such equity restructuring. Any adjustment under this Section 10 shall be conclusive and binding for all purposes, and any such adjustment may provide for the elimination of any fractional share of Common Stock that might otherwise become subject to an Award.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11.</w:t>
      </w:r>
      <w:r>
        <w:rPr>
          <w:rFonts w:ascii="Times New Roman;Times;serif" w:hAnsi="Times New Roman;Times;serif"/>
          <w:b/>
          <w:i/>
          <w:color w:val="000000"/>
          <w:sz w:val="20"/>
        </w:rPr>
        <w:t>Effective Date and Duration of Plan</w:t>
      </w:r>
      <w:r>
        <w:rPr>
          <w:rFonts w:ascii="Times New Roman;Times;serif" w:hAnsi="Times New Roman;Times;serif"/>
          <w:color w:val="000000"/>
          <w:sz w:val="20"/>
        </w:rPr>
        <w:t xml:space="preserve">. The Plan shall be effective on the date on which the shareholders of the Company approve it either (a) at a duly held shareholders’ meeting, or (b) by the written consent of the holders of a majority of the securities of the Company entitled to vote, in accordance with any applicable provisions of the Delaware General Corporation Law. If the Plan is not so approved by shareholders, the Plan shall be null, void, and of no force or effect. If so approved, Awards may be granted for a period of ten years following the date of such approval by shareholders, but not thereafter. In no event shall an Incentive Stock Option be granted under the Plan more than ten years following the date the Plan is adopted by the Board, or the date the Plan is approved by the shareholders of the Company, whichever is earlier.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12.</w:t>
      </w:r>
      <w:r>
        <w:rPr>
          <w:rFonts w:ascii="Times New Roman;Times;serif" w:hAnsi="Times New Roman;Times;serif"/>
          <w:b/>
          <w:i/>
          <w:color w:val="000000"/>
          <w:sz w:val="20"/>
        </w:rPr>
        <w:t>Administration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12.1.1.The Plan shall be administered by a committee of the Board as appointed from time to time by the Board;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notwithstanding anything to the contrary contained in the Plan, the Board may exercise all authority granted to the Committee under the Plan (and when so exercising, all references to the “Committee” hereunder shall also be deemed to refer to the Board). Any such actions by the Board or the applicable committee thereof shall be subject to the applicable rules of the securities exchange or inter-dealer quotation system on which the Common Stock is listed or quoted.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12.1.2.The Committee may establish such rules and regulations, not inconsistent with the provisions of the Plan, as it may deem necessary for the proper administration of the Plan, and may amend or revoke any rule or regulation so established. The Committee shall, subject to the provisions of the Plan, have full power and discretion to interpret, administer, and construe the Plan and any Award Agreement issued hereunder and full and final authority to make all determinations and decisions thereunder, including, without limitation, the authority and discretion to (i) determine the persons who are Service Providers and select the Service Providers who are to participate in the Plan, (ii) determine when Awards shall be granted, (iii) determine the number of shares and/or amount of money to be made subject to each Award, (iv) determine the type or types of Awards to grant, (v) determine the terms and conditions of each Award, including the purchase price, exercise price, or strike price, in the case of Options or Stock Appreciation Rights, and whether specific Awards shall be linked to one another and if so whether they shall be alternative to or supplement one another, (vi) determine the vesting and exercisability terms of any Award granted under the Plan, which may include, without limitation, satisfaction or completion of specified periods of any continued employment or service or performance conditions (which may be, without limitation, objective, subjective, based on Company-wide or individual metrics, or any combination thereof), (vii) determine whether, to what extent, and under what circumstances Awards may be settled in, or exercised for, cash, shares of Common Stock, other securities, other Awards, or other property, or canceled, forfeited, or suspended and the method or methods by which Awards may be settled, exercised, canceled, forfeited, or suspended; (viii) determine whether, to what extent, and under what circumstances the delivery of cash, shares of Common Stock, other securities, other Awards, or other property and other amounts payable with respect to an Award shall be deferred either automatically or at the election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bidi w:val="0"/>
        <w:spacing w:before="200" w:after="200"/>
        <w:jc w:val="left"/>
        <w:rPr/>
      </w:pPr>
      <w:r>
        <w:rPr/>
      </w:r>
    </w:p>
    <w:p>
      <w:pPr>
        <w:pStyle w:val="TextBody"/>
        <w:bidi w:val="0"/>
        <w:jc w:val="left"/>
        <w:rPr/>
      </w:pPr>
      <w:hyperlink w:anchor="TOC">
        <w:bookmarkStart w:id="121" w:name="ny20083274x1_def14a_200-appa_pg13"/>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participant or of the Committee; (ix) interpret, administer, reconcile any inconsistency in, correct any defect in, and/or supply any omission in the Plan and any Award Agreement or other instrument or agreement relating to, or Award granted under, the Plan, and (x) make any adjustments or determinations pursuant to Sections 9 and 10 of the Plan. The interpretation by the Committee of the terms and provisions of the Plan and any Award Agreement or other instrument issued thereunder, and its administration thereof, and all action taken by the Committee, shall be final, binding, and conclusive on the Company, its shareholders, Subsidiaries, all participants, and Service Providers, and upon their respective Beneficiaries, successors, and assigns, and upon all other persons claiming under or through any of them. Except to the extent prohibited by applicable law or the applicable rules and regulations of any securities exchange or inter-dealer quotation system on which the securities of the Company are listed or traded,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12.1.3.No member of the Board, the Committee, or any employee or agent of any member of the Company or its Subsidiaries (each such Person, an “Indemnifiable Person”) shall be liable for any action taken or omitted to be taken or any determination made with respect to the Plan or any Award hereunder (unless constituting fraud or a willful criminal act or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or determination made with respect to the Plan or any Award hereunder and against and from any and all amounts paid by such Indemnifiable Person with the Company’s approval,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omissions, or determinations of such Indemnifiable Person giving rise to the indemnification claim resulted from such Indemnifiable Person’s fraud or willful criminal act or omission or that such right of indemnification is otherwise prohibited by law or by the organizational documents of the Company or any of its Subsidiaries. The foregoing right of indemnification shall not be exclusive of or otherwise supersede any other rights of indemnification to which such Indemnifiable Persons may be entitled under the organizational documents of the Company or its Subsidiaries, as a matter of law, under an individual indemnification agreement or contract, or otherwise, or any other power that the Company may have to indemnify such Indemnifiable Persons or hold such Indemnifiable Persons harmless.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13.</w:t>
      </w:r>
      <w:r>
        <w:rPr>
          <w:rFonts w:ascii="Times New Roman;Times;serif" w:hAnsi="Times New Roman;Times;serif"/>
          <w:b/>
          <w:i/>
          <w:color w:val="000000"/>
          <w:sz w:val="20"/>
        </w:rPr>
        <w:t>General Provisions</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13.1.1.The Committee may, in its sole discretion, provide that an Award may accrue dividends, dividend equivalents, or similar payments, payable in cash, shares of Common Stock, other securities, other Awards, or other property, on a current or deferred basis, on such terms and conditions as may be determined by the Committee in its sole discretion, including, without limitation, payment directly to the holder of such Award, withholding of such amounts by the Company subject to vesting of the Award or reinvestment in additional shares of Common Stock, Restricted Stock, or other Awards. Without limiting the foregoing, any dividend otherwise payable in respect of any share of Restricted Stock that remains subject to vesting conditions at the time of payment of such dividend shall be retained by the Company, remain subject to the same vesting conditions as the share of Restricted Stock to which the dividend relates, and shall be delivered (without interest) to the participant within 15 days following the date on which such restrictions on such Restricted Stock lapse (and the right to any such accumulated dividends shall be forfeited upon the forfeiture of the Restricted Stock to which such dividends relate). To the extent provided in an Award Agreement, the holder of an outstanding Award (other than Restricted Stock) shall be entitled to be credited with dividend equivalent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bidi w:val="0"/>
        <w:spacing w:before="200" w:after="200"/>
        <w:jc w:val="left"/>
        <w:rPr/>
      </w:pPr>
      <w:r>
        <w:rPr/>
      </w:r>
    </w:p>
    <w:p>
      <w:pPr>
        <w:pStyle w:val="TextBody"/>
        <w:bidi w:val="0"/>
        <w:jc w:val="left"/>
        <w:rPr/>
      </w:pPr>
      <w:hyperlink w:anchor="TOC">
        <w:bookmarkStart w:id="122" w:name="ny20083274x1_def14a_200-appa_pg14"/>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payments (upon the payment by the Company of dividends on shares of Common Stock) either in cash or, in the sole discretion of the Committee, in shares of Common Stock having a Fair Market Value equal to the amount of such dividends (and interest may, in the sole discretion of the Committee, be credited on the amount of cash dividend equivalents at a rate and subject to such terms as determined by the Committee), which accumulated dividend equivalents (and interest thereon, if applicable) shall be payable at the same time as the underlying Award is settled following the date on which such Award vests (or at the time required to comply with Section 409A of the Code), and if such Award is forfeited, the participant shall have no right to such dividend equivalent payments (or interest thereon, if applicable).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13.1.2.No Award shall be transferable by the Service Provider or other rightful holder of such Award other than by will or the laws of descent and distribution or to a Beneficiary or as expressly permitted by the Committee.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13.1.3.Nothing in this Plan or in any Award Agreement or other instrument executed pursuant hereto shall confer upon any person any right to continue in the employment or other service of the Company or a Subsidiary, or shall affect the right of the Company or a Subsidiary to terminate the employment or other service of any person at any time with or without cause.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13.1.4.No shares of Common Stock shall be issued or transferred pursuant to an Award unless and until all requirements of applicable law or regulation (including of any applicable securities exchanges on which the Common Stock is quoted or traded) applicable to the issuance or transfer of such shares have been satisfied. Any such issuance or transfer shall be contingent upon the person acquiring the shares giving the Company any assurances the Company may deem necessary or desirable to assure compliance with all applicable legal requirements.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13.1.5.No person (individually or as a member of a group) and no Beneficiary or other person claiming under or through him, shall have any right, title, or interest in or to any shares of Common Stock (i) allocated, or (ii) reserved for the purposes of this Plan, or (iii) subject to any Award, except as to such shares of Common Stock, if any, as shall have been issued to him.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13.1.6.The Company and its Subsidiaries may make such provisions as they may deem appropriate for the withholding of any taxes which they determine they are required to withhold in connection with any Award. Without limiting the foregoing, the Committee may, subject to such terms and conditions as it may impose, permit or require any tax obligation arising in connection with any Award or the grant, exercise, vesting, distribution, or payment of any Award, up to the maximum applicable federal, state, and local withholding, income, employment, other applicable taxes, including payroll taxes, to be satisfied in whole or in part, with or without the consent of the Service Provider or other rightful holder of the Award, by having the Company withhold all or any part of the shares of Common Stock that vest or would otherwise be issued or distributed at such time. Any shares so withheld shall be valued at their Fair Market Value on the date of such withholding.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13.1.7.Notwithstanding any provision of the Plan to the contrary, it is intended that the provisions of the Plan comply with (or are otherwise exempt from) Section </w:t>
      </w:r>
      <w:r>
        <w:rPr>
          <w:rFonts w:ascii="Times New Roman;Times;serif" w:hAnsi="Times New Roman;Times;serif"/>
          <w:color w:val="000000"/>
          <w:sz w:val="20"/>
          <w:u w:val="single"/>
        </w:rPr>
        <w:t>409</w:t>
      </w:r>
      <w:r>
        <w:rPr>
          <w:rFonts w:ascii="Times New Roman;Times;serif" w:hAnsi="Times New Roman;Times;serif"/>
          <w:color w:val="000000"/>
          <w:sz w:val="20"/>
        </w:rPr>
        <w:t xml:space="preserve">A of the Code, and all provisions of the Plan shall be construed and interpreted in a manner consistent with the requirements for avoiding taxes or penalties under Section 409A of the Code. Each participant in the Plan is solely responsible and liable for the satisfaction of all taxes and penalties that may be imposed on or in respect of such participant in connection with the Plan (including any taxes and penalties under Section 409A of the Code), and neither the Company nor any of its Subsidiaries shall have any obligation to indemnify or otherwise hold such participant (or any beneficiary) harmless from any or all of such taxes or penalties. With respect to any Award that is considered “deferred compensation” subject to Section 409A of the Code, references in the Plan or any Award Agreement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a separate payment. Notwithstanding anything in the Plan to the contrary, if a participant is a “specified employee” within the meaning of Section 409A(a)(2)(B)(i) of the Code, no payments in respect of any Awards that are “deferred compensation” subject to Section 409A of the Code and which would otherwise be payable upon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bidi w:val="0"/>
        <w:spacing w:before="200" w:after="200"/>
        <w:jc w:val="left"/>
        <w:rPr/>
      </w:pPr>
      <w:r>
        <w:rPr/>
      </w:r>
    </w:p>
    <w:p>
      <w:pPr>
        <w:pStyle w:val="TextBody"/>
        <w:bidi w:val="0"/>
        <w:jc w:val="left"/>
        <w:rPr/>
      </w:pPr>
      <w:hyperlink w:anchor="TOC">
        <w:bookmarkStart w:id="123" w:name="ny20083274x1_def14a_200-appa_pg15"/>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participant’s “separation from service” (as defined in Section 409A of the Code) shall be made to such participant prior to the date that is six months after the date of such participant’s “separation from service” or, if earlier, the date of the participant’s death. Following any applicable six-month delay, all such delayed payments will be paid in a single lump sum (without interest) on the earliest date permitted under Section 409A of the Code that is also a business day.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13.1.8.Nothing in this Plan is intended to be a substitute for, or shall preclude or limit the establishment or continuation of, any other plan, practice, or arrangement for the payment of compensation or fringe benefits to directors, officers, employees, consultants, or Service Providers generally, or to any class or group of such persons, which the Company or any Subsidiary now has or may hereafter lawfully put into effect, including, without limitation, any incentive compensation, retirement, pension, group insurance, stock purchase, stock bonus, or stock option plan. A Service Provider may be granted an Award whether or not he is eligible to receive similar or dissimilar incentive compensation under any other plan or arrangement of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13.1.9.The Company’s obligation to issue shares of Common Stock or to pay money in respect of any Award shall be subject to the condition that such issuance or payment would not impair the Company’s capital or constitute a breach of or cause the Company to be in violation of any covenant, warranty, or representation in any credit agreement to which the Company or its Subsidiaries are a party.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13.1.10.By accepting any benefits under the Plan, each Service Provider, and each person claiming under or through him, shall be conclusively deemed to have indicated his acceptance and ratification of, and consent to, all provisions of the Plan and any action or decision under the Plan by the Company, its agents and employees, and the Board of Directors and the Committee.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13.1.11.The validity, construction, interpretation, and administration of the Plan and of any determinations or decisions made thereunder, and the rights of all persons having or claiming to have any interest therein or thereunder, shall be governed by, and determined exclusively in accordance with, the laws of the State of Delaware, but without giving effect to the principles of conflicts of laws thereof. Without limiting the generality of the foregoing, the period within which any action arising under or in connection with the Plan must be commenced, shall be governed by the laws of the State of Delaware, without giving effect to the principles of conflicts of laws thereof, irrespective of the place where the act or omission complained of took place and of the residence of any party to such action and irrespective of the place where the action may be brought. </w:t>
      </w:r>
      <w:r>
        <w:rPr>
          <w:rFonts w:ascii="Times New Roman;Times;serif" w:hAnsi="Times New Roman;Times;serif"/>
          <w:b/>
          <w:color w:val="000000"/>
          <w:sz w:val="20"/>
        </w:rPr>
        <w:t>A Service Provider’s acceptance of any Award shall constitute his irrevocable and unconditional waiver of the right to a jury trial in any action or proceeding concerning the Award, the Plan, or any rights or obligations of the Service Provider or the Company under or with respect to the Award or the Plan</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13.1.12.If an Award has been granted to a Service Provider and the Committee later determines that the financial results of the Company used to determine the amount of that Award, or any payment under that Award, whether to the participant or the participant’s Beneficiary, are materially restated and that such participant engaged in fraud or intentional misconduct with respect to the inputs to, or determination of, such financial results, the Company will seek repayment or recovery of the Award, as the Committee in its sole discretion determines is reasonable and appropriate, notwithstanding any contrary provision of the Plan. In addition, the Committee may provide that any Service Provider and/or any Award, including any shares subject to or issued under an Award, is subject to any other recovery, recoupment, clawback, and/or other forfeiture policy maintained by the Company from time to time.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13.1.13.The use of the masculine gender shall also include within its meaning the feminine. The use of the singular shall include within its meaning the plural and vice versa.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13.1.14.By participating in the Plan or accepting any rights granted under it, each participant consents to the collection and processing of personal data relating to the participant so that the Company and its Subsidiaries can fulfill their obligations and exercise their rights under the Plan and generally administer and manage the Plan. This data will include, but may not be limited to, data about participation in the Plan and shares offered or received, purchased, or sold under the Plan from time to time and other appropriate financial and other data (such as the date on which the Awards were granted) about the participant and the participant’s participation in the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bidi w:val="0"/>
        <w:spacing w:before="200" w:after="200"/>
        <w:jc w:val="left"/>
        <w:rPr/>
      </w:pPr>
      <w:r>
        <w:rPr/>
      </w:r>
    </w:p>
    <w:p>
      <w:pPr>
        <w:pStyle w:val="TextBody"/>
        <w:bidi w:val="0"/>
        <w:jc w:val="left"/>
        <w:rPr/>
      </w:pPr>
      <w:hyperlink w:anchor="TOC">
        <w:bookmarkStart w:id="124" w:name="ny20083274x1_def14a_200-appa_pg16"/>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13.1.15.Neither the Plan nor any Award shall create or be construed to create a trust or separate fund of any kind or a fiduciary relationship between the Company or any of its Subsidiaries, on the one hand, and a participant or other person,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be obligated to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service providers under general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13.1.16.If any provision of the Plan or any Award or Award Agreement is or becomes or is deemed to be invalid, illegal, or unenforceable in any jurisdiction or as to any participant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participant, or Award and the remainder of the Plan and any such Award shall remain in full force and effect.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13.1.17.The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13.1.18.The Company will have the right to offset against its obligation to deliver shares of Common Stock (or other securities,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a participant then owes to the Company or any of its Subsidiaries and any amounts the Committee otherwise deems appropriate pursuant to any tax equalization policy or agreement. Notwithstanding the foregoing, if an Award is “deferred compensation” subject to Section 409A of the Code, the Committee will have no right to offset against its obligation to deliver shares of Common Stock (or other property or cash) under the Plan or any Award Agreement if such offset could subject the participant to the additional tax imposed under Section 409A of the Code in respect of an outstanding Award.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13.1.19.The expenses of administering the Plan shall be borne by the Company. The titles and headings of the sections in the Plan are for convenience of reference only, and in the event of any conflict, the text of the Plan, rather than such titles or headings, shall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14.</w:t>
      </w:r>
      <w:r>
        <w:rPr>
          <w:rFonts w:ascii="Times New Roman;Times;serif" w:hAnsi="Times New Roman;Times;serif"/>
          <w:b/>
          <w:i/>
          <w:color w:val="000000"/>
          <w:sz w:val="20"/>
        </w:rPr>
        <w:t>Amendment and Termination</w:t>
      </w:r>
      <w:r>
        <w:rPr>
          <w:rFonts w:ascii="Times New Roman;Times;serif" w:hAnsi="Times New Roman;Times;serif"/>
          <w:color w:val="000000"/>
          <w:sz w:val="20"/>
        </w:rPr>
        <w:t xml:space="preserve">. Subject to any applicable shareholder approval requirements of Delaware or federal law, NASDAQ rules or other applicable listing standards, or the Code, the Plan may be amended by the Board of Directors at any time and in any respect, including without limitation to permit or facilitate qualification of Options theretofore or thereafter granted (a) as Incentive Stock Options under the Code, or (b) for such other special tax treatment as may be enacted on or after the date on which the Plan is approved by the Board; </w:t>
      </w:r>
      <w:r>
        <w:rPr>
          <w:rFonts w:ascii="Times New Roman;Times;serif" w:hAnsi="Times New Roman;Times;serif"/>
          <w:color w:val="000000"/>
          <w:sz w:val="20"/>
          <w:u w:val="single"/>
        </w:rPr>
        <w:t>provided</w:t>
      </w:r>
      <w:r>
        <w:rPr>
          <w:rFonts w:ascii="Times New Roman;Times;serif" w:hAnsi="Times New Roman;Times;serif"/>
          <w:color w:val="000000"/>
          <w:sz w:val="20"/>
        </w:rPr>
        <w:t>, that, without shareholder approval, except as permitted by Section 10 hereof, no amendment shall increase the aggregate number of shares which may be issued under the Plan, or, shall (i) reduce the purchase price, exercise price, or strike price of any Option or Stock Appreciation Right, (ii) result in cancellation of any outstanding Option or Stock Appreciation Right and replacement thereof with a new Option or Stock Appreciation Right (with a lower purchase price, exercise price, or strike price, as the case may be) or other Award or cash payment that is greater than the intrinsic value (if any) of the canceled Option or Stock Appreciation Right; or (iii) result in a “repricing” for purposes of the stockholder approval rules of any securities exchange or inter-dealer quotation system on which the securities of the Company are listed or quoted. The Plan may also be terminated at any time by the Board of Directors. No amendment or termination of this Plan shall adversely affect any Award granted prior to the date of such amendment or termination without the written consent of the holder of such Award.</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bidi w:val="0"/>
        <w:spacing w:before="200" w:after="200"/>
        <w:jc w:val="left"/>
        <w:rPr/>
      </w:pPr>
      <w:r>
        <w:rPr/>
      </w:r>
    </w:p>
    <w:p>
      <w:pPr>
        <w:pStyle w:val="TextBody"/>
        <w:bidi w:val="0"/>
        <w:jc w:val="left"/>
        <w:rPr/>
      </w:pPr>
      <w:hyperlink w:anchor="TOC">
        <w:bookmarkStart w:id="125" w:name="ny20083274x1_def14a_300-proxycard_pg1"/>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26" w:name="ny20083274x1_def14a_300-proxycard_pg2"/>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1.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48443</Words>
  <Characters>261878</Characters>
  <CharactersWithSpaces>313474</CharactersWithSpaces>
  <Paragraphs>8399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