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HorizontalLine"/>
        <w:bidi w:val="0"/>
        <w:jc w:val="left"/>
        <w:rPr/>
      </w:pPr>
      <w:r>
        <w:rPr/>
      </w:r>
    </w:p>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July 14,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AngioDynamics,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sz w:val="20"/>
        </w:rPr>
      </w:pPr>
      <w:r>
        <w:rPr>
          <w:sz w:val="20"/>
        </w:rPr>
      </w:r>
    </w:p>
    <w:tbl>
      <w:tblPr>
        <w:tblW w:w="8640" w:type="dxa"/>
        <w:jc w:val="left"/>
        <w:tblInd w:w="0" w:type="dxa"/>
        <w:tblLayout w:type="fixed"/>
        <w:tblCellMar>
          <w:top w:w="0" w:type="dxa"/>
          <w:left w:w="0" w:type="dxa"/>
          <w:bottom w:w="0" w:type="dxa"/>
          <w:right w:w="0" w:type="dxa"/>
        </w:tblCellMar>
      </w:tblPr>
      <w:tblGrid>
        <w:gridCol w:w="3620"/>
        <w:gridCol w:w="2255"/>
        <w:gridCol w:w="2765"/>
      </w:tblGrid>
      <w:tr>
        <w:trPr/>
        <w:tc>
          <w:tcPr>
            <w:tcW w:w="36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2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000-50761</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11-3146460</w:t>
            </w:r>
          </w:p>
        </w:tc>
      </w:tr>
      <w:tr>
        <w:trPr/>
        <w:tc>
          <w:tcPr>
            <w:tcW w:w="36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sz w:val="20"/>
        </w:rPr>
      </w:pPr>
      <w:r>
        <w:rPr>
          <w:sz w:val="20"/>
        </w:rPr>
      </w:r>
    </w:p>
    <w:tbl>
      <w:tblPr>
        <w:tblW w:w="4324" w:type="dxa"/>
        <w:jc w:val="left"/>
        <w:tblInd w:w="0" w:type="dxa"/>
        <w:tblLayout w:type="fixed"/>
        <w:tblCellMar>
          <w:top w:w="0" w:type="dxa"/>
          <w:left w:w="0" w:type="dxa"/>
          <w:bottom w:w="0" w:type="dxa"/>
          <w:right w:w="0" w:type="dxa"/>
        </w:tblCellMar>
      </w:tblPr>
      <w:tblGrid>
        <w:gridCol w:w="3337"/>
        <w:gridCol w:w="61"/>
        <w:gridCol w:w="926"/>
      </w:tblGrid>
      <w:tr>
        <w:trPr/>
        <w:tc>
          <w:tcPr>
            <w:tcW w:w="3337"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14 Plaza Drive, Latham, New York</w:t>
            </w:r>
          </w:p>
        </w:tc>
        <w:tc>
          <w:tcPr>
            <w:tcW w:w="61"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12110</w:t>
            </w:r>
          </w:p>
        </w:tc>
      </w:tr>
      <w:tr>
        <w:trPr/>
        <w:tc>
          <w:tcPr>
            <w:tcW w:w="333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r>
      <w:tr>
        <w:trPr/>
        <w:tc>
          <w:tcPr>
            <w:tcW w:w="3337"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1"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r>
        <w:trPr/>
        <w:tc>
          <w:tcPr>
            <w:tcW w:w="333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r>
      <w:tr>
        <w:trPr/>
        <w:tc>
          <w:tcPr>
            <w:tcW w:w="4324"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(518) 795-1400</w:t>
            </w:r>
          </w:p>
        </w:tc>
      </w:tr>
      <w:tr>
        <w:trPr/>
        <w:tc>
          <w:tcPr>
            <w:tcW w:w="333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r>
      <w:tr>
        <w:trPr/>
        <w:tc>
          <w:tcPr>
            <w:tcW w:w="4324"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(Registrant’s telephone number, including area code)</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 (b))</w:t>
            </w:r>
          </w:p>
        </w:tc>
      </w:tr>
    </w:tbl>
    <w:p>
      <w:pPr>
        <w:pStyle w:val="TextBody"/>
        <w:bidi w:val="0"/>
        <w:spacing w:before="0" w:after="0"/>
        <w:jc w:val="left"/>
        <w:rPr>
          <w:sz w:val="20"/>
        </w:rPr>
      </w:pPr>
      <w:r>
        <w:rPr>
          <w:sz w:val="20"/>
        </w:rPr>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 (c))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rFonts w:ascii="Times New Roman" w:hAnsi="Times New Roman"/>
          <w:b/>
          <w:sz w:val="20"/>
        </w:rPr>
      </w:pPr>
      <w:r>
        <w:rPr>
          <w:rFonts w:ascii="Times New Roman" w:hAnsi="Times New Roman"/>
          <w:b/>
          <w:sz w:val="20"/>
        </w:rPr>
      </w:r>
    </w:p>
    <w:tbl>
      <w:tblPr>
        <w:tblW w:w="7665" w:type="dxa"/>
        <w:jc w:val="left"/>
        <w:tblInd w:w="0" w:type="dxa"/>
        <w:tblLayout w:type="fixed"/>
        <w:tblCellMar>
          <w:top w:w="0" w:type="dxa"/>
          <w:left w:w="0" w:type="dxa"/>
          <w:bottom w:w="0" w:type="dxa"/>
          <w:right w:w="0" w:type="dxa"/>
        </w:tblCellMar>
      </w:tblPr>
      <w:tblGrid>
        <w:gridCol w:w="3395"/>
        <w:gridCol w:w="1535"/>
        <w:gridCol w:w="2735"/>
      </w:tblGrid>
      <w:tr>
        <w:trPr/>
        <w:tc>
          <w:tcPr>
            <w:tcW w:w="339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Title of each class</w:t>
            </w:r>
          </w:p>
        </w:tc>
        <w:tc>
          <w:tcPr>
            <w:tcW w:w="1535"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Trading Symbol(s)</w:t>
            </w:r>
          </w:p>
        </w:tc>
        <w:tc>
          <w:tcPr>
            <w:tcW w:w="273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Name of each exchange on which</w:t>
            </w:r>
          </w:p>
          <w:p>
            <w:pPr>
              <w:pStyle w:val="TableContents"/>
              <w:bidi w:val="0"/>
              <w:spacing w:before="0" w:after="0"/>
              <w:jc w:val="left"/>
              <w:rPr>
                <w:rFonts w:ascii="Times New Roman" w:hAnsi="Times New Roman"/>
                <w:sz w:val="20"/>
                <w:u w:val="single"/>
              </w:rPr>
            </w:pPr>
            <w:r>
              <w:rPr>
                <w:rFonts w:ascii="Times New Roman" w:hAnsi="Times New Roman"/>
                <w:sz w:val="20"/>
                <w:u w:val="single"/>
              </w:rPr>
              <w:t>registered</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par value $0.01 per share</w:t>
            </w:r>
          </w:p>
        </w:tc>
        <w:tc>
          <w:tcPr>
            <w:tcW w:w="15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ANGO</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NASDAQ Global Select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2.02 – Results of Operations and Financial Condition.</w:t>
      </w:r>
    </w:p>
    <w:p>
      <w:pPr>
        <w:pStyle w:val="TextBody"/>
        <w:bidi w:val="0"/>
        <w:spacing w:before="0" w:after="0"/>
        <w:jc w:val="left"/>
        <w:rPr>
          <w:sz w:val="20"/>
        </w:rPr>
      </w:pPr>
      <w:r>
        <w:rPr>
          <w:sz w:val="20"/>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On July 14, 2026, AngioDynamics, Inc. (“AngioDynamics”) issued a press release announcing financial results for the fiscal fourth quarter and full year ended May 31, 2026. A copy of the press release is furnished herewith as Exhibit 99.1.</w:t>
      </w:r>
    </w:p>
    <w:p>
      <w:pPr>
        <w:pStyle w:val="TextBody"/>
        <w:bidi w:val="0"/>
        <w:spacing w:before="0" w:after="0"/>
        <w:jc w:val="left"/>
        <w:rPr>
          <w:sz w:val="20"/>
        </w:rPr>
      </w:pPr>
      <w:r>
        <w:rPr>
          <w:sz w:val="20"/>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in Item 2.02 of this Form 8-K (including Exhibit 99.1) shall not be deemed “filed” for purposes of Section 18 of the Securities Exchange Act of 1934, as amended (the “Exchange Act”), or otherwise subject to the liabilities under that Section. Furthermore, such information shall not be deemed to be incorporated by reference into any filing under the Securities Act of 1933, as amended (the “Securities Act”), or the Exchange Act, except as shall be expressly set forth by specific reference in such a filing.</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7.01 – Regulation FD Disclosure.</w:t>
      </w:r>
    </w:p>
    <w:p>
      <w:pPr>
        <w:pStyle w:val="TextBody"/>
        <w:bidi w:val="0"/>
        <w:spacing w:before="0" w:after="0"/>
        <w:jc w:val="left"/>
        <w:rPr>
          <w:sz w:val="20"/>
        </w:rPr>
      </w:pPr>
      <w:r>
        <w:rPr>
          <w:sz w:val="20"/>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Presentation slides discussing AngioDynamics and its fiscal fourth quarter and full year ended May 31, 2026 are furnished herewith as Exhibit 99.2.</w:t>
      </w:r>
    </w:p>
    <w:p>
      <w:pPr>
        <w:pStyle w:val="TextBody"/>
        <w:bidi w:val="0"/>
        <w:spacing w:before="0" w:after="0"/>
        <w:jc w:val="left"/>
        <w:rPr>
          <w:sz w:val="20"/>
        </w:rPr>
      </w:pPr>
      <w:r>
        <w:rPr>
          <w:sz w:val="20"/>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The presentation slides furnished pursuant to Item 7.01 of this Form 8-K (including Exhibit 99.2) shall not be deemed “filed” for purposes of Section 18 of the Exchange Act, or otherwise subject to the liabilities under that Section. Furthermore, the presentation slides shall not be deemed to be incorporated by reference into any filing under the Securities Act or the Exchange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sz w:val="20"/>
        </w:rPr>
      </w:pPr>
      <w:r>
        <w:rPr>
          <w:sz w:val="20"/>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This document and its attachments contain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2025. AngioDynamics does not assume any obligation to publicly update or revise any forward-looking statements for any reason.</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9.01 – Financial Statements and Exhibits.</w:t>
      </w:r>
    </w:p>
    <w:p>
      <w:pPr>
        <w:pStyle w:val="TextBody"/>
        <w:bidi w:val="0"/>
        <w:spacing w:before="0" w:after="0"/>
        <w:jc w:val="left"/>
        <w:rPr>
          <w:sz w:val="20"/>
        </w:rPr>
      </w:pPr>
      <w:r>
        <w:rPr>
          <w:sz w:val="20"/>
        </w:rPr>
      </w:r>
    </w:p>
    <w:tbl>
      <w:tblPr>
        <w:tblW w:w="1015" w:type="dxa"/>
        <w:jc w:val="left"/>
        <w:tblInd w:w="0" w:type="dxa"/>
        <w:tblLayout w:type="fixed"/>
        <w:tblCellMar>
          <w:top w:w="0" w:type="dxa"/>
          <w:left w:w="0" w:type="dxa"/>
          <w:bottom w:w="0" w:type="dxa"/>
          <w:right w:w="0" w:type="dxa"/>
        </w:tblCellMar>
      </w:tblPr>
      <w:tblGrid>
        <w:gridCol w:w="260"/>
        <w:gridCol w:w="755"/>
      </w:tblGrid>
      <w:tr>
        <w:trPr/>
        <w:tc>
          <w:tcPr>
            <w:tcW w:w="2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755" w:type="dxa"/>
            <w:tcBorders/>
            <w:vAlign w:val="center"/>
          </w:tcPr>
          <w:p>
            <w:pPr>
              <w:pStyle w:val="TableContents"/>
              <w:bidi w:val="0"/>
              <w:spacing w:before="0" w:after="0"/>
              <w:jc w:val="both"/>
              <w:rPr>
                <w:rFonts w:ascii="Times New Roman" w:hAnsi="Times New Roman"/>
                <w:sz w:val="24"/>
              </w:rPr>
            </w:pPr>
            <w:r>
              <w:rPr>
                <w:rFonts w:ascii="Times New Roman" w:hAnsi="Times New Roman"/>
                <w:i/>
                <w:sz w:val="20"/>
              </w:rPr>
              <w:t>Exhibits</w:t>
            </w:r>
            <w:r>
              <w:rPr>
                <w:rFonts w:ascii="Times New Roman" w:hAnsi="Times New Roman"/>
                <w:sz w:val="20"/>
              </w:rPr>
              <w:t>.</w:t>
            </w:r>
          </w:p>
        </w:tc>
      </w:tr>
    </w:tbl>
    <w:p>
      <w:pPr>
        <w:pStyle w:val="TextBody"/>
        <w:bidi w:val="0"/>
        <w:spacing w:before="0" w:after="0"/>
        <w:jc w:val="left"/>
        <w:rPr>
          <w:sz w:val="20"/>
        </w:rPr>
      </w:pPr>
      <w:r>
        <w:rPr>
          <w:sz w:val="20"/>
        </w:rPr>
      </w:r>
    </w:p>
    <w:tbl>
      <w:tblPr>
        <w:tblW w:w="3805" w:type="dxa"/>
        <w:jc w:val="left"/>
        <w:tblInd w:w="0" w:type="dxa"/>
        <w:tblLayout w:type="fixed"/>
        <w:tblCellMar>
          <w:top w:w="0" w:type="dxa"/>
          <w:left w:w="0" w:type="dxa"/>
          <w:bottom w:w="0" w:type="dxa"/>
          <w:right w:w="0" w:type="dxa"/>
        </w:tblCellMar>
      </w:tblPr>
      <w:tblGrid>
        <w:gridCol w:w="965"/>
        <w:gridCol w:w="2840"/>
      </w:tblGrid>
      <w:tr>
        <w:trPr/>
        <w:tc>
          <w:tcPr>
            <w:tcW w:w="96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Exhibit No.</w:t>
            </w:r>
          </w:p>
        </w:tc>
        <w:tc>
          <w:tcPr>
            <w:tcW w:w="284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Description</w:t>
            </w:r>
          </w:p>
        </w:tc>
      </w:tr>
      <w:tr>
        <w:trPr/>
        <w:tc>
          <w:tcPr>
            <w:tcW w:w="96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both"/>
              <w:rPr/>
            </w:pPr>
            <w:hyperlink w:anchor="ef20077916_ex99-1.htm">
              <w:r>
                <w:rPr>
                  <w:rStyle w:val="InternetLink"/>
                  <w:rFonts w:ascii="Times New Roman" w:hAnsi="Times New Roman"/>
                  <w:sz w:val="20"/>
                </w:rPr>
                <w:t>99.1</w:t>
              </w:r>
            </w:hyperlink>
          </w:p>
        </w:tc>
        <w:tc>
          <w:tcPr>
            <w:tcW w:w="28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Press Release, dated July 14, 2026.</w:t>
            </w:r>
          </w:p>
        </w:tc>
      </w:tr>
      <w:tr>
        <w:trPr/>
        <w:tc>
          <w:tcPr>
            <w:tcW w:w="96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both"/>
              <w:rPr/>
            </w:pPr>
            <w:hyperlink w:anchor="ef20077916_ex99-2.htm">
              <w:r>
                <w:rPr>
                  <w:rStyle w:val="InternetLink"/>
                  <w:rFonts w:ascii="Times New Roman" w:hAnsi="Times New Roman"/>
                  <w:sz w:val="20"/>
                </w:rPr>
                <w:t>99.2</w:t>
              </w:r>
            </w:hyperlink>
          </w:p>
        </w:tc>
        <w:tc>
          <w:tcPr>
            <w:tcW w:w="28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Presentation, dated July 14, 2026.</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3773" w:type="dxa"/>
        <w:jc w:val="left"/>
        <w:tblInd w:w="0" w:type="dxa"/>
        <w:tblLayout w:type="fixed"/>
        <w:tblCellMar>
          <w:top w:w="0" w:type="dxa"/>
          <w:left w:w="0" w:type="dxa"/>
          <w:bottom w:w="0" w:type="dxa"/>
          <w:right w:w="0" w:type="dxa"/>
        </w:tblCellMar>
      </w:tblPr>
      <w:tblGrid>
        <w:gridCol w:w="1655"/>
        <w:gridCol w:w="320"/>
        <w:gridCol w:w="1775"/>
        <w:gridCol w:w="23"/>
      </w:tblGrid>
      <w:tr>
        <w:trPr/>
        <w:tc>
          <w:tcPr>
            <w:tcW w:w="1655" w:type="dxa"/>
            <w:tcBorders/>
            <w:vAlign w:val="center"/>
          </w:tcPr>
          <w:p>
            <w:pPr>
              <w:pStyle w:val="TableContents"/>
              <w:bidi w:val="0"/>
              <w:spacing w:before="0" w:after="283"/>
              <w:jc w:val="left"/>
              <w:rPr/>
            </w:pPr>
            <w:r>
              <w:rPr/>
              <w:t> </w:t>
            </w:r>
          </w:p>
        </w:tc>
        <w:tc>
          <w:tcPr>
            <w:tcW w:w="211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ANGIODYNAMICS, INC.</w:t>
            </w:r>
          </w:p>
        </w:tc>
      </w:tr>
      <w:tr>
        <w:trPr/>
        <w:tc>
          <w:tcPr>
            <w:tcW w:w="1655" w:type="dxa"/>
            <w:tcBorders/>
            <w:vAlign w:val="center"/>
          </w:tcPr>
          <w:p>
            <w:pPr>
              <w:pStyle w:val="TableContents"/>
              <w:bidi w:val="0"/>
              <w:spacing w:before="0" w:after="283"/>
              <w:jc w:val="left"/>
              <w:rPr/>
            </w:pPr>
            <w:r>
              <w:rPr/>
              <w:t> </w:t>
            </w:r>
          </w:p>
        </w:tc>
        <w:tc>
          <w:tcPr>
            <w:tcW w:w="211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8"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July 14,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sz w:val="20"/>
              </w:rPr>
            </w:pPr>
            <w:r>
              <w:rPr>
                <w:rFonts w:ascii="Times New Roman" w:hAnsi="Times New Roman"/>
                <w:sz w:val="20"/>
              </w:rPr>
              <w:t>/s/</w:t>
            </w:r>
            <w:r>
              <w:rPr>
                <w:sz w:val="20"/>
              </w:rPr>
              <w:t xml:space="preserve"> Lawrence T. Weiss</w:t>
            </w:r>
          </w:p>
        </w:tc>
        <w:tc>
          <w:tcPr>
            <w:tcW w:w="23" w:type="dxa"/>
            <w:tcBorders/>
            <w:vAlign w:val="center"/>
          </w:tcPr>
          <w:p>
            <w:pPr>
              <w:pStyle w:val="TableContents"/>
              <w:bidi w:val="0"/>
              <w:spacing w:before="0" w:after="283"/>
              <w:jc w:val="left"/>
              <w:rPr/>
            </w:pPr>
            <w:r>
              <w:rPr/>
            </w:r>
          </w:p>
        </w:tc>
      </w:tr>
    </w:tbl>
    <w:tbl>
      <w:tblPr>
        <w:tblW w:w="3139" w:type="dxa"/>
        <w:jc w:val="left"/>
        <w:tblInd w:w="0" w:type="dxa"/>
        <w:tblLayout w:type="fixed"/>
        <w:tblCellMar>
          <w:top w:w="0" w:type="dxa"/>
          <w:left w:w="0" w:type="dxa"/>
          <w:bottom w:w="0" w:type="dxa"/>
          <w:right w:w="0" w:type="dxa"/>
        </w:tblCellMar>
      </w:tblPr>
      <w:tblGrid>
        <w:gridCol w:w="60"/>
        <w:gridCol w:w="24"/>
        <w:gridCol w:w="585"/>
        <w:gridCol w:w="2470"/>
      </w:tblGrid>
      <w:tr>
        <w:trPr/>
        <w:tc>
          <w:tcPr>
            <w:tcW w:w="60" w:type="dxa"/>
            <w:tcBorders/>
            <w:vAlign w:val="center"/>
          </w:tcPr>
          <w:p>
            <w:pPr>
              <w:pStyle w:val="TableContents"/>
              <w:bidi w:val="0"/>
              <w:spacing w:before="0" w:after="283"/>
              <w:jc w:val="left"/>
              <w:rPr/>
            </w:pPr>
            <w:r>
              <w:rPr/>
              <w:t> </w:t>
            </w:r>
          </w:p>
        </w:tc>
        <w:tc>
          <w:tcPr>
            <w:tcW w:w="24" w:type="dxa"/>
            <w:tcBorders/>
            <w:vAlign w:val="center"/>
          </w:tcPr>
          <w:p>
            <w:pPr>
              <w:pStyle w:val="TableContents"/>
              <w:bidi w:val="0"/>
              <w:spacing w:before="0" w:after="283"/>
              <w:jc w:val="left"/>
              <w:rPr/>
            </w:pPr>
            <w:r>
              <w:rPr/>
            </w:r>
          </w:p>
        </w:tc>
        <w:tc>
          <w:tcPr>
            <w:tcW w:w="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Lawrence T. Weiss</w:t>
            </w:r>
          </w:p>
        </w:tc>
      </w:tr>
      <w:tr>
        <w:trPr/>
        <w:tc>
          <w:tcPr>
            <w:tcW w:w="60" w:type="dxa"/>
            <w:tcBorders/>
            <w:vAlign w:val="center"/>
          </w:tcPr>
          <w:p>
            <w:pPr>
              <w:pStyle w:val="TableContents"/>
              <w:bidi w:val="0"/>
              <w:spacing w:before="0" w:after="283"/>
              <w:jc w:val="left"/>
              <w:rPr/>
            </w:pPr>
            <w:r>
              <w:rPr/>
              <w:t> </w:t>
            </w:r>
          </w:p>
        </w:tc>
        <w:tc>
          <w:tcPr>
            <w:tcW w:w="24" w:type="dxa"/>
            <w:tcBorders/>
            <w:vAlign w:val="center"/>
          </w:tcPr>
          <w:p>
            <w:pPr>
              <w:pStyle w:val="TableContents"/>
              <w:bidi w:val="0"/>
              <w:spacing w:before="0" w:after="283"/>
              <w:jc w:val="left"/>
              <w:rPr/>
            </w:pPr>
            <w:r>
              <w:rPr/>
            </w:r>
          </w:p>
        </w:tc>
        <w:tc>
          <w:tcPr>
            <w:tcW w:w="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Senior Vice President, Chief</w:t>
            </w:r>
          </w:p>
        </w:tc>
      </w:tr>
      <w:tr>
        <w:trPr/>
        <w:tc>
          <w:tcPr>
            <w:tcW w:w="60" w:type="dxa"/>
            <w:tcBorders/>
            <w:vAlign w:val="center"/>
          </w:tcPr>
          <w:p>
            <w:pPr>
              <w:pStyle w:val="TableContents"/>
              <w:bidi w:val="0"/>
              <w:spacing w:before="0" w:after="283"/>
              <w:jc w:val="left"/>
              <w:rPr/>
            </w:pPr>
            <w:r>
              <w:rPr/>
              <w:t> </w:t>
            </w:r>
          </w:p>
        </w:tc>
        <w:tc>
          <w:tcPr>
            <w:tcW w:w="307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Legal Officer and Corporate Secretary</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77916_ex99-1.htm"/>
      <w:bookmarkStart w:id="1" w:name="ksef20077916_ex991"/>
      <w:bookmarkStart w:id="2" w:name="ef20077916_ex99-1.htm"/>
      <w:bookmarkStart w:id="3" w:name="ksef20077916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AngioDynamics Reports Record Fiscal Year 2026 Fourth Quarter and Full Year Financial Results; Continued Execution Drives Med Tech Growth and Full-Year Profitability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Delivered its seventh consecutive quarter of double-digit Med Tech segment growth and positive adjusted EBITDA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LATHAM, N.Y.--(BUSINESS WIRE)— July 14, 2026-- AngioDynamics, Inc. (NASDAQ: ANGO), a leading and transformative medical technology company focused on restoring healthy blood flow in the body’s vascular system, expanding cancer treatment options, and improving quality of life for patients, today announced financial results for the fourth quarter and fiscal year 2026, which ended May 31,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Fiscal Year 2026 Fourth Quarter Financial Highlights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0a4bb5ecf1c24935bbe6e5fc3692b1de"/>
      <w:bookmarkStart w:id="5" w:name="z0a4bb5ecf1c24935bbe6e5fc3692b1de"/>
      <w:bookmarkEnd w:id="5"/>
    </w:p>
    <w:tbl>
      <w:tblPr>
        <w:tblW w:w="5355" w:type="dxa"/>
        <w:jc w:val="left"/>
        <w:tblInd w:w="0" w:type="dxa"/>
        <w:tblLayout w:type="fixed"/>
        <w:tblCellMar>
          <w:top w:w="0" w:type="dxa"/>
          <w:left w:w="0" w:type="dxa"/>
          <w:bottom w:w="28" w:type="dxa"/>
          <w:right w:w="0" w:type="dxa"/>
        </w:tblCellMar>
      </w:tblPr>
      <w:tblGrid>
        <w:gridCol w:w="1880"/>
        <w:gridCol w:w="1295"/>
        <w:gridCol w:w="2180"/>
      </w:tblGrid>
      <w:tr>
        <w:trPr/>
        <w:tc>
          <w:tcPr>
            <w:tcW w:w="1880" w:type="dxa"/>
            <w:tcBorders>
              <w:bottom w:val="single" w:sz="12" w:space="0" w:color="000000"/>
            </w:tcBorders>
            <w:vAlign w:val="center"/>
          </w:tcPr>
          <w:p>
            <w:pPr>
              <w:pStyle w:val="TableContents"/>
              <w:bidi w:val="0"/>
              <w:spacing w:before="0" w:after="283"/>
              <w:jc w:val="left"/>
              <w:rPr/>
            </w:pPr>
            <w:r>
              <w:rPr/>
              <w:t> </w:t>
            </w:r>
          </w:p>
        </w:tc>
        <w:tc>
          <w:tcPr>
            <w:tcW w:w="129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Quarter Ended</w:t>
            </w:r>
          </w:p>
          <w:p>
            <w:pPr>
              <w:pStyle w:val="TableContents"/>
              <w:bidi w:val="0"/>
              <w:spacing w:before="0" w:after="0"/>
              <w:jc w:val="center"/>
              <w:rPr>
                <w:rFonts w:ascii="Times New Roman" w:hAnsi="Times New Roman"/>
                <w:b/>
                <w:i/>
                <w:sz w:val="20"/>
              </w:rPr>
            </w:pPr>
            <w:r>
              <w:rPr>
                <w:rFonts w:ascii="Times New Roman" w:hAnsi="Times New Roman"/>
                <w:b/>
                <w:i/>
                <w:sz w:val="20"/>
              </w:rPr>
              <w:t>May 31, 2026</w:t>
            </w:r>
          </w:p>
        </w:tc>
        <w:tc>
          <w:tcPr>
            <w:tcW w:w="218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Pro Forma* YoY Growth</w:t>
            </w:r>
          </w:p>
        </w:tc>
      </w:tr>
      <w:tr>
        <w:trPr/>
        <w:tc>
          <w:tcPr>
            <w:tcW w:w="1880" w:type="dxa"/>
            <w:tcBorders>
              <w:bottom w:val="single" w:sz="12" w:space="0" w:color="000000"/>
            </w:tcBorders>
            <w:shd w:fill="CCEEFF" w:val="clear"/>
            <w:vAlign w:val="center"/>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Pro Forma* Net Sales</w:t>
            </w:r>
          </w:p>
        </w:tc>
        <w:tc>
          <w:tcPr>
            <w:tcW w:w="1295" w:type="dxa"/>
            <w:tcBorders>
              <w:bottom w:val="single" w:sz="12" w:space="0" w:color="000000"/>
            </w:tcBorders>
            <w:shd w:fill="CCEE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$86.6 million</w:t>
            </w:r>
          </w:p>
        </w:tc>
        <w:tc>
          <w:tcPr>
            <w:tcW w:w="2180" w:type="dxa"/>
            <w:tcBorders>
              <w:bottom w:val="single" w:sz="12" w:space="0" w:color="000000"/>
            </w:tcBorders>
            <w:shd w:fill="CCEE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8.0%</w:t>
            </w:r>
          </w:p>
        </w:tc>
      </w:tr>
      <w:tr>
        <w:trPr/>
        <w:tc>
          <w:tcPr>
            <w:tcW w:w="1880" w:type="dxa"/>
            <w:tcBorders/>
            <w:tcMar>
              <w:bottom w:w="0" w:type="dxa"/>
            </w:tcMar>
            <w:vAlign w:val="center"/>
          </w:tcPr>
          <w:p>
            <w:pPr>
              <w:pStyle w:val="TableContents"/>
              <w:bidi w:val="0"/>
              <w:spacing w:before="0" w:after="0"/>
              <w:ind w:left="324" w:right="0" w:hanging="144"/>
              <w:jc w:val="left"/>
              <w:rPr>
                <w:rFonts w:ascii="Times New Roman" w:hAnsi="Times New Roman"/>
                <w:i/>
                <w:sz w:val="20"/>
              </w:rPr>
            </w:pPr>
            <w:r>
              <w:rPr>
                <w:rFonts w:ascii="Times New Roman" w:hAnsi="Times New Roman"/>
                <w:i/>
                <w:sz w:val="20"/>
              </w:rPr>
              <w:t>Med Tech Net Sales</w:t>
            </w:r>
          </w:p>
        </w:tc>
        <w:tc>
          <w:tcPr>
            <w:tcW w:w="1295" w:type="dxa"/>
            <w:tcBorders/>
            <w:tcMar>
              <w:bottom w:w="0" w:type="dxa"/>
            </w:tcMar>
            <w:vAlign w:val="center"/>
          </w:tcPr>
          <w:p>
            <w:pPr>
              <w:pStyle w:val="TableContents"/>
              <w:bidi w:val="0"/>
              <w:spacing w:before="0" w:after="0"/>
              <w:jc w:val="center"/>
              <w:rPr>
                <w:rFonts w:ascii="Times New Roman" w:hAnsi="Times New Roman"/>
                <w:i/>
                <w:sz w:val="20"/>
              </w:rPr>
            </w:pPr>
            <w:r>
              <w:rPr>
                <w:rFonts w:ascii="Times New Roman" w:hAnsi="Times New Roman"/>
                <w:i/>
                <w:sz w:val="20"/>
              </w:rPr>
              <w:t>$41.8 million</w:t>
            </w:r>
          </w:p>
        </w:tc>
        <w:tc>
          <w:tcPr>
            <w:tcW w:w="2180" w:type="dxa"/>
            <w:tcBorders/>
            <w:tcMar>
              <w:bottom w:w="0" w:type="dxa"/>
            </w:tcMar>
            <w:vAlign w:val="center"/>
          </w:tcPr>
          <w:p>
            <w:pPr>
              <w:pStyle w:val="TableContents"/>
              <w:bidi w:val="0"/>
              <w:spacing w:before="0" w:after="0"/>
              <w:jc w:val="center"/>
              <w:rPr>
                <w:rFonts w:ascii="Times New Roman" w:hAnsi="Times New Roman"/>
                <w:i/>
                <w:sz w:val="20"/>
              </w:rPr>
            </w:pPr>
            <w:r>
              <w:rPr>
                <w:rFonts w:ascii="Times New Roman" w:hAnsi="Times New Roman"/>
                <w:i/>
                <w:sz w:val="20"/>
              </w:rPr>
              <w:t>16.7%</w:t>
            </w:r>
          </w:p>
        </w:tc>
      </w:tr>
      <w:tr>
        <w:trPr/>
        <w:tc>
          <w:tcPr>
            <w:tcW w:w="1880" w:type="dxa"/>
            <w:tcBorders>
              <w:bottom w:val="single" w:sz="12" w:space="0" w:color="000000"/>
            </w:tcBorders>
            <w:shd w:fill="CCEEFF" w:val="clear"/>
            <w:vAlign w:val="center"/>
          </w:tcPr>
          <w:p>
            <w:pPr>
              <w:pStyle w:val="TableContents"/>
              <w:bidi w:val="0"/>
              <w:spacing w:before="0" w:after="0"/>
              <w:ind w:left="324" w:right="0" w:hanging="144"/>
              <w:jc w:val="left"/>
              <w:rPr>
                <w:rFonts w:ascii="Times New Roman" w:hAnsi="Times New Roman"/>
                <w:i/>
                <w:sz w:val="20"/>
              </w:rPr>
            </w:pPr>
            <w:r>
              <w:rPr>
                <w:rFonts w:ascii="Times New Roman" w:hAnsi="Times New Roman"/>
                <w:i/>
                <w:sz w:val="20"/>
              </w:rPr>
              <w:t>Med Device Net Sales</w:t>
            </w:r>
          </w:p>
        </w:tc>
        <w:tc>
          <w:tcPr>
            <w:tcW w:w="1295" w:type="dxa"/>
            <w:tcBorders>
              <w:bottom w:val="single" w:sz="12" w:space="0" w:color="000000"/>
            </w:tcBorders>
            <w:shd w:fill="CCEEFF" w:val="clear"/>
            <w:vAlign w:val="center"/>
          </w:tcPr>
          <w:p>
            <w:pPr>
              <w:pStyle w:val="TableContents"/>
              <w:bidi w:val="0"/>
              <w:spacing w:before="0" w:after="0"/>
              <w:jc w:val="center"/>
              <w:rPr>
                <w:rFonts w:ascii="Times New Roman" w:hAnsi="Times New Roman"/>
                <w:i/>
                <w:sz w:val="20"/>
              </w:rPr>
            </w:pPr>
            <w:r>
              <w:rPr>
                <w:rFonts w:ascii="Times New Roman" w:hAnsi="Times New Roman"/>
                <w:i/>
                <w:sz w:val="20"/>
              </w:rPr>
              <w:t>$44.8 million</w:t>
            </w:r>
          </w:p>
        </w:tc>
        <w:tc>
          <w:tcPr>
            <w:tcW w:w="2180" w:type="dxa"/>
            <w:tcBorders>
              <w:bottom w:val="single" w:sz="12" w:space="0" w:color="000000"/>
            </w:tcBorders>
            <w:shd w:fill="CCEEFF" w:val="clear"/>
            <w:vAlign w:val="center"/>
          </w:tcPr>
          <w:p>
            <w:pPr>
              <w:pStyle w:val="TableContents"/>
              <w:bidi w:val="0"/>
              <w:spacing w:before="0" w:after="0"/>
              <w:jc w:val="center"/>
              <w:rPr>
                <w:rFonts w:ascii="Times New Roman" w:hAnsi="Times New Roman"/>
                <w:i/>
                <w:sz w:val="20"/>
              </w:rPr>
            </w:pPr>
            <w:r>
              <w:rPr>
                <w:rFonts w:ascii="Times New Roman" w:hAnsi="Times New Roman"/>
                <w:i/>
                <w:sz w:val="20"/>
              </w:rPr>
              <w:t>1.1%</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 w:name="z098b76c2d148411a970306fb37903a3b"/>
      <w:bookmarkStart w:id="7" w:name="z098b76c2d148411a970306fb37903a3b"/>
      <w:bookmarkEnd w:id="7"/>
    </w:p>
    <w:tbl>
      <w:tblPr>
        <w:tblW w:w="2553" w:type="dxa"/>
        <w:jc w:val="left"/>
        <w:tblInd w:w="0" w:type="dxa"/>
        <w:tblLayout w:type="fixed"/>
        <w:tblCellMar>
          <w:top w:w="0" w:type="dxa"/>
          <w:left w:w="0" w:type="dxa"/>
          <w:bottom w:w="0" w:type="dxa"/>
          <w:right w:w="0" w:type="dxa"/>
        </w:tblCellMar>
      </w:tblPr>
      <w:tblGrid>
        <w:gridCol w:w="38"/>
        <w:gridCol w:w="110"/>
        <w:gridCol w:w="24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GAAP gross margin of 54.0%</w:t>
            </w:r>
          </w:p>
        </w:tc>
      </w:tr>
    </w:tbl>
    <w:p>
      <w:pPr>
        <w:pStyle w:val="Normal"/>
        <w:bidi w:val="0"/>
        <w:spacing w:before="0" w:after="0"/>
        <w:jc w:val="left"/>
        <w:rPr>
          <w:sz w:val="4"/>
          <w:szCs w:val="4"/>
        </w:rPr>
      </w:pPr>
      <w:r>
        <w:rPr>
          <w:sz w:val="4"/>
          <w:szCs w:val="4"/>
        </w:rPr>
      </w:r>
      <w:bookmarkStart w:id="8" w:name="zbc517d77c7fe485aa8999c330fc120e5"/>
      <w:bookmarkStart w:id="9" w:name="zbc517d77c7fe485aa8999c330fc120e5"/>
      <w:bookmarkEnd w:id="9"/>
    </w:p>
    <w:tbl>
      <w:tblPr>
        <w:tblW w:w="2538" w:type="dxa"/>
        <w:jc w:val="left"/>
        <w:tblInd w:w="0" w:type="dxa"/>
        <w:tblLayout w:type="fixed"/>
        <w:tblCellMar>
          <w:top w:w="0" w:type="dxa"/>
          <w:left w:w="0" w:type="dxa"/>
          <w:bottom w:w="0" w:type="dxa"/>
          <w:right w:w="0" w:type="dxa"/>
        </w:tblCellMar>
      </w:tblPr>
      <w:tblGrid>
        <w:gridCol w:w="38"/>
        <w:gridCol w:w="110"/>
        <w:gridCol w:w="23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GAAP loss per share of $0.27</w:t>
            </w:r>
          </w:p>
        </w:tc>
      </w:tr>
    </w:tbl>
    <w:p>
      <w:pPr>
        <w:pStyle w:val="Normal"/>
        <w:bidi w:val="0"/>
        <w:spacing w:before="0" w:after="0"/>
        <w:jc w:val="left"/>
        <w:rPr>
          <w:sz w:val="4"/>
          <w:szCs w:val="4"/>
        </w:rPr>
      </w:pPr>
      <w:r>
        <w:rPr>
          <w:sz w:val="4"/>
          <w:szCs w:val="4"/>
        </w:rPr>
      </w:r>
      <w:bookmarkStart w:id="10" w:name="z4b1f76c145004880b3333c01d02386f8"/>
      <w:bookmarkStart w:id="11" w:name="z4b1f76c145004880b3333c01d02386f8"/>
      <w:bookmarkEnd w:id="11"/>
    </w:p>
    <w:tbl>
      <w:tblPr>
        <w:tblW w:w="2763" w:type="dxa"/>
        <w:jc w:val="left"/>
        <w:tblInd w:w="0" w:type="dxa"/>
        <w:tblLayout w:type="fixed"/>
        <w:tblCellMar>
          <w:top w:w="0" w:type="dxa"/>
          <w:left w:w="0" w:type="dxa"/>
          <w:bottom w:w="0" w:type="dxa"/>
          <w:right w:w="0" w:type="dxa"/>
        </w:tblCellMar>
      </w:tblPr>
      <w:tblGrid>
        <w:gridCol w:w="38"/>
        <w:gridCol w:w="110"/>
        <w:gridCol w:w="26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per share of $0.07</w:t>
            </w:r>
          </w:p>
        </w:tc>
      </w:tr>
    </w:tbl>
    <w:p>
      <w:pPr>
        <w:pStyle w:val="Normal"/>
        <w:bidi w:val="0"/>
        <w:spacing w:before="0" w:after="0"/>
        <w:jc w:val="left"/>
        <w:rPr>
          <w:sz w:val="4"/>
          <w:szCs w:val="4"/>
        </w:rPr>
      </w:pPr>
      <w:r>
        <w:rPr>
          <w:sz w:val="4"/>
          <w:szCs w:val="4"/>
        </w:rPr>
      </w:r>
      <w:bookmarkStart w:id="12" w:name="zf4b994421460400db03126fd1bc9f9a0"/>
      <w:bookmarkStart w:id="13" w:name="zf4b994421460400db03126fd1bc9f9a0"/>
      <w:bookmarkEnd w:id="13"/>
    </w:p>
    <w:tbl>
      <w:tblPr>
        <w:tblW w:w="2928" w:type="dxa"/>
        <w:jc w:val="left"/>
        <w:tblInd w:w="0" w:type="dxa"/>
        <w:tblLayout w:type="fixed"/>
        <w:tblCellMar>
          <w:top w:w="0" w:type="dxa"/>
          <w:left w:w="0" w:type="dxa"/>
          <w:bottom w:w="0" w:type="dxa"/>
          <w:right w:w="0" w:type="dxa"/>
        </w:tblCellMar>
      </w:tblPr>
      <w:tblGrid>
        <w:gridCol w:w="38"/>
        <w:gridCol w:w="110"/>
        <w:gridCol w:w="2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 of $3.3 million</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Fiscal Year 2026 Financial Highlights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 w:name="z0c2b753761d147ff9c05cdce6c44d388"/>
      <w:bookmarkStart w:id="15" w:name="z0c2b753761d147ff9c05cdce6c44d388"/>
      <w:bookmarkEnd w:id="15"/>
    </w:p>
    <w:tbl>
      <w:tblPr>
        <w:tblW w:w="5310" w:type="dxa"/>
        <w:jc w:val="left"/>
        <w:tblInd w:w="0" w:type="dxa"/>
        <w:tblLayout w:type="fixed"/>
        <w:tblCellMar>
          <w:top w:w="0" w:type="dxa"/>
          <w:left w:w="0" w:type="dxa"/>
          <w:bottom w:w="28" w:type="dxa"/>
          <w:right w:w="0" w:type="dxa"/>
        </w:tblCellMar>
      </w:tblPr>
      <w:tblGrid>
        <w:gridCol w:w="1880"/>
        <w:gridCol w:w="1250"/>
        <w:gridCol w:w="2180"/>
      </w:tblGrid>
      <w:tr>
        <w:trPr/>
        <w:tc>
          <w:tcPr>
            <w:tcW w:w="1880"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Year Ended</w:t>
            </w:r>
          </w:p>
          <w:p>
            <w:pPr>
              <w:pStyle w:val="TableContents"/>
              <w:bidi w:val="0"/>
              <w:spacing w:before="0" w:after="0"/>
              <w:jc w:val="center"/>
              <w:rPr>
                <w:rFonts w:ascii="Times New Roman" w:hAnsi="Times New Roman"/>
                <w:b/>
                <w:i/>
                <w:sz w:val="20"/>
              </w:rPr>
            </w:pPr>
            <w:r>
              <w:rPr>
                <w:rFonts w:ascii="Times New Roman" w:hAnsi="Times New Roman"/>
                <w:b/>
                <w:i/>
                <w:sz w:val="20"/>
              </w:rPr>
              <w:t>May 31, 2026</w:t>
            </w:r>
          </w:p>
        </w:tc>
        <w:tc>
          <w:tcPr>
            <w:tcW w:w="218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Pro Forma* YoY Growth</w:t>
            </w:r>
          </w:p>
        </w:tc>
      </w:tr>
      <w:tr>
        <w:trPr/>
        <w:tc>
          <w:tcPr>
            <w:tcW w:w="1880" w:type="dxa"/>
            <w:tcBorders>
              <w:bottom w:val="single" w:sz="12" w:space="0" w:color="000000"/>
            </w:tcBorders>
            <w:shd w:fill="CCEEFF" w:val="clear"/>
            <w:vAlign w:val="center"/>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Pro Forma* Net Sales</w:t>
            </w:r>
          </w:p>
        </w:tc>
        <w:tc>
          <w:tcPr>
            <w:tcW w:w="1250" w:type="dxa"/>
            <w:tcBorders>
              <w:bottom w:val="single" w:sz="12" w:space="0" w:color="000000"/>
            </w:tcBorders>
            <w:shd w:fill="CCEE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$320.2 million</w:t>
            </w:r>
          </w:p>
        </w:tc>
        <w:tc>
          <w:tcPr>
            <w:tcW w:w="2180" w:type="dxa"/>
            <w:tcBorders>
              <w:bottom w:val="single" w:sz="12" w:space="0" w:color="000000"/>
            </w:tcBorders>
            <w:shd w:fill="CCEE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9.4%</w:t>
            </w:r>
          </w:p>
        </w:tc>
      </w:tr>
      <w:tr>
        <w:trPr/>
        <w:tc>
          <w:tcPr>
            <w:tcW w:w="1880" w:type="dxa"/>
            <w:tcBorders/>
            <w:tcMar>
              <w:bottom w:w="0" w:type="dxa"/>
            </w:tcMar>
            <w:vAlign w:val="center"/>
          </w:tcPr>
          <w:p>
            <w:pPr>
              <w:pStyle w:val="TableContents"/>
              <w:bidi w:val="0"/>
              <w:spacing w:before="0" w:after="0"/>
              <w:ind w:left="324" w:right="0" w:hanging="144"/>
              <w:jc w:val="left"/>
              <w:rPr>
                <w:rFonts w:ascii="Times New Roman" w:hAnsi="Times New Roman"/>
                <w:i/>
                <w:sz w:val="20"/>
              </w:rPr>
            </w:pPr>
            <w:r>
              <w:rPr>
                <w:rFonts w:ascii="Times New Roman" w:hAnsi="Times New Roman"/>
                <w:i/>
                <w:sz w:val="20"/>
              </w:rPr>
              <w:t>Med Tech Net Sales</w:t>
            </w:r>
          </w:p>
        </w:tc>
        <w:tc>
          <w:tcPr>
            <w:tcW w:w="1250" w:type="dxa"/>
            <w:tcBorders/>
            <w:tcMar>
              <w:bottom w:w="0" w:type="dxa"/>
            </w:tcMar>
            <w:vAlign w:val="center"/>
          </w:tcPr>
          <w:p>
            <w:pPr>
              <w:pStyle w:val="TableContents"/>
              <w:bidi w:val="0"/>
              <w:spacing w:before="0" w:after="0"/>
              <w:jc w:val="center"/>
              <w:rPr>
                <w:rFonts w:ascii="Times New Roman" w:hAnsi="Times New Roman"/>
                <w:i/>
                <w:sz w:val="20"/>
              </w:rPr>
            </w:pPr>
            <w:r>
              <w:rPr>
                <w:rFonts w:ascii="Times New Roman" w:hAnsi="Times New Roman"/>
                <w:i/>
                <w:sz w:val="20"/>
              </w:rPr>
              <w:t>$150.0 million</w:t>
            </w:r>
          </w:p>
        </w:tc>
        <w:tc>
          <w:tcPr>
            <w:tcW w:w="2180" w:type="dxa"/>
            <w:tcBorders/>
            <w:tcMar>
              <w:bottom w:w="0" w:type="dxa"/>
            </w:tcMar>
            <w:vAlign w:val="center"/>
          </w:tcPr>
          <w:p>
            <w:pPr>
              <w:pStyle w:val="TableContents"/>
              <w:bidi w:val="0"/>
              <w:spacing w:before="0" w:after="0"/>
              <w:jc w:val="center"/>
              <w:rPr>
                <w:rFonts w:ascii="Times New Roman" w:hAnsi="Times New Roman"/>
                <w:i/>
                <w:sz w:val="20"/>
              </w:rPr>
            </w:pPr>
            <w:r>
              <w:rPr>
                <w:rFonts w:ascii="Times New Roman" w:hAnsi="Times New Roman"/>
                <w:i/>
                <w:sz w:val="20"/>
              </w:rPr>
              <w:t>18.4%</w:t>
            </w:r>
          </w:p>
        </w:tc>
      </w:tr>
      <w:tr>
        <w:trPr/>
        <w:tc>
          <w:tcPr>
            <w:tcW w:w="1880" w:type="dxa"/>
            <w:tcBorders>
              <w:bottom w:val="single" w:sz="12" w:space="0" w:color="000000"/>
            </w:tcBorders>
            <w:shd w:fill="CCEEFF" w:val="clear"/>
            <w:vAlign w:val="center"/>
          </w:tcPr>
          <w:p>
            <w:pPr>
              <w:pStyle w:val="TableContents"/>
              <w:bidi w:val="0"/>
              <w:spacing w:before="0" w:after="0"/>
              <w:ind w:left="324" w:right="0" w:hanging="144"/>
              <w:jc w:val="left"/>
              <w:rPr>
                <w:rFonts w:ascii="Times New Roman" w:hAnsi="Times New Roman"/>
                <w:i/>
                <w:sz w:val="20"/>
              </w:rPr>
            </w:pPr>
            <w:r>
              <w:rPr>
                <w:rFonts w:ascii="Times New Roman" w:hAnsi="Times New Roman"/>
                <w:i/>
                <w:sz w:val="20"/>
              </w:rPr>
              <w:t>Med Device Net Sales</w:t>
            </w:r>
          </w:p>
        </w:tc>
        <w:tc>
          <w:tcPr>
            <w:tcW w:w="1250" w:type="dxa"/>
            <w:tcBorders>
              <w:bottom w:val="single" w:sz="12" w:space="0" w:color="000000"/>
            </w:tcBorders>
            <w:shd w:fill="CCEEFF" w:val="clear"/>
            <w:vAlign w:val="center"/>
          </w:tcPr>
          <w:p>
            <w:pPr>
              <w:pStyle w:val="TableContents"/>
              <w:bidi w:val="0"/>
              <w:spacing w:before="0" w:after="0"/>
              <w:jc w:val="center"/>
              <w:rPr>
                <w:rFonts w:ascii="Times New Roman" w:hAnsi="Times New Roman"/>
                <w:i/>
                <w:sz w:val="20"/>
              </w:rPr>
            </w:pPr>
            <w:r>
              <w:rPr>
                <w:rFonts w:ascii="Times New Roman" w:hAnsi="Times New Roman"/>
                <w:i/>
                <w:sz w:val="20"/>
              </w:rPr>
              <w:t>$170.2 million</w:t>
            </w:r>
          </w:p>
        </w:tc>
        <w:tc>
          <w:tcPr>
            <w:tcW w:w="2180" w:type="dxa"/>
            <w:tcBorders>
              <w:bottom w:val="single" w:sz="12" w:space="0" w:color="000000"/>
            </w:tcBorders>
            <w:shd w:fill="CCEEFF" w:val="clear"/>
            <w:vAlign w:val="center"/>
          </w:tcPr>
          <w:p>
            <w:pPr>
              <w:pStyle w:val="TableContents"/>
              <w:bidi w:val="0"/>
              <w:spacing w:before="0" w:after="0"/>
              <w:jc w:val="center"/>
              <w:rPr>
                <w:rFonts w:ascii="Times New Roman" w:hAnsi="Times New Roman"/>
                <w:i/>
                <w:sz w:val="20"/>
              </w:rPr>
            </w:pPr>
            <w:r>
              <w:rPr>
                <w:rFonts w:ascii="Times New Roman" w:hAnsi="Times New Roman"/>
                <w:i/>
                <w:sz w:val="20"/>
              </w:rPr>
              <w:t>2.5%</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6" w:name="z2903055107124bf98d5fb00f77084a1a"/>
      <w:bookmarkStart w:id="17" w:name="z2903055107124bf98d5fb00f77084a1a"/>
      <w:bookmarkEnd w:id="17"/>
    </w:p>
    <w:tbl>
      <w:tblPr>
        <w:tblW w:w="2553" w:type="dxa"/>
        <w:jc w:val="left"/>
        <w:tblInd w:w="0" w:type="dxa"/>
        <w:tblLayout w:type="fixed"/>
        <w:tblCellMar>
          <w:top w:w="0" w:type="dxa"/>
          <w:left w:w="0" w:type="dxa"/>
          <w:bottom w:w="0" w:type="dxa"/>
          <w:right w:w="0" w:type="dxa"/>
        </w:tblCellMar>
      </w:tblPr>
      <w:tblGrid>
        <w:gridCol w:w="38"/>
        <w:gridCol w:w="110"/>
        <w:gridCol w:w="24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GAAP gross margin of 54.6%</w:t>
            </w:r>
          </w:p>
        </w:tc>
      </w:tr>
    </w:tbl>
    <w:p>
      <w:pPr>
        <w:pStyle w:val="Normal"/>
        <w:bidi w:val="0"/>
        <w:spacing w:before="0" w:after="0"/>
        <w:jc w:val="left"/>
        <w:rPr>
          <w:sz w:val="4"/>
          <w:szCs w:val="4"/>
        </w:rPr>
      </w:pPr>
      <w:r>
        <w:rPr>
          <w:sz w:val="4"/>
          <w:szCs w:val="4"/>
        </w:rPr>
      </w:r>
      <w:bookmarkStart w:id="18" w:name="zd2c7e3b47eef482bbbda418673ec68af"/>
      <w:bookmarkStart w:id="19" w:name="zd2c7e3b47eef482bbbda418673ec68af"/>
      <w:bookmarkEnd w:id="19"/>
    </w:p>
    <w:tbl>
      <w:tblPr>
        <w:tblW w:w="2538" w:type="dxa"/>
        <w:jc w:val="left"/>
        <w:tblInd w:w="0" w:type="dxa"/>
        <w:tblLayout w:type="fixed"/>
        <w:tblCellMar>
          <w:top w:w="0" w:type="dxa"/>
          <w:left w:w="0" w:type="dxa"/>
          <w:bottom w:w="0" w:type="dxa"/>
          <w:right w:w="0" w:type="dxa"/>
        </w:tblCellMar>
      </w:tblPr>
      <w:tblGrid>
        <w:gridCol w:w="38"/>
        <w:gridCol w:w="110"/>
        <w:gridCol w:w="23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GAAP loss per share of $0.88</w:t>
            </w:r>
          </w:p>
        </w:tc>
      </w:tr>
    </w:tbl>
    <w:p>
      <w:pPr>
        <w:pStyle w:val="Normal"/>
        <w:bidi w:val="0"/>
        <w:spacing w:before="0" w:after="0"/>
        <w:jc w:val="left"/>
        <w:rPr>
          <w:sz w:val="4"/>
          <w:szCs w:val="4"/>
        </w:rPr>
      </w:pPr>
      <w:r>
        <w:rPr>
          <w:sz w:val="4"/>
          <w:szCs w:val="4"/>
        </w:rPr>
      </w:r>
      <w:bookmarkStart w:id="20" w:name="z1fb1b2849abf406599e5a10d2602aabe"/>
      <w:bookmarkStart w:id="21" w:name="z1fb1b2849abf406599e5a10d2602aabe"/>
      <w:bookmarkEnd w:id="21"/>
    </w:p>
    <w:tbl>
      <w:tblPr>
        <w:tblW w:w="2763" w:type="dxa"/>
        <w:jc w:val="left"/>
        <w:tblInd w:w="0" w:type="dxa"/>
        <w:tblLayout w:type="fixed"/>
        <w:tblCellMar>
          <w:top w:w="0" w:type="dxa"/>
          <w:left w:w="0" w:type="dxa"/>
          <w:bottom w:w="0" w:type="dxa"/>
          <w:right w:w="0" w:type="dxa"/>
        </w:tblCellMar>
      </w:tblPr>
      <w:tblGrid>
        <w:gridCol w:w="38"/>
        <w:gridCol w:w="110"/>
        <w:gridCol w:w="26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per share of $0.24</w:t>
            </w:r>
          </w:p>
        </w:tc>
      </w:tr>
    </w:tbl>
    <w:p>
      <w:pPr>
        <w:pStyle w:val="Normal"/>
        <w:bidi w:val="0"/>
        <w:spacing w:before="0" w:after="0"/>
        <w:jc w:val="left"/>
        <w:rPr>
          <w:sz w:val="4"/>
          <w:szCs w:val="4"/>
        </w:rPr>
      </w:pPr>
      <w:r>
        <w:rPr>
          <w:sz w:val="4"/>
          <w:szCs w:val="4"/>
        </w:rPr>
      </w:r>
      <w:bookmarkStart w:id="22" w:name="z37c48101c05b4a3e94b7a277f3b429aa"/>
      <w:bookmarkStart w:id="23" w:name="z37c48101c05b4a3e94b7a277f3b429aa"/>
      <w:bookmarkEnd w:id="23"/>
    </w:p>
    <w:tbl>
      <w:tblPr>
        <w:tblW w:w="3033" w:type="dxa"/>
        <w:jc w:val="left"/>
        <w:tblInd w:w="0" w:type="dxa"/>
        <w:tblLayout w:type="fixed"/>
        <w:tblCellMar>
          <w:top w:w="0" w:type="dxa"/>
          <w:left w:w="0" w:type="dxa"/>
          <w:bottom w:w="0" w:type="dxa"/>
          <w:right w:w="0" w:type="dxa"/>
        </w:tblCellMar>
      </w:tblPr>
      <w:tblGrid>
        <w:gridCol w:w="38"/>
        <w:gridCol w:w="110"/>
        <w:gridCol w:w="2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 of $13.2 million</w:t>
            </w:r>
          </w:p>
        </w:tc>
      </w:tr>
    </w:tbl>
    <w:p>
      <w:pPr>
        <w:pStyle w:val="Normal"/>
        <w:bidi w:val="0"/>
        <w:spacing w:before="0" w:after="0"/>
        <w:jc w:val="left"/>
        <w:rPr>
          <w:sz w:val="4"/>
          <w:szCs w:val="4"/>
        </w:rPr>
      </w:pPr>
      <w:r>
        <w:rPr>
          <w:sz w:val="4"/>
          <w:szCs w:val="4"/>
        </w:rPr>
      </w:r>
      <w:bookmarkStart w:id="24" w:name="z93c1e248a4564d568cc7dff6d6337d5b"/>
      <w:bookmarkStart w:id="25" w:name="z93c1e248a4564d568cc7dff6d6337d5b"/>
      <w:bookmarkEnd w:id="25"/>
    </w:p>
    <w:tbl>
      <w:tblPr>
        <w:tblW w:w="4218" w:type="dxa"/>
        <w:jc w:val="left"/>
        <w:tblInd w:w="0" w:type="dxa"/>
        <w:tblLayout w:type="fixed"/>
        <w:tblCellMar>
          <w:top w:w="0" w:type="dxa"/>
          <w:left w:w="0" w:type="dxa"/>
          <w:bottom w:w="0" w:type="dxa"/>
          <w:right w:w="0" w:type="dxa"/>
        </w:tblCellMar>
      </w:tblPr>
      <w:tblGrid>
        <w:gridCol w:w="38"/>
        <w:gridCol w:w="110"/>
        <w:gridCol w:w="40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Ended fiscal year 2026 with $53.9 million in cash</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*Pro forma results exclude the Dialysis and BioSentry businesses divested in June 2023 and the PICC and Midline product portfolios divested in February 2024, as well as the discontinued RadioFrequency and Syntrax products in February 2024.</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Clinical, Regulatory, and Market Access Highlights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During the fiscal year:</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6" w:name="z67065b9f95c649d5a95528e9532aab4c"/>
      <w:bookmarkStart w:id="27" w:name="z67065b9f95c649d5a95528e9532aab4c"/>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Received FDA IDE approval for APEX-Return study evaluating AlphaReturn Blood Management System when used with AlphaVac F1885 System</w:t>
            </w:r>
          </w:p>
        </w:tc>
      </w:tr>
    </w:tbl>
    <w:p>
      <w:pPr>
        <w:pStyle w:val="Normal"/>
        <w:bidi w:val="0"/>
        <w:spacing w:before="0" w:after="0"/>
        <w:jc w:val="left"/>
        <w:rPr>
          <w:sz w:val="4"/>
          <w:szCs w:val="4"/>
        </w:rPr>
      </w:pPr>
      <w:r>
        <w:rPr>
          <w:sz w:val="4"/>
          <w:szCs w:val="4"/>
        </w:rPr>
      </w:r>
      <w:bookmarkStart w:id="28" w:name="ze4ad355c8fc84e6fb4b1ae9f0332e663"/>
      <w:bookmarkStart w:id="29" w:name="ze4ad355c8fc84e6fb4b1ae9f0332e663"/>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Received FDA IDE approval for PAVE clinical study evaluating AngioVac System for treatment of right-sided infective endocarditis</w:t>
            </w:r>
          </w:p>
        </w:tc>
      </w:tr>
    </w:tbl>
    <w:p>
      <w:pPr>
        <w:pStyle w:val="Normal"/>
        <w:bidi w:val="0"/>
        <w:spacing w:before="0" w:after="0"/>
        <w:jc w:val="left"/>
        <w:rPr>
          <w:sz w:val="4"/>
          <w:szCs w:val="4"/>
        </w:rPr>
      </w:pPr>
      <w:r>
        <w:rPr>
          <w:sz w:val="4"/>
          <w:szCs w:val="4"/>
        </w:rPr>
      </w:r>
      <w:bookmarkStart w:id="30" w:name="z6b3e9e9bc55145f3b67c9b3e90b63cda"/>
      <w:bookmarkStart w:id="31" w:name="z6b3e9e9bc55145f3b67c9b3e90b63cda"/>
      <w:bookmarkEnd w:id="31"/>
    </w:p>
    <w:tbl>
      <w:tblPr>
        <w:tblW w:w="5118" w:type="dxa"/>
        <w:jc w:val="left"/>
        <w:tblInd w:w="0" w:type="dxa"/>
        <w:tblLayout w:type="fixed"/>
        <w:tblCellMar>
          <w:top w:w="0" w:type="dxa"/>
          <w:left w:w="0" w:type="dxa"/>
          <w:bottom w:w="0" w:type="dxa"/>
          <w:right w:w="0" w:type="dxa"/>
        </w:tblCellMar>
      </w:tblPr>
      <w:tblGrid>
        <w:gridCol w:w="38"/>
        <w:gridCol w:w="110"/>
        <w:gridCol w:w="49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Initiated both the AMBITION BTK and RECOVER-AV trials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During the fourth quarter:</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2" w:name="zf816b7f6ce5e480f8c7823c4b7839298"/>
      <w:bookmarkStart w:id="33" w:name="zf816b7f6ce5e480f8c7823c4b7839298"/>
      <w:bookmarkEnd w:id="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Two-year follow up data from its PRESERVE pivotal trial presented at the American Urological Association conference in 2026 demonstrating NanoKnife’s durable prostate cancer outcomes</w:t>
            </w:r>
          </w:p>
        </w:tc>
      </w:tr>
    </w:tbl>
    <w:p>
      <w:pPr>
        <w:pStyle w:val="Normal"/>
        <w:bidi w:val="0"/>
        <w:spacing w:before="0" w:after="0"/>
        <w:jc w:val="left"/>
        <w:rPr>
          <w:sz w:val="4"/>
          <w:szCs w:val="4"/>
        </w:rPr>
      </w:pPr>
      <w:r>
        <w:rPr>
          <w:sz w:val="4"/>
          <w:szCs w:val="4"/>
        </w:rPr>
      </w:r>
      <w:bookmarkStart w:id="34" w:name="z3d55197ed9cd4beabebde578557f60e3"/>
      <w:bookmarkStart w:id="35" w:name="z3d55197ed9cd4beabebde578557f60e3"/>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Palmetto GBA (Government Benefits Administrators) finalized a local coverage determination covering NanoKnife IRE for qualifying Medicare patients in prostate and liver cancer, effective July 5, 2026</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Subsequent to fiscal year end: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6" w:name="z78bed01e4c7c4d049a75f6201561d979"/>
      <w:bookmarkStart w:id="37" w:name="z78bed01e4c7c4d049a75f6201561d979"/>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Received FDA IDE (Investigational Device Exemption) approval for the RELIEF study evaluating NanoKnife IRE for the treatment of benign prostatic hyperplasia</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"Our strong fourth quarter capped a year of consistent execution at AngioDynamics," said Jim Clemmer, President and Chief Executive Officer of AngioDynamics, Inc. "Full-year Med Tech growth of more than 18% reflects the continued progress of our strategic transformation, as our innovative platform technologies across cardiology and interventional oncology took share in large, fast-growing global markets. Combined with our operational discipline, that growth drove continued profitability even as we absorbed tariff-related headwinds."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"We advanced our portfolio on multiple fronts during the year. We generated compelling two-year PRESERVE clinical data and secured a critical Medicare coverage pathway for NanoKnife in prostate and liver, while achieving key regulatory milestones across our Mechanical Thrombectomy portfolio, including IDE approvals for our AlphaVac blood return and AngioVac right-sided endocarditis studies. Auryon delivered its 20th consecutive quarter of double-digit growth, and NanoKnife adoption accelerated following the effective date of the Category I CPT code for prostate."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Mr. Clemmer continued, "As we look ahead to fiscal 2027, we remain focused on driving sustained growth led by our Med Tech segment. Med Tech represented 47% of our total revenue in fiscal 2026, up approximately 22% from when we began our strategic transformation in 2020. We expect that mix to continue shifting toward our higher-growth, higher-margin platforms. With a differentiated technology portfolio, multiple growth catalysts ahead, and a debt-free balance sheet with positive cash generation, we are well-positioned to deliver continued value creation in fiscal 2027 and beyond."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333333"/>
          <w:sz w:val="20"/>
          <w:u w:val="single"/>
        </w:rPr>
      </w:pPr>
      <w:r>
        <w:rPr>
          <w:rFonts w:ascii="Times New Roman" w:hAnsi="Times New Roman"/>
          <w:b/>
          <w:color w:val="333333"/>
          <w:sz w:val="20"/>
          <w:u w:val="single"/>
        </w:rPr>
        <w:t>Fiscal Fourth Quarter 2026 Financial Results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Unless otherwise noted, all financial comparisons below are presented on a pro forma basis excluding the Dialysis and BioSentry businesses divested in June 2023, the PICC, Midline, and tip location product portfolios divested in February 2024, and the RadioFrequency and Syntrax support catheter products discontinued in February 2024.</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Net sales for the fourth quarter of fiscal year 2026 were $86.6 million, an increase of 8.0% compared to the prior-year quarter.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Med Tech net sales were $41.8 million, a 16.7% increase from $35.8 million in the prior-year period. Med Tech includes the Auryon peripheral atherectomy platform, our thrombus management platform which is led by AlphaVac and AngioVac, and the NanoKnife irreversible electroporation platform.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Growth during the quarter was driven by solid performance across the Med Tech segment. Auryon sales were $17.8 million, an increase of 14.4% compared to the prior-year quarter. In our Mechanical Thrombectomy business, AlphaVac sales grew 38.4% compared to the prior year quarter, while AngioVac faced a tough comparison, declining 15.8% versus prior year. Overall, Mechanical Thrombectomy delivered sales of $11.1 million, a decrease of 1.1% compared to the prior-year quarter. NanoKnife sales were $11.8 million, an increase of 64.5% compared to the prior-year quarter, including 47.0% growth in probes and 132.5% growth in capital sales.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Med Device net sales were $44.8 million, a 1.1% increase compared to $44.4 million in the prior-year period.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Gross margin for the fourth quarter of fiscal 2026 was 54.0%, which was 130 basis points higher compared to the fourth quarter of fiscal 2025, primarily driven by favorable pricing and the ongoing revenue mix shift toward Med Tech, partially offset by the manufacturing transition and global inflation all of which were in-line with the Company's expectations.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The Company recorded a GAAP net loss of $11.4 million, or a loss per share of $0.27, in the fourth quarter of fiscal 2026, compared to a net loss of $6.1 million, or a loss per share of $0.15, a year ago. Excluding the items shown in the non-GAAP reconciliation table below, adjusted net loss for the fourth quarter of fiscal 2026 was $2.8 million, or a loss per share of $0.07. This compares to an adjusted net loss during the fiscal fourth quarter of 2025 of $1.1 million, or a loss per share of $0.03.</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Adjusted EBITDA in the fourth quarter of fiscal 2026, excluding the items shown in the non-GAAP reconciliation table below, was $3.3 million, compared to $3.4 million in the fourth quarter of fiscal 2025.</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Tariff-related expenses were $0.5 million during the quarter, compared to $1.6 million for the prior year quarter, in-line with the Company's expectations.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In the fourth quarter of fiscal 2026, the Company generated $17.5 million of cash from operations, slightly ahead of the Company's expectations.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333333"/>
          <w:sz w:val="20"/>
          <w:u w:val="single"/>
        </w:rPr>
      </w:pPr>
      <w:r>
        <w:rPr>
          <w:rFonts w:ascii="Times New Roman" w:hAnsi="Times New Roman"/>
          <w:b/>
          <w:color w:val="333333"/>
          <w:sz w:val="20"/>
          <w:u w:val="single"/>
        </w:rPr>
        <w:t>Full-Year 2026 Financial Results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Unless otherwise noted, all financial comparisons below are presented on a pro forma basis excluding the Dialysis and BioSentry businesses divested in June 2023, the PICC, Midline, and tip location product portfolios divested in February 2024, and the RadioFrequency and Syntrax support catheter products discontinued in February 2024.</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Net sales were $320.2 million, an increase of 9.4%, compared to $292.7 million for the prior year period.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Med Tech net sales were $150.0 million, an 18.4% increase from $126.7 million in the prior year.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Med Device net sales were $170.2 million, an increase of 2.5% from $166.0 million in the prior year.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Gross margin increased 70 basis points to 54.6% from 53.9% in the prior year, with tariffs creating a 151-basis point headwind.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The Company's GAAP net loss was $36.7 million, or a loss per share of $0.88, compared to a net loss of $34.0 million, or a loss per share of $0.83, a year ago. Excluding the items shown in the non-GAAP reconciliation table below, adjusted net loss was $10.0 million, with adjusted loss per share of $0.24, compared to adjusted net loss of $10.2 million, or adjusted loss per share of $0.25, a year ago.</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Adjusted EBITDA, excluding the items shown in the reconciliation table below, was $13.2 million, compared to $7.6 million for the prior year.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Tariff-related expenses were $4.8 million during the year, compared to $1.6 million for the prior year, in-line with the Company's expectations.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In the full year of fiscal 2026, the Company generated $3.1 million of cash from operations, slightly ahead of the Company's stated expectations following Q3.</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At May 31, 2026, the Company had $53.9 million in cash and maintains a debt-free balance sheet.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FDA IDE Approval for RELIEF BPH Study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Subsequent to fiscal year-end, the Company received FDA approval of its IDE for the RELIEF study, a feasibility trial evaluating NanoKnife IRE for the treatment of benign prostatic hyperplasia. The study is designed to enroll 40 subjects at up to five U.S. clinical sites, with a primary endpoint measuring change in the International Prostate Symptom Score at six months. RELIEF extends the NanoKnife IRE platform beyond oncology into one of the most common conditions affecting men's health. The Company views the study as an important step in expanding the long-term addressable market for its IRE technology.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Two-Year PRESERVE Data Demonstrates Durable Prostate Cancer Outcomes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In May 2026, the Company presented two-year results from its PRESERVE pivotal trial at the American Urological Association Annual Meeting, demonstrating durable outcomes for the NanoKnife System in the focal ablation of intermediate-risk prostate cancer. PRESERVE is a prospective, single-arm pivotal IDE study that enrolled 121 patients across 17 U.S. clinical sites in collaboration with the Society of Urologic Oncology Clinical Trials Consortium. At 24 months, no new treatment failures were identified among patients with available follow-up, and 97% of patients had a PSA below their baseline value, with no new device- or procedure-related adverse events reported between the 12- and 24-month assessments. These results build on the trial's previously published 12-month primary endpoint and reinforce the durability of focal IRE as a treatment option that preserves quality of life.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Category I CPT Codes and Medicare Coverage Advance NanoKnife Reimbursement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4"/>
        </w:rPr>
      </w:pPr>
      <w:r>
        <w:rPr>
          <w:rFonts w:ascii="Times New Roman" w:hAnsi="Times New Roman"/>
          <w:color w:val="333333"/>
          <w:sz w:val="20"/>
        </w:rPr>
        <w:t>The Company continued to advance the reimbursement framework for irreversible electroporation (IRE) delivered by the NanoKnife System. Effective January 1, 2026, Category I CPT codes for IRE procedures in the prostate and liver became active, reflecting the American Medical Association's formal recognition of the procedure and supporting standardized billing across hospital outpatient and ambulatory surgical center settings. Building on this, in May 2026 Palmetto GBA issued a final Local Coverage Determination establishing Medicare coverage</w:t>
      </w:r>
      <w:r>
        <w:rPr>
          <w:rFonts w:ascii="Times New Roman" w:hAnsi="Times New Roman"/>
          <w:color w:val="000000"/>
          <w:sz w:val="24"/>
        </w:rPr>
        <w:t> </w:t>
      </w:r>
      <w:r>
        <w:rPr>
          <w:rFonts w:ascii="Times New Roman" w:hAnsi="Times New Roman"/>
          <w:color w:val="333333"/>
          <w:sz w:val="20"/>
        </w:rPr>
        <w:t>guidance for IRE in favorable intermediate-risk prostate cancer and metastatic colorectal cancer to the liver, effective July 5, 2026. Together, these milestones enable eligible patients and treating physicians to access reimbursement under Medicare and mark an important step toward broader national payer adoption.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FDA IDE Approval for APEX-Return Study</w:t>
      </w:r>
    </w:p>
    <w:p>
      <w:pPr>
        <w:pStyle w:val="TextBody"/>
        <w:bidi w:val="0"/>
        <w:spacing w:before="0" w:after="0"/>
        <w:jc w:val="left"/>
        <w:rPr>
          <w:sz w:val="20"/>
        </w:rPr>
      </w:pPr>
      <w:r>
        <w:rPr>
          <w:sz w:val="20"/>
        </w:rPr>
      </w:r>
    </w:p>
    <w:p>
      <w:pPr>
        <w:pStyle w:val="TextBody"/>
        <w:bidi w:val="0"/>
        <w:spacing w:lineRule="auto" w:line="240" w:before="0" w:after="0"/>
        <w:jc w:val="left"/>
        <w:rPr>
          <w:rFonts w:ascii="Times New Roman" w:hAnsi="Times New Roman"/>
          <w:color w:val="333333"/>
          <w:sz w:val="20"/>
        </w:rPr>
      </w:pPr>
      <w:r>
        <w:rPr>
          <w:rFonts w:ascii="Times New Roman" w:hAnsi="Times New Roman"/>
          <w:color w:val="333333"/>
          <w:sz w:val="20"/>
        </w:rPr>
        <w:t>During the fiscal year, the Company announced that the FDA approved its IDE application for its APEX-Return study. The pivotal study will evaluate the safety and effectiveness of the AlphaReturn Blood Management System when used with the AlphaVac F1885 Multipurpose Mechanical Aspiration (MMA) System in the treatment of acute pulmonary embolism (PE). The APEX-Return study will enroll up to 40 patients across multiple sites and will assess key safety and effectiveness endpoints, including device-related adverse events and procedural outcomes. The AlphaReturn Blood Management System addresses market feedback by enabling the collection, filtration and reinfusion of aspirated blood during thrombectomy procedures, which may reduce the need for blood transfusions.</w:t>
      </w:r>
    </w:p>
    <w:p>
      <w:pPr>
        <w:pStyle w:val="TextBody"/>
        <w:bidi w:val="0"/>
        <w:spacing w:before="0" w:after="0"/>
        <w:jc w:val="left"/>
        <w:rPr>
          <w:sz w:val="20"/>
        </w:rPr>
      </w:pPr>
      <w:r>
        <w:rPr>
          <w:sz w:val="20"/>
        </w:rPr>
      </w:r>
    </w:p>
    <w:p>
      <w:pPr>
        <w:pStyle w:val="TextBody"/>
        <w:bidi w:val="0"/>
        <w:spacing w:before="0" w:after="0"/>
        <w:jc w:val="left"/>
        <w:rPr>
          <w:color w:val="333333"/>
        </w:rPr>
      </w:pPr>
      <w:r>
        <w:rPr>
          <w:color w:val="333333"/>
        </w:rPr>
        <w:t> </w:t>
      </w:r>
      <w:r>
        <w:rPr>
          <w:rFonts w:ascii="Times New Roman" w:hAnsi="Times New Roman"/>
          <w:b/>
          <w:color w:val="333333"/>
          <w:sz w:val="20"/>
        </w:rPr>
        <w:t>FDA IDE Approval for PAVE Clinical Study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During the fiscal year, the Company announced that the FDA approved its IDE application for the PAVE clinical study. The PAVE (Percutaneous AngioVac Vegetation Extraction) pilot trial will evaluate the Company's AngioVac System for the percutaneous removal of vegetation from the right heart in patients with right-sided infective endocarditis (RSIE). The study is intended to assess whether a minimally invasive approach using the AngioVac System may provide an alternative option for this underserved patient population who have limited treatment options, particularly when surgical risk is high. The PAVE study is a prospective, single-arm, multicenter feasibility trial that will enroll up to 30 patients with RSIE at up to six U.S. centers. In August 2023, the AngioVac System received an FDA Breakthrough Device designation for the removal of right heart vegetation.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Advancing Clinical Evidence Across the Portfolio</w:t>
      </w:r>
    </w:p>
    <w:p>
      <w:pPr>
        <w:pStyle w:val="TextBody"/>
        <w:bidi w:val="0"/>
        <w:spacing w:before="0" w:after="0"/>
        <w:jc w:val="left"/>
        <w:rPr>
          <w:sz w:val="20"/>
        </w:rPr>
      </w:pPr>
      <w:r>
        <w:rPr>
          <w:sz w:val="20"/>
        </w:rPr>
      </w:r>
    </w:p>
    <w:p>
      <w:pPr>
        <w:pStyle w:val="TextBody"/>
        <w:bidi w:val="0"/>
        <w:spacing w:lineRule="auto" w:line="240" w:before="0" w:after="0"/>
        <w:jc w:val="left"/>
        <w:rPr>
          <w:rFonts w:ascii="Times New Roman" w:hAnsi="Times New Roman"/>
          <w:color w:val="333333"/>
          <w:sz w:val="20"/>
        </w:rPr>
      </w:pPr>
      <w:r>
        <w:rPr>
          <w:rFonts w:ascii="Times New Roman" w:hAnsi="Times New Roman"/>
          <w:color w:val="333333"/>
          <w:sz w:val="20"/>
        </w:rPr>
        <w:t>During the fiscal year, the Company initiated patient enrollment in two key clinical trials. The AMBITION BTK trial evaluates the Auryon Atherectomy System in critical limb ischemia patients with challenging below-the-knee blockages. The RECOVER-AV trial assesses the AlphaVac F1885 System for intermediate-risk pulmonary embolism. Together, these trials reflect the Company's commitment to generating high-quality clinical evidence to drive adoption and expand addressable markets across its vascular portfolio.</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333333"/>
          <w:sz w:val="20"/>
          <w:u w:val="single"/>
        </w:rPr>
      </w:pPr>
      <w:r>
        <w:rPr>
          <w:rFonts w:ascii="Times New Roman" w:hAnsi="Times New Roman"/>
          <w:b/>
          <w:color w:val="333333"/>
          <w:sz w:val="20"/>
          <w:u w:val="single"/>
        </w:rPr>
        <w:t>Fiscal Year 2027 Financial Guidance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8" w:name="zee908a31129b40018ba766cc4b8f9f28"/>
      <w:bookmarkStart w:id="39" w:name="zee908a31129b40018ba766cc4b8f9f28"/>
      <w:bookmarkEnd w:id="39"/>
    </w:p>
    <w:tbl>
      <w:tblPr>
        <w:tblW w:w="4150" w:type="dxa"/>
        <w:jc w:val="left"/>
        <w:tblInd w:w="0" w:type="dxa"/>
        <w:tblLayout w:type="fixed"/>
        <w:tblCellMar>
          <w:top w:w="0" w:type="dxa"/>
          <w:left w:w="0" w:type="dxa"/>
          <w:bottom w:w="28" w:type="dxa"/>
          <w:right w:w="0" w:type="dxa"/>
        </w:tblCellMar>
      </w:tblPr>
      <w:tblGrid>
        <w:gridCol w:w="2450"/>
        <w:gridCol w:w="1700"/>
      </w:tblGrid>
      <w:tr>
        <w:trPr/>
        <w:tc>
          <w:tcPr>
            <w:tcW w:w="2450" w:type="dxa"/>
            <w:tcBorders>
              <w:bottom w:val="single" w:sz="12" w:space="0" w:color="000000"/>
            </w:tcBorders>
            <w:vAlign w:val="center"/>
          </w:tcPr>
          <w:p>
            <w:pPr>
              <w:pStyle w:val="TableContents"/>
              <w:bidi w:val="0"/>
              <w:spacing w:before="0" w:after="0"/>
              <w:jc w:val="center"/>
              <w:rPr>
                <w:rFonts w:ascii="Times New Roman" w:hAnsi="Times New Roman"/>
                <w:b/>
                <w:color w:val="333333"/>
                <w:sz w:val="20"/>
              </w:rPr>
            </w:pPr>
            <w:r>
              <w:rPr>
                <w:rFonts w:ascii="Times New Roman" w:hAnsi="Times New Roman"/>
                <w:b/>
                <w:color w:val="333333"/>
                <w:sz w:val="20"/>
              </w:rPr>
              <w:t>Guidance Metric</w:t>
            </w:r>
          </w:p>
        </w:tc>
        <w:tc>
          <w:tcPr>
            <w:tcW w:w="1700" w:type="dxa"/>
            <w:tcBorders>
              <w:bottom w:val="single" w:sz="12" w:space="0" w:color="000000"/>
            </w:tcBorders>
            <w:vAlign w:val="center"/>
          </w:tcPr>
          <w:p>
            <w:pPr>
              <w:pStyle w:val="TableContents"/>
              <w:bidi w:val="0"/>
              <w:spacing w:before="0" w:after="0"/>
              <w:jc w:val="center"/>
              <w:rPr>
                <w:rFonts w:ascii="Times New Roman" w:hAnsi="Times New Roman"/>
                <w:b/>
                <w:color w:val="333333"/>
                <w:sz w:val="20"/>
              </w:rPr>
            </w:pPr>
            <w:r>
              <w:rPr>
                <w:rFonts w:ascii="Times New Roman" w:hAnsi="Times New Roman"/>
                <w:b/>
                <w:color w:val="333333"/>
                <w:sz w:val="20"/>
              </w:rPr>
              <w:t>Guidance</w:t>
            </w:r>
          </w:p>
          <w:p>
            <w:pPr>
              <w:pStyle w:val="TableContents"/>
              <w:bidi w:val="0"/>
              <w:spacing w:before="0" w:after="0"/>
              <w:jc w:val="center"/>
              <w:rPr>
                <w:rFonts w:ascii="Times New Roman" w:hAnsi="Times New Roman"/>
                <w:i/>
                <w:color w:val="333333"/>
                <w:sz w:val="20"/>
              </w:rPr>
            </w:pPr>
            <w:r>
              <w:rPr>
                <w:rFonts w:ascii="Times New Roman" w:hAnsi="Times New Roman"/>
                <w:i/>
                <w:color w:val="333333"/>
                <w:sz w:val="20"/>
              </w:rPr>
              <w:t>(As of July 14, 2026)</w:t>
            </w:r>
          </w:p>
        </w:tc>
      </w:tr>
      <w:tr>
        <w:trPr/>
        <w:tc>
          <w:tcPr>
            <w:tcW w:w="245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Net Sales</w:t>
            </w:r>
          </w:p>
        </w:tc>
        <w:tc>
          <w:tcPr>
            <w:tcW w:w="170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$336.0M - $341.0M</w:t>
            </w:r>
          </w:p>
        </w:tc>
      </w:tr>
      <w:tr>
        <w:trPr/>
        <w:tc>
          <w:tcPr>
            <w:tcW w:w="245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Med Tech Net Sales Growth</w:t>
            </w:r>
          </w:p>
        </w:tc>
        <w:tc>
          <w:tcPr>
            <w:tcW w:w="170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12% – 15%</w:t>
            </w:r>
          </w:p>
        </w:tc>
      </w:tr>
      <w:tr>
        <w:trPr/>
        <w:tc>
          <w:tcPr>
            <w:tcW w:w="245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Med Device Net Sales Growth</w:t>
            </w:r>
          </w:p>
        </w:tc>
        <w:tc>
          <w:tcPr>
            <w:tcW w:w="170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Flat</w:t>
            </w:r>
          </w:p>
        </w:tc>
      </w:tr>
      <w:tr>
        <w:trPr/>
        <w:tc>
          <w:tcPr>
            <w:tcW w:w="245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Gross Margin</w:t>
            </w:r>
          </w:p>
        </w:tc>
        <w:tc>
          <w:tcPr>
            <w:tcW w:w="170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54% – 55%</w:t>
            </w:r>
          </w:p>
        </w:tc>
      </w:tr>
      <w:tr>
        <w:trPr/>
        <w:tc>
          <w:tcPr>
            <w:tcW w:w="245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Adjusted EBITDA</w:t>
            </w:r>
          </w:p>
        </w:tc>
        <w:tc>
          <w:tcPr>
            <w:tcW w:w="170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$13.0M - $16.0M</w:t>
            </w:r>
          </w:p>
        </w:tc>
      </w:tr>
      <w:tr>
        <w:trPr/>
        <w:tc>
          <w:tcPr>
            <w:tcW w:w="245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Adjusted EPS</w:t>
            </w:r>
          </w:p>
        </w:tc>
        <w:tc>
          <w:tcPr>
            <w:tcW w:w="170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($0.29) – ($0.24)</w:t>
            </w:r>
          </w:p>
        </w:tc>
      </w:tr>
    </w:tbl>
    <w:p>
      <w:pPr>
        <w:pStyle w:val="TextBody"/>
        <w:bidi w:val="0"/>
        <w:spacing w:before="0" w:after="0"/>
        <w:jc w:val="left"/>
        <w:rPr>
          <w:rFonts w:ascii="Times New Roman" w:hAnsi="Times New Roman"/>
          <w:b/>
          <w:color w:val="333333"/>
          <w:sz w:val="20"/>
        </w:rPr>
      </w:pPr>
      <w:r>
        <w:rPr>
          <w:rFonts w:ascii="Times New Roman" w:hAnsi="Times New Roman"/>
          <w:b/>
          <w:color w:val="333333"/>
          <w:sz w:val="20"/>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Tariff Related Guidance Assumptions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For fiscal 2027, the Company expects a tariff impact broadly similar to fiscal 2026, based on its current view of the tariff situation, which remains dynamic and subject to change.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Conference Call</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The Company’s management will host a conference call at 8:00 am ET on the date of this announcement to discuss the results.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To participate in the conference call, dial 1-877-407-0784 (domestic) or +1-201-689-8560 (international). This conference call will also be webcast and can be accessed from the “Investors” section of the AngioDynamics website at www.angiodynamics.com. The webcast replay of the call will be available at the same site approximately one hour after the end of the call.</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Use of Non-GAAP Measures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val="false"/>
          <w:color w:val="333333"/>
          <w:sz w:val="20"/>
        </w:rPr>
      </w:pPr>
      <w:r>
        <w:rPr>
          <w:rFonts w:ascii="Times New Roman" w:hAnsi="Times New Roman"/>
          <w:b w:val="false"/>
          <w:color w:val="333333"/>
          <w:sz w:val="20"/>
        </w:rPr>
        <w:t>Management uses non-GAAP measures to establish operational goals and believes that non-GAAP measures may assist investors in analyzing the underlying trends in AngioDynamics' business over time. Investors should consider these non-GAAP measures in addition to, not as a substitute for or as superior to, financial reporting measures prepared in accordance with GAAP. In this news release, AngioDynamics has reported pro forma results, adjusted EBITDA, adjusted net income and adjusted earnings per share. Management uses these measures in its internal analysis and review of operational performance. Management believes that these measures provide investors with useful information in comparing AngioDynamics' performance over different periods. By using these non-GAAP measures, management believes that investors get a better picture of the performance of AngioDynamics' underlying business. Management encourages investors to review AngioDynamics' financial results prepared in accordance with GAAP to understand AngioDynamics' performance taking into account all relevant factors, including those that may only occur from time to time but have a material impact on AngioDynamics' financial results. Please see the tables that follow for a reconciliation of non-GAAP measures to measures prepared in accordance with GAAP.</w:t>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About AngioDynamics, Inc.</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AngioDynamics is a leading and transformative medical technology company focused on restoring healthy blood flow in the body’s vascular system, expanding cancer treatment options and improving quality of life for patients.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4"/>
        </w:rPr>
      </w:pPr>
      <w:r>
        <w:rPr>
          <w:rFonts w:ascii="Times New Roman" w:hAnsi="Times New Roman"/>
          <w:color w:val="333333"/>
          <w:sz w:val="20"/>
        </w:rPr>
        <w:t>The Company’s innovative technologies and devices are chosen by talented physicians in fast-growing healthcare markets to treat unmet patient needs. For more information, v</w:t>
      </w:r>
      <w:r>
        <w:rPr>
          <w:rFonts w:ascii="Times New Roman" w:hAnsi="Times New Roman"/>
          <w:color w:val="000000"/>
          <w:sz w:val="20"/>
        </w:rPr>
        <w:t xml:space="preserve">isit </w:t>
      </w:r>
      <w:r>
        <w:rPr>
          <w:rFonts w:ascii="Times New Roman" w:hAnsi="Times New Roman"/>
          <w:color w:val="000000"/>
          <w:sz w:val="20"/>
          <w:u w:val="single"/>
        </w:rPr>
        <w:t>www.angiodynamics.com</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Safe Harbor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This release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2026. AngioDynamics does not assume any obligation to publicly update or revise any forward-looking statements for any reason.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INCOME STATEMENTS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0" w:name="z480cd48b5b294731891eed1678d20231"/>
      <w:bookmarkStart w:id="41" w:name="z480cd48b5b294731891eed1678d20231"/>
      <w:bookmarkEnd w:id="41"/>
    </w:p>
    <w:tbl>
      <w:tblPr>
        <w:tblW w:w="9990" w:type="dxa"/>
        <w:jc w:val="left"/>
        <w:tblInd w:w="0" w:type="dxa"/>
        <w:tblLayout w:type="fixed"/>
        <w:tblCellMar>
          <w:top w:w="0" w:type="dxa"/>
          <w:left w:w="0" w:type="dxa"/>
          <w:bottom w:w="0" w:type="dxa"/>
          <w:right w:w="0" w:type="dxa"/>
        </w:tblCellMar>
      </w:tblPr>
      <w:tblGrid>
        <w:gridCol w:w="4175"/>
        <w:gridCol w:w="60"/>
        <w:gridCol w:w="187"/>
        <w:gridCol w:w="973"/>
        <w:gridCol w:w="185"/>
        <w:gridCol w:w="60"/>
        <w:gridCol w:w="226"/>
        <w:gridCol w:w="1069"/>
        <w:gridCol w:w="185"/>
        <w:gridCol w:w="60"/>
        <w:gridCol w:w="425"/>
        <w:gridCol w:w="885"/>
        <w:gridCol w:w="80"/>
        <w:gridCol w:w="60"/>
        <w:gridCol w:w="202"/>
        <w:gridCol w:w="958"/>
        <w:gridCol w:w="200"/>
      </w:tblGrid>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55"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200"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Actual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295"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As Reported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200" w:type="dxa"/>
            <w:tcBorders/>
            <w:vAlign w:val="bottom"/>
          </w:tcPr>
          <w:p>
            <w:pPr>
              <w:pStyle w:val="TableContents"/>
              <w:bidi w:val="0"/>
              <w:spacing w:before="0" w:after="283"/>
              <w:jc w:val="left"/>
              <w:rPr/>
            </w:pPr>
            <w:r>
              <w:rPr/>
            </w:r>
          </w:p>
        </w:tc>
      </w:tr>
      <w:tr>
        <w:trPr/>
        <w:tc>
          <w:tcPr>
            <w:tcW w:w="417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29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(audited)</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200"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sales</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86,607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80,158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80,157</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Cost of sales (exclusive of intangible amortization)</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39,834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37,940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37,942</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Gross margin</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46,773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42,218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42,215</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 of net sales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52.7</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expenses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8,178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6,590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6,590</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Sales and marketing</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26,437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26,437</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10,266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10,236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10,236</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Amortization of intangibles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2,588</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Acquisition, restructuring and other items, net</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4,683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2,155</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56,968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48,006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48,006</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Operating loss</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(10,195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(5,791</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income (expense), net</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expense, net</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(325</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other expense, net</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4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Loss before income tax (benefit) expense</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(11,035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(6,113</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(benefit) expense</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4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(11,405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4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(6,053</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Loss per share</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Weighted average shares outstanding</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41,696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40,984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40,984</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41,696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40,984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40,984</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May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Reflects the elimination of revenues and expenses representing the operating results from the sales and discontinuation of the Businesses.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INCOME STATEMENTS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2" w:name="zefb4c0279e134918a2816e6509588de1"/>
      <w:bookmarkStart w:id="43" w:name="zefb4c0279e134918a2816e6509588de1"/>
      <w:bookmarkEnd w:id="43"/>
    </w:p>
    <w:tbl>
      <w:tblPr>
        <w:tblW w:w="10205" w:type="dxa"/>
        <w:jc w:val="left"/>
        <w:tblInd w:w="0" w:type="dxa"/>
        <w:tblLayout w:type="fixed"/>
        <w:tblCellMar>
          <w:top w:w="0" w:type="dxa"/>
          <w:left w:w="0" w:type="dxa"/>
          <w:bottom w:w="0" w:type="dxa"/>
          <w:right w:w="0" w:type="dxa"/>
        </w:tblCellMar>
      </w:tblPr>
      <w:tblGrid>
        <w:gridCol w:w="1535"/>
        <w:gridCol w:w="60"/>
        <w:gridCol w:w="176"/>
        <w:gridCol w:w="984"/>
        <w:gridCol w:w="185"/>
        <w:gridCol w:w="60"/>
        <w:gridCol w:w="244"/>
        <w:gridCol w:w="1066"/>
        <w:gridCol w:w="80"/>
        <w:gridCol w:w="60"/>
        <w:gridCol w:w="176"/>
        <w:gridCol w:w="984"/>
        <w:gridCol w:w="185"/>
        <w:gridCol w:w="60"/>
        <w:gridCol w:w="197"/>
        <w:gridCol w:w="1098"/>
        <w:gridCol w:w="185"/>
        <w:gridCol w:w="60"/>
        <w:gridCol w:w="244"/>
        <w:gridCol w:w="1066"/>
        <w:gridCol w:w="80"/>
        <w:gridCol w:w="60"/>
        <w:gridCol w:w="176"/>
        <w:gridCol w:w="984"/>
        <w:gridCol w:w="200"/>
      </w:tblGrid>
      <w:tr>
        <w:trPr/>
        <w:tc>
          <w:tcPr>
            <w:tcW w:w="15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10"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Twelve months ended</w:t>
            </w:r>
          </w:p>
        </w:tc>
        <w:tc>
          <w:tcPr>
            <w:tcW w:w="200" w:type="dxa"/>
            <w:tcBorders/>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Actual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295"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As Reported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200" w:type="dxa"/>
            <w:tcBorders/>
            <w:vAlign w:val="bottom"/>
          </w:tcPr>
          <w:p>
            <w:pPr>
              <w:pStyle w:val="TableContents"/>
              <w:bidi w:val="0"/>
              <w:spacing w:before="0" w:after="283"/>
              <w:jc w:val="left"/>
              <w:rPr/>
            </w:pPr>
            <w:r>
              <w:rPr/>
            </w:r>
          </w:p>
        </w:tc>
      </w:tr>
      <w:tr>
        <w:trPr/>
        <w:tc>
          <w:tcPr>
            <w:tcW w:w="15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(audited)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200" w:type="dxa"/>
            <w:tcBorders/>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53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sales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320,174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320,172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292,498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292,685</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Cost of sales (exclusive of intangible amortization)</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145,282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145,282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134,793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134,950</w:t>
            </w:r>
          </w:p>
        </w:tc>
        <w:tc>
          <w:tcPr>
            <w:tcW w:w="200" w:type="dxa"/>
            <w:tcBorders/>
            <w:vAlign w:val="bottom"/>
          </w:tcPr>
          <w:p>
            <w:pPr>
              <w:pStyle w:val="TableContents"/>
              <w:bidi w:val="0"/>
              <w:spacing w:before="0" w:after="283"/>
              <w:jc w:val="left"/>
              <w:rPr/>
            </w:pPr>
            <w:r>
              <w:rPr/>
              <w:t> </w:t>
            </w:r>
          </w:p>
        </w:tc>
      </w:tr>
      <w:tr>
        <w:trPr/>
        <w:tc>
          <w:tcPr>
            <w:tcW w:w="153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Gross margin</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174,892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174,890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157,705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157,735</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 of net sales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expenses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153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26,222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26,222</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Sales and marketing</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113,401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113,401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103,135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103,135</w:t>
            </w:r>
          </w:p>
        </w:tc>
        <w:tc>
          <w:tcPr>
            <w:tcW w:w="200" w:type="dxa"/>
            <w:tcBorders/>
            <w:vAlign w:val="bottom"/>
          </w:tcPr>
          <w:p>
            <w:pPr>
              <w:pStyle w:val="TableContents"/>
              <w:bidi w:val="0"/>
              <w:spacing w:before="0" w:after="283"/>
              <w:jc w:val="left"/>
              <w:rPr/>
            </w:pPr>
            <w:r>
              <w:rPr/>
              <w:t> </w:t>
            </w:r>
          </w:p>
        </w:tc>
      </w:tr>
      <w:tr>
        <w:trPr/>
        <w:tc>
          <w:tcPr>
            <w:tcW w:w="153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43,691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43,691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42,092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42,092</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Amortization of intangibles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10,682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10,682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10,318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10,318</w:t>
            </w:r>
          </w:p>
        </w:tc>
        <w:tc>
          <w:tcPr>
            <w:tcW w:w="200" w:type="dxa"/>
            <w:tcBorders/>
            <w:vAlign w:val="bottom"/>
          </w:tcPr>
          <w:p>
            <w:pPr>
              <w:pStyle w:val="TableContents"/>
              <w:bidi w:val="0"/>
              <w:spacing w:before="0" w:after="283"/>
              <w:jc w:val="left"/>
              <w:rPr/>
            </w:pPr>
            <w:r>
              <w:rPr/>
              <w:t> </w:t>
            </w:r>
          </w:p>
        </w:tc>
      </w:tr>
      <w:tr>
        <w:trPr/>
        <w:tc>
          <w:tcPr>
            <w:tcW w:w="153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color w:val="000000"/>
              </w:rPr>
            </w:pPr>
            <w:r>
              <w:rPr>
                <w:color w:val="00000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color w:val="000000"/>
              </w:rPr>
            </w:pPr>
            <w:r>
              <w:rPr>
                <w:color w:val="00000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Acquisition, restructuring and other items, net</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17,598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17,598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15,620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15,781</w:t>
            </w:r>
          </w:p>
        </w:tc>
        <w:tc>
          <w:tcPr>
            <w:tcW w:w="200" w:type="dxa"/>
            <w:tcBorders/>
            <w:vAlign w:val="bottom"/>
          </w:tcPr>
          <w:p>
            <w:pPr>
              <w:pStyle w:val="TableContents"/>
              <w:bidi w:val="0"/>
              <w:spacing w:before="0" w:after="283"/>
              <w:jc w:val="left"/>
              <w:rPr/>
            </w:pPr>
            <w:r>
              <w:rPr/>
              <w:t> </w:t>
            </w:r>
          </w:p>
        </w:tc>
      </w:tr>
      <w:tr>
        <w:trPr/>
        <w:tc>
          <w:tcPr>
            <w:tcW w:w="153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214,819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214,819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197,659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197,820</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Operating loss</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(39,927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(39,929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(39,954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(40,085</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income (expense), net</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978</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income (expense), net</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4,944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(5,500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(556</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other income (expense), net</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5,922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(5,500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Loss before income tax (benefit) expense</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(41,302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(34,032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(5,631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(39,663</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(benefit) expense</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53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(36,742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(41,744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9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(33,993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(5,631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(39,624</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Loss per share</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153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Basic</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(0.97</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53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(0.97</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5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Weighted average shares outstanding</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153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Basic</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41,526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41,526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40,853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40,853</w:t>
            </w:r>
          </w:p>
        </w:tc>
        <w:tc>
          <w:tcPr>
            <w:tcW w:w="200"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40,853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40,853</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twelve months ended May 31, 2026 and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Reflects the elimination of revenues and expenses representing the operating results from the sales and discontinuation of the Businesses.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GAAP TO NON-GAAP RECONCILIATION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Net Loss to non-GAAP Adjusted Net Loss and Pro Forma Adjusted Net Loss: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4" w:name="zf42fb680e89d4d2b8dbf199a03dc4aec"/>
      <w:bookmarkStart w:id="45" w:name="zf42fb680e89d4d2b8dbf199a03dc4aec"/>
      <w:bookmarkEnd w:id="45"/>
    </w:p>
    <w:tbl>
      <w:tblPr>
        <w:tblW w:w="9925" w:type="dxa"/>
        <w:jc w:val="left"/>
        <w:tblInd w:w="0" w:type="dxa"/>
        <w:tblLayout w:type="fixed"/>
        <w:tblCellMar>
          <w:top w:w="0" w:type="dxa"/>
          <w:left w:w="0" w:type="dxa"/>
          <w:bottom w:w="0" w:type="dxa"/>
          <w:right w:w="0" w:type="dxa"/>
        </w:tblCellMar>
      </w:tblPr>
      <w:tblGrid>
        <w:gridCol w:w="4025"/>
        <w:gridCol w:w="120"/>
        <w:gridCol w:w="187"/>
        <w:gridCol w:w="973"/>
        <w:gridCol w:w="120"/>
        <w:gridCol w:w="120"/>
        <w:gridCol w:w="241"/>
        <w:gridCol w:w="1054"/>
        <w:gridCol w:w="120"/>
        <w:gridCol w:w="120"/>
        <w:gridCol w:w="425"/>
        <w:gridCol w:w="885"/>
        <w:gridCol w:w="120"/>
        <w:gridCol w:w="120"/>
        <w:gridCol w:w="216"/>
        <w:gridCol w:w="944"/>
        <w:gridCol w:w="135"/>
      </w:tblGrid>
      <w:tr>
        <w:trPr/>
        <w:tc>
          <w:tcPr>
            <w:tcW w:w="40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45"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13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Actual</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As Reported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13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3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(11,405</w:t>
            </w:r>
          </w:p>
        </w:tc>
        <w:tc>
          <w:tcPr>
            <w:tcW w:w="1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(6,050</w:t>
            </w:r>
          </w:p>
        </w:tc>
        <w:tc>
          <w:tcPr>
            <w:tcW w:w="1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1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(6,053</w:t>
            </w:r>
          </w:p>
        </w:tc>
        <w:tc>
          <w:tcPr>
            <w:tcW w:w="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Amortization of intangibles</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2,718</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2,588</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2,588</w:t>
            </w:r>
          </w:p>
        </w:tc>
        <w:tc>
          <w:tcPr>
            <w:tcW w:w="13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Acquisition, restructuring and other items, net (3)</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4,683</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2,155</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2,155</w:t>
            </w:r>
          </w:p>
        </w:tc>
        <w:tc>
          <w:tcPr>
            <w:tcW w:w="13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Tax effect of non-GAAP items (4)</w:t>
            </w:r>
          </w:p>
        </w:tc>
        <w:tc>
          <w:tcPr>
            <w:tcW w:w="12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1,206</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w:t>
            </w:r>
          </w:p>
        </w:tc>
        <w:tc>
          <w:tcPr>
            <w:tcW w:w="13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Adjusted net loss</w:t>
            </w:r>
          </w:p>
        </w:tc>
        <w:tc>
          <w:tcPr>
            <w:tcW w:w="12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(2,798</w:t>
            </w:r>
          </w:p>
        </w:tc>
        <w:tc>
          <w:tcPr>
            <w:tcW w:w="1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vAlign w:val="bottom"/>
          </w:tcPr>
          <w:p>
            <w:pPr>
              <w:pStyle w:val="TableContents"/>
              <w:bidi w:val="0"/>
              <w:spacing w:before="0" w:after="283"/>
              <w:jc w:val="left"/>
              <w:rPr/>
            </w:pPr>
            <w:r>
              <w:rPr/>
              <w:t> </w:t>
            </w:r>
          </w:p>
        </w:tc>
        <w:tc>
          <w:tcPr>
            <w:tcW w:w="2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(1,053</w:t>
            </w:r>
          </w:p>
        </w:tc>
        <w:tc>
          <w:tcPr>
            <w:tcW w:w="1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vAlign w:val="bottom"/>
          </w:tcPr>
          <w:p>
            <w:pPr>
              <w:pStyle w:val="TableContents"/>
              <w:bidi w:val="0"/>
              <w:spacing w:before="0" w:after="283"/>
              <w:jc w:val="left"/>
              <w:rPr/>
            </w:pPr>
            <w:r>
              <w:rPr/>
              <w:t> </w:t>
            </w:r>
          </w:p>
        </w:tc>
        <w:tc>
          <w:tcPr>
            <w:tcW w:w="4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1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(1,055</w:t>
            </w:r>
          </w:p>
        </w:tc>
        <w:tc>
          <w:tcPr>
            <w:tcW w:w="1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Diluted Loss Per Share to non-GAAP Adjusted and Pro Forma Adjusted Diluted Loss Per Share: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6" w:name="zebb339322e65424eb1469ea1203c851d"/>
      <w:bookmarkStart w:id="47" w:name="zebb339322e65424eb1469ea1203c851d"/>
      <w:bookmarkEnd w:id="47"/>
    </w:p>
    <w:tbl>
      <w:tblPr>
        <w:tblW w:w="9505" w:type="dxa"/>
        <w:jc w:val="left"/>
        <w:tblInd w:w="0" w:type="dxa"/>
        <w:tblLayout w:type="fixed"/>
        <w:tblCellMar>
          <w:top w:w="0" w:type="dxa"/>
          <w:left w:w="0" w:type="dxa"/>
          <w:bottom w:w="0" w:type="dxa"/>
          <w:right w:w="0" w:type="dxa"/>
        </w:tblCellMar>
      </w:tblPr>
      <w:tblGrid>
        <w:gridCol w:w="4025"/>
        <w:gridCol w:w="60"/>
        <w:gridCol w:w="202"/>
        <w:gridCol w:w="958"/>
        <w:gridCol w:w="80"/>
        <w:gridCol w:w="60"/>
        <w:gridCol w:w="226"/>
        <w:gridCol w:w="1069"/>
        <w:gridCol w:w="80"/>
        <w:gridCol w:w="60"/>
        <w:gridCol w:w="229"/>
        <w:gridCol w:w="1081"/>
        <w:gridCol w:w="60"/>
        <w:gridCol w:w="60"/>
        <w:gridCol w:w="202"/>
        <w:gridCol w:w="958"/>
        <w:gridCol w:w="95"/>
      </w:tblGrid>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25"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Actual</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295"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As Reported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95" w:type="dxa"/>
            <w:tcBorders/>
            <w:vAlign w:val="bottom"/>
          </w:tcPr>
          <w:p>
            <w:pPr>
              <w:pStyle w:val="TableContents"/>
              <w:bidi w:val="0"/>
              <w:spacing w:before="0" w:after="283"/>
              <w:jc w:val="left"/>
              <w:rPr/>
            </w:pPr>
            <w:r>
              <w:rPr/>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Diluted loss per share</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Amortization of intangibles</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Acquisition, restructuring and other items, net (3)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0.05</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Tax effect of non-GAAP items (4)</w:t>
            </w:r>
          </w:p>
        </w:tc>
        <w:tc>
          <w:tcPr>
            <w:tcW w:w="6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Adjusted diluted loss per share</w:t>
            </w:r>
          </w:p>
        </w:tc>
        <w:tc>
          <w:tcPr>
            <w:tcW w:w="6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Adjusted diluted sharecount</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41,696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40,984</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May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Reflects the elimination of revenues and expenses representing the operating results from the sales and discontinuation of the Businesses.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Includes costs related to merger and acquisition activities, restructuring, and unusual items, including asset impairments and write-offs, certain litigation, and other items.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  Adjustment to reflect the income tax provision on a non-GAAP basis has been calculated assuming no valuation allowance on the Company's U.S. deferred tax assets and an effective tax rate of 23% for the periods ended May 31, 2026 and 2025.</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GAAP TO NON-GAAP RECONCILIATION (Continued)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Net Loss and non-GAAP Pro Forma Adjusted Net Loss to Adjusted EBITDA and Pro Forma Adjusted EBITDA:</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8" w:name="z67ad3fded4ef419eb880f5b852c421dc"/>
      <w:bookmarkStart w:id="49" w:name="z67ad3fded4ef419eb880f5b852c421dc"/>
      <w:bookmarkEnd w:id="49"/>
    </w:p>
    <w:tbl>
      <w:tblPr>
        <w:tblW w:w="9525" w:type="dxa"/>
        <w:jc w:val="left"/>
        <w:tblInd w:w="0" w:type="dxa"/>
        <w:tblLayout w:type="fixed"/>
        <w:tblCellMar>
          <w:top w:w="0" w:type="dxa"/>
          <w:left w:w="0" w:type="dxa"/>
          <w:bottom w:w="0" w:type="dxa"/>
          <w:right w:w="0" w:type="dxa"/>
        </w:tblCellMar>
      </w:tblPr>
      <w:tblGrid>
        <w:gridCol w:w="4025"/>
        <w:gridCol w:w="60"/>
        <w:gridCol w:w="187"/>
        <w:gridCol w:w="973"/>
        <w:gridCol w:w="80"/>
        <w:gridCol w:w="60"/>
        <w:gridCol w:w="241"/>
        <w:gridCol w:w="1054"/>
        <w:gridCol w:w="80"/>
        <w:gridCol w:w="60"/>
        <w:gridCol w:w="425"/>
        <w:gridCol w:w="885"/>
        <w:gridCol w:w="80"/>
        <w:gridCol w:w="60"/>
        <w:gridCol w:w="216"/>
        <w:gridCol w:w="944"/>
        <w:gridCol w:w="95"/>
      </w:tblGrid>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45"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Actual</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295"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As Reported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95" w:type="dxa"/>
            <w:tcBorders/>
            <w:vAlign w:val="bottom"/>
          </w:tcPr>
          <w:p>
            <w:pPr>
              <w:pStyle w:val="TableContents"/>
              <w:bidi w:val="0"/>
              <w:spacing w:before="0" w:after="283"/>
              <w:jc w:val="left"/>
              <w:rPr/>
            </w:pPr>
            <w:r>
              <w:rPr/>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(11,405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benefit</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income (expense), net</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5,833</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 based compensation</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1,641</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Acquisition, restructuring and other items, net (3)</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2,000</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Adjusted EBITDA</w:t>
            </w:r>
          </w:p>
        </w:tc>
        <w:tc>
          <w:tcPr>
            <w:tcW w:w="6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3,265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3,358</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May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Reflects the elimination of revenues and expenses representing the operating results from the sales and discontinuation of the Businesses.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Includes costs related to merger and acquisition activities, restructuring, and unusual items, including asset impairments and write-offs, certain litigation, and other items.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GAAP TO NON-GAAP RECONCILIATION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Net Loss to non-GAAP Adjusted Net Loss and Pro Forma Adjusted Net Loss: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0" w:name="zf028f183921a4558bb6b25ca08ed9d2f"/>
      <w:bookmarkStart w:id="51" w:name="zf028f183921a4558bb6b25ca08ed9d2f"/>
      <w:bookmarkEnd w:id="51"/>
    </w:p>
    <w:tbl>
      <w:tblPr>
        <w:tblW w:w="10205" w:type="dxa"/>
        <w:jc w:val="left"/>
        <w:tblInd w:w="0" w:type="dxa"/>
        <w:tblLayout w:type="fixed"/>
        <w:tblCellMar>
          <w:top w:w="0" w:type="dxa"/>
          <w:left w:w="0" w:type="dxa"/>
          <w:bottom w:w="0" w:type="dxa"/>
          <w:right w:w="0" w:type="dxa"/>
        </w:tblCellMar>
      </w:tblPr>
      <w:tblGrid>
        <w:gridCol w:w="1955"/>
        <w:gridCol w:w="60"/>
        <w:gridCol w:w="187"/>
        <w:gridCol w:w="973"/>
        <w:gridCol w:w="80"/>
        <w:gridCol w:w="60"/>
        <w:gridCol w:w="244"/>
        <w:gridCol w:w="1066"/>
        <w:gridCol w:w="80"/>
        <w:gridCol w:w="60"/>
        <w:gridCol w:w="187"/>
        <w:gridCol w:w="973"/>
        <w:gridCol w:w="80"/>
        <w:gridCol w:w="60"/>
        <w:gridCol w:w="208"/>
        <w:gridCol w:w="1087"/>
        <w:gridCol w:w="80"/>
        <w:gridCol w:w="60"/>
        <w:gridCol w:w="244"/>
        <w:gridCol w:w="1066"/>
        <w:gridCol w:w="80"/>
        <w:gridCol w:w="60"/>
        <w:gridCol w:w="187"/>
        <w:gridCol w:w="973"/>
        <w:gridCol w:w="95"/>
      </w:tblGrid>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Twelve Months Ended</w:t>
            </w:r>
          </w:p>
        </w:tc>
        <w:tc>
          <w:tcPr>
            <w:tcW w:w="95" w:type="dxa"/>
            <w:tcBorders/>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Actual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295"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As Reported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95" w:type="dxa"/>
            <w:tcBorders/>
            <w:vAlign w:val="bottom"/>
          </w:tcPr>
          <w:p>
            <w:pPr>
              <w:pStyle w:val="TableContents"/>
              <w:bidi w:val="0"/>
              <w:spacing w:before="0" w:after="283"/>
              <w:jc w:val="left"/>
              <w:rPr/>
            </w:pPr>
            <w:r>
              <w:rPr/>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95" w:type="dxa"/>
            <w:tcBorders/>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(36,742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(41,744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(33,993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(5,631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(39,624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Amortization of intangibles</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10,318</w:t>
            </w:r>
          </w:p>
        </w:tc>
        <w:tc>
          <w:tcPr>
            <w:tcW w:w="95" w:type="dxa"/>
            <w:tcBorders/>
            <w:shd w:fill="CCEEFF" w:val="clear"/>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Acquisition, restructuring and other items, net (3)</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15,781</w:t>
            </w:r>
          </w:p>
        </w:tc>
        <w:tc>
          <w:tcPr>
            <w:tcW w:w="95" w:type="dxa"/>
            <w:tcBorders/>
            <w:shd w:fill="CCEEFF" w:val="clear"/>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Tax effect of non-GAAP items (4)</w:t>
            </w:r>
          </w:p>
        </w:tc>
        <w:tc>
          <w:tcPr>
            <w:tcW w:w="6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3,018</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Adjusted net loss</w:t>
            </w:r>
          </w:p>
        </w:tc>
        <w:tc>
          <w:tcPr>
            <w:tcW w:w="60" w:type="dxa"/>
            <w:tcBorders/>
            <w:shd w:fill="CCEEFF" w:val="clear"/>
            <w:vAlign w:val="bottom"/>
          </w:tcPr>
          <w:p>
            <w:pPr>
              <w:pStyle w:val="TableContents"/>
              <w:bidi w:val="0"/>
              <w:spacing w:before="0" w:after="283"/>
              <w:jc w:val="righ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(6,175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(3,853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0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(6,023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(10,235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Diluted Loss Per Share to non-GAAP Adjusted and Pro Forma Adjusted Diluted Loss Per Share: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2" w:name="z15cef15238d5404aa09098fc2f620a73"/>
      <w:bookmarkStart w:id="53" w:name="z15cef15238d5404aa09098fc2f620a73"/>
      <w:bookmarkEnd w:id="53"/>
    </w:p>
    <w:tbl>
      <w:tblPr>
        <w:tblW w:w="10205" w:type="dxa"/>
        <w:jc w:val="left"/>
        <w:tblInd w:w="0" w:type="dxa"/>
        <w:tblLayout w:type="fixed"/>
        <w:tblCellMar>
          <w:top w:w="0" w:type="dxa"/>
          <w:left w:w="0" w:type="dxa"/>
          <w:bottom w:w="0" w:type="dxa"/>
          <w:right w:w="0" w:type="dxa"/>
        </w:tblCellMar>
      </w:tblPr>
      <w:tblGrid>
        <w:gridCol w:w="1955"/>
        <w:gridCol w:w="60"/>
        <w:gridCol w:w="202"/>
        <w:gridCol w:w="958"/>
        <w:gridCol w:w="80"/>
        <w:gridCol w:w="60"/>
        <w:gridCol w:w="229"/>
        <w:gridCol w:w="1081"/>
        <w:gridCol w:w="80"/>
        <w:gridCol w:w="60"/>
        <w:gridCol w:w="202"/>
        <w:gridCol w:w="958"/>
        <w:gridCol w:w="80"/>
        <w:gridCol w:w="60"/>
        <w:gridCol w:w="226"/>
        <w:gridCol w:w="1069"/>
        <w:gridCol w:w="80"/>
        <w:gridCol w:w="60"/>
        <w:gridCol w:w="229"/>
        <w:gridCol w:w="1081"/>
        <w:gridCol w:w="80"/>
        <w:gridCol w:w="60"/>
        <w:gridCol w:w="202"/>
        <w:gridCol w:w="958"/>
        <w:gridCol w:w="95"/>
      </w:tblGrid>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Twelve Months Ended</w:t>
            </w:r>
          </w:p>
        </w:tc>
        <w:tc>
          <w:tcPr>
            <w:tcW w:w="95" w:type="dxa"/>
            <w:tcBorders/>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Actual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295"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As Reported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95" w:type="dxa"/>
            <w:tcBorders/>
            <w:vAlign w:val="bottom"/>
          </w:tcPr>
          <w:p>
            <w:pPr>
              <w:pStyle w:val="TableContents"/>
              <w:bidi w:val="0"/>
              <w:spacing w:before="0" w:after="283"/>
              <w:jc w:val="left"/>
              <w:rPr/>
            </w:pPr>
            <w:r>
              <w:rPr/>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95" w:type="dxa"/>
            <w:tcBorders/>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Diluted loss per share</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Amortization of intangibles</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0.25</w:t>
            </w:r>
          </w:p>
        </w:tc>
        <w:tc>
          <w:tcPr>
            <w:tcW w:w="95" w:type="dxa"/>
            <w:tcBorders/>
            <w:shd w:fill="CCEEFF" w:val="clear"/>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Acquisition, restructuring and other items, net (3)</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0.39</w:t>
            </w:r>
          </w:p>
        </w:tc>
        <w:tc>
          <w:tcPr>
            <w:tcW w:w="95" w:type="dxa"/>
            <w:tcBorders/>
            <w:shd w:fill="CCEEFF" w:val="clear"/>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Tax effect of non-GAAP items (4)</w:t>
            </w:r>
          </w:p>
        </w:tc>
        <w:tc>
          <w:tcPr>
            <w:tcW w:w="60" w:type="dxa"/>
            <w:tcBorders/>
            <w:vAlign w:val="bottom"/>
          </w:tcPr>
          <w:p>
            <w:pPr>
              <w:pStyle w:val="TableContents"/>
              <w:bidi w:val="0"/>
              <w:spacing w:before="0" w:after="283"/>
              <w:jc w:val="righ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0.07</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Adjusted pro forma diluted loss per share</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2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Adjusted diluted sharecount</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40,853</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twelve months ended May 31, 2026 and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Reflects the elimination of revenues and expenses representing the operating results from the sales and discontinuation of the Businesses.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Includes costs related to merger and acquisition activities, restructuring, and unusual items, including asset impairments and write-offs, certain litigation, and other items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  Adjustment to reflect the income tax provision on a non-GAAP basis has been calculated assuming no valuation allowance on the Company's U.S. deferred tax assets and an effective tax rate of 23% for the periods ended May 31, 2026 and 2025.</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GAAP TO NON-GAAP RECONCILIATION (Continued)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Net Loss and non-GAAP Pro Forma Adjusted Net Loss to Adjusted EBITDA and Pro Forma Adjusted EBITDA:</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4" w:name="z04f2a820523d4354b24fafa564d9e049"/>
      <w:bookmarkStart w:id="55" w:name="z04f2a820523d4354b24fafa564d9e049"/>
      <w:bookmarkEnd w:id="55"/>
    </w:p>
    <w:tbl>
      <w:tblPr>
        <w:tblW w:w="10205" w:type="dxa"/>
        <w:jc w:val="left"/>
        <w:tblInd w:w="0" w:type="dxa"/>
        <w:tblLayout w:type="fixed"/>
        <w:tblCellMar>
          <w:top w:w="0" w:type="dxa"/>
          <w:left w:w="0" w:type="dxa"/>
          <w:bottom w:w="0" w:type="dxa"/>
          <w:right w:w="0" w:type="dxa"/>
        </w:tblCellMar>
      </w:tblPr>
      <w:tblGrid>
        <w:gridCol w:w="1955"/>
        <w:gridCol w:w="60"/>
        <w:gridCol w:w="187"/>
        <w:gridCol w:w="973"/>
        <w:gridCol w:w="80"/>
        <w:gridCol w:w="60"/>
        <w:gridCol w:w="244"/>
        <w:gridCol w:w="1066"/>
        <w:gridCol w:w="80"/>
        <w:gridCol w:w="60"/>
        <w:gridCol w:w="187"/>
        <w:gridCol w:w="973"/>
        <w:gridCol w:w="80"/>
        <w:gridCol w:w="60"/>
        <w:gridCol w:w="208"/>
        <w:gridCol w:w="1087"/>
        <w:gridCol w:w="80"/>
        <w:gridCol w:w="60"/>
        <w:gridCol w:w="244"/>
        <w:gridCol w:w="1066"/>
        <w:gridCol w:w="80"/>
        <w:gridCol w:w="60"/>
        <w:gridCol w:w="187"/>
        <w:gridCol w:w="973"/>
        <w:gridCol w:w="95"/>
      </w:tblGrid>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Twelve Months Ended</w:t>
            </w:r>
          </w:p>
        </w:tc>
        <w:tc>
          <w:tcPr>
            <w:tcW w:w="95" w:type="dxa"/>
            <w:tcBorders/>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Actual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295"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As Reported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95" w:type="dxa"/>
            <w:tcBorders/>
            <w:vAlign w:val="bottom"/>
          </w:tcPr>
          <w:p>
            <w:pPr>
              <w:pStyle w:val="TableContents"/>
              <w:bidi w:val="0"/>
              <w:spacing w:before="0" w:after="283"/>
              <w:jc w:val="left"/>
              <w:rPr/>
            </w:pPr>
            <w:r>
              <w:rPr/>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95" w:type="dxa"/>
            <w:tcBorders/>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(36,742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(41,744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(33,993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(5,631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(39,624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(benefit) expense</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income (expense), net</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22,955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22,955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25,800</w:t>
            </w:r>
          </w:p>
        </w:tc>
        <w:tc>
          <w:tcPr>
            <w:tcW w:w="95" w:type="dxa"/>
            <w:tcBorders/>
            <w:shd w:fill="CCEEFF" w:val="clear"/>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 based compensation</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9,772</w:t>
            </w:r>
          </w:p>
        </w:tc>
        <w:tc>
          <w:tcPr>
            <w:tcW w:w="95" w:type="dxa"/>
            <w:tcBorders/>
            <w:shd w:fill="CCEEFF" w:val="clear"/>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Acquisition, restructuring and other items, net (3)</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12,400</w:t>
            </w:r>
          </w:p>
        </w:tc>
        <w:tc>
          <w:tcPr>
            <w:tcW w:w="95"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Adjusted EBITDA</w:t>
            </w:r>
          </w:p>
        </w:tc>
        <w:tc>
          <w:tcPr>
            <w:tcW w:w="6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(5,470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7,603</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twelve months ended May 31, 2026 and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Reflects the elimination of revenues and expenses representing the operating results from the sales and discontinuation of the Businesses.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Includes costs related to merger and acquisition activities, restructuring, and unusual items, including asset impairments and write-offs, certain litigation, and other items.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ACQUISITION, RESTRUCTURING, AND OTHER ITEMS, NET DETAIL</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6" w:name="zc7e5553379c44136bad4b98b713657cb"/>
      <w:bookmarkStart w:id="57" w:name="zc7e5553379c44136bad4b98b713657cb"/>
      <w:bookmarkEnd w:id="57"/>
    </w:p>
    <w:tbl>
      <w:tblPr>
        <w:tblW w:w="7919" w:type="dxa"/>
        <w:jc w:val="left"/>
        <w:tblInd w:w="0" w:type="dxa"/>
        <w:tblLayout w:type="fixed"/>
        <w:tblCellMar>
          <w:top w:w="0" w:type="dxa"/>
          <w:left w:w="0" w:type="dxa"/>
          <w:bottom w:w="0" w:type="dxa"/>
          <w:right w:w="0" w:type="dxa"/>
        </w:tblCellMar>
      </w:tblPr>
      <w:tblGrid>
        <w:gridCol w:w="2645"/>
        <w:gridCol w:w="60"/>
        <w:gridCol w:w="237"/>
        <w:gridCol w:w="922"/>
        <w:gridCol w:w="101"/>
        <w:gridCol w:w="76"/>
        <w:gridCol w:w="237"/>
        <w:gridCol w:w="922"/>
        <w:gridCol w:w="80"/>
        <w:gridCol w:w="60"/>
        <w:gridCol w:w="202"/>
        <w:gridCol w:w="957"/>
        <w:gridCol w:w="95"/>
        <w:gridCol w:w="71"/>
        <w:gridCol w:w="202"/>
        <w:gridCol w:w="957"/>
        <w:gridCol w:w="95"/>
      </w:tblGrid>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Twelve Months Ended</w:t>
            </w:r>
          </w:p>
        </w:tc>
        <w:tc>
          <w:tcPr>
            <w:tcW w:w="95" w:type="dxa"/>
            <w:tcBorders/>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95" w:type="dxa"/>
            <w:tcBorders/>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(audited)</w:t>
            </w:r>
          </w:p>
        </w:tc>
        <w:tc>
          <w:tcPr>
            <w:tcW w:w="9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Legal (1)</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2,012</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715</w:t>
            </w:r>
          </w:p>
        </w:tc>
        <w:tc>
          <w:tcPr>
            <w:tcW w:w="95"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Mergers and acquisitions (2)</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0"/>
              <w:jc w:val="right"/>
              <w:rPr>
                <w:color w:val="000000"/>
              </w:rPr>
            </w:pPr>
            <w:r>
              <w:rPr>
                <w:color w:val="000000"/>
              </w:rPr>
              <w:t>—</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737</w:t>
            </w:r>
          </w:p>
        </w:tc>
        <w:tc>
          <w:tcPr>
            <w:tcW w:w="9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Transition service agreement (3)</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c>
          <w:tcPr>
            <w:tcW w:w="1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6"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(1,540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645" w:type="dxa"/>
            <w:tcBorders/>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Plant Closure (4)</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3,208</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13,119</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13,761</w:t>
            </w:r>
          </w:p>
        </w:tc>
        <w:tc>
          <w:tcPr>
            <w:tcW w:w="9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CEO Transition (5)</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759</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1,629</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237" w:type="dxa"/>
            <w:tcBorders>
              <w:bottom w:val="single" w:sz="12" w:space="0" w:color="000000"/>
            </w:tcBorders>
            <w:tcMar>
              <w:bottom w:w="28" w:type="dxa"/>
            </w:tcMar>
            <w:vAlign w:val="bottom"/>
          </w:tcPr>
          <w:p>
            <w:pPr>
              <w:pStyle w:val="TableContents"/>
              <w:bidi w:val="0"/>
              <w:spacing w:before="0" w:after="283"/>
              <w:jc w:val="left"/>
              <w:rPr/>
            </w:pPr>
            <w:r>
              <w:rPr/>
              <w:t> </w:t>
            </w:r>
          </w:p>
        </w:tc>
        <w:tc>
          <w:tcPr>
            <w:tcW w:w="92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552</w:t>
            </w:r>
          </w:p>
        </w:tc>
        <w:tc>
          <w:tcPr>
            <w:tcW w:w="10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7" w:type="dxa"/>
            <w:tcBorders>
              <w:bottom w:val="single" w:sz="12" w:space="0" w:color="000000"/>
            </w:tcBorders>
            <w:tcMar>
              <w:bottom w:w="28" w:type="dxa"/>
            </w:tcMar>
            <w:vAlign w:val="bottom"/>
          </w:tcPr>
          <w:p>
            <w:pPr>
              <w:pStyle w:val="TableContents"/>
              <w:bidi w:val="0"/>
              <w:spacing w:before="0" w:after="283"/>
              <w:jc w:val="left"/>
              <w:rPr/>
            </w:pPr>
            <w:r>
              <w:rPr/>
              <w:t> </w:t>
            </w:r>
          </w:p>
        </w:tc>
        <w:tc>
          <w:tcPr>
            <w:tcW w:w="92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2,378</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2,245</w:t>
            </w:r>
          </w:p>
        </w:tc>
        <w:tc>
          <w:tcPr>
            <w:tcW w:w="9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2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4,683</w:t>
            </w:r>
          </w:p>
        </w:tc>
        <w:tc>
          <w:tcPr>
            <w:tcW w:w="10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17,598</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15,620</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Legal expenses related to litigation that is outside the normal course of business.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Mergers and acquisitions expenses related to investment banking, legal and due diligence.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Transition services agreement that were entered into with Merit and Spectrum.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 Plant closure expense, related to the restructuring of our manufacturing footprint which was announced on January 5,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 CEO retirement and transition expenses related to the CEO search and retention agreements with the Company's executive leadership team.</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NET SALES BY PRODUCT CATEGORY AND BY GEOGRAPHY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8" w:name="z699592b978f04b9f8fbfe4576180104d"/>
      <w:bookmarkStart w:id="59" w:name="z699592b978f04b9f8fbfe4576180104d"/>
      <w:bookmarkEnd w:id="59"/>
    </w:p>
    <w:tbl>
      <w:tblPr>
        <w:tblW w:w="8780" w:type="dxa"/>
        <w:jc w:val="left"/>
        <w:tblInd w:w="0" w:type="dxa"/>
        <w:tblLayout w:type="fixed"/>
        <w:tblCellMar>
          <w:top w:w="0" w:type="dxa"/>
          <w:left w:w="0" w:type="dxa"/>
          <w:bottom w:w="0" w:type="dxa"/>
          <w:right w:w="0" w:type="dxa"/>
        </w:tblCellMar>
      </w:tblPr>
      <w:tblGrid>
        <w:gridCol w:w="1115"/>
        <w:gridCol w:w="60"/>
        <w:gridCol w:w="202"/>
        <w:gridCol w:w="958"/>
        <w:gridCol w:w="60"/>
        <w:gridCol w:w="60"/>
        <w:gridCol w:w="236"/>
        <w:gridCol w:w="1119"/>
        <w:gridCol w:w="60"/>
        <w:gridCol w:w="60"/>
        <w:gridCol w:w="425"/>
        <w:gridCol w:w="885"/>
        <w:gridCol w:w="80"/>
        <w:gridCol w:w="60"/>
        <w:gridCol w:w="202"/>
        <w:gridCol w:w="958"/>
        <w:gridCol w:w="60"/>
        <w:gridCol w:w="60"/>
        <w:gridCol w:w="113"/>
        <w:gridCol w:w="717"/>
        <w:gridCol w:w="185"/>
        <w:gridCol w:w="60"/>
        <w:gridCol w:w="115"/>
        <w:gridCol w:w="730"/>
        <w:gridCol w:w="200"/>
      </w:tblGrid>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200"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Actual</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As</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Reported (1)</w:t>
            </w:r>
          </w:p>
          <w:p>
            <w:pPr>
              <w:pStyle w:val="TableContents"/>
              <w:bidi w:val="0"/>
              <w:spacing w:before="0" w:after="0"/>
              <w:jc w:val="center"/>
              <w:rPr>
                <w:rFonts w:ascii="Times New Roman" w:hAnsi="Times New Roman"/>
                <w:color w:val="000000"/>
              </w:rPr>
            </w:pPr>
            <w:r>
              <w:rPr>
                <w:rFonts w:ascii="Times New Roman" w:hAnsi="Times New Roman"/>
                <w:color w:val="000000"/>
              </w:rPr>
              <w:t>May 31, 2025</w:t>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Actual</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Growth</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Growth</w:t>
            </w:r>
          </w:p>
        </w:tc>
        <w:tc>
          <w:tcPr>
            <w:tcW w:w="200" w:type="dxa"/>
            <w:tcBorders/>
            <w:vAlign w:val="bottom"/>
          </w:tcPr>
          <w:p>
            <w:pPr>
              <w:pStyle w:val="TableContents"/>
              <w:bidi w:val="0"/>
              <w:spacing w:before="0" w:after="283"/>
              <w:jc w:val="left"/>
              <w:rPr/>
            </w:pPr>
            <w:r>
              <w:rPr/>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Sales</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11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Med Tech</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41,758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1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Med Device</w:t>
            </w:r>
          </w:p>
        </w:tc>
        <w:tc>
          <w:tcPr>
            <w:tcW w:w="6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44,849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44,368</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44,367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86,607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80,158</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11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Sales</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United States</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73,595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67,484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67,483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1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International</w:t>
            </w:r>
          </w:p>
        </w:tc>
        <w:tc>
          <w:tcPr>
            <w:tcW w:w="6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12,674</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86,607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80,158</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4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80,157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May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Reflects the elimination of revenues and expenses representing the operating results from the sale and discontinuation of the Businesses.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GROSS MARGIN BY PRODUCT CATEGORY</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0" w:name="z62dbd14f83c7489a907de1404ad46e65"/>
      <w:bookmarkStart w:id="61" w:name="z62dbd14f83c7489a907de1404ad46e65"/>
      <w:bookmarkEnd w:id="61"/>
    </w:p>
    <w:tbl>
      <w:tblPr>
        <w:tblW w:w="10100" w:type="dxa"/>
        <w:jc w:val="left"/>
        <w:tblInd w:w="0" w:type="dxa"/>
        <w:tblLayout w:type="fixed"/>
        <w:tblCellMar>
          <w:top w:w="0" w:type="dxa"/>
          <w:left w:w="0" w:type="dxa"/>
          <w:bottom w:w="0" w:type="dxa"/>
          <w:right w:w="0" w:type="dxa"/>
        </w:tblCellMar>
      </w:tblPr>
      <w:tblGrid>
        <w:gridCol w:w="1955"/>
        <w:gridCol w:w="60"/>
        <w:gridCol w:w="202"/>
        <w:gridCol w:w="958"/>
        <w:gridCol w:w="185"/>
        <w:gridCol w:w="60"/>
        <w:gridCol w:w="226"/>
        <w:gridCol w:w="1069"/>
        <w:gridCol w:w="185"/>
        <w:gridCol w:w="60"/>
        <w:gridCol w:w="425"/>
        <w:gridCol w:w="885"/>
        <w:gridCol w:w="80"/>
        <w:gridCol w:w="60"/>
        <w:gridCol w:w="202"/>
        <w:gridCol w:w="958"/>
        <w:gridCol w:w="185"/>
        <w:gridCol w:w="60"/>
        <w:gridCol w:w="117"/>
        <w:gridCol w:w="743"/>
        <w:gridCol w:w="245"/>
        <w:gridCol w:w="60"/>
        <w:gridCol w:w="117"/>
        <w:gridCol w:w="743"/>
        <w:gridCol w:w="260"/>
      </w:tblGrid>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2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260" w:type="dxa"/>
            <w:tcBorders/>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Actual</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295"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As Reported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185" w:type="dxa"/>
            <w:tcBorders>
              <w:bottom w:val="single" w:sz="12" w:space="0" w:color="000000"/>
            </w:tcBorders>
            <w:tcMar>
              <w:bottom w:w="28" w:type="dxa"/>
            </w:tcMar>
            <w:vAlign w:val="bottom"/>
          </w:tcPr>
          <w:p>
            <w:pPr>
              <w:pStyle w:val="TableContents"/>
              <w:bidi w:val="0"/>
              <w:spacing w:before="0" w:after="283"/>
              <w:jc w:val="left"/>
              <w:rPr/>
            </w:pPr>
            <w:r>
              <w:rPr/>
            </w:r>
          </w:p>
        </w:tc>
        <w:tc>
          <w:tcPr>
            <w:tcW w:w="60" w:type="dxa"/>
            <w:tcBorders>
              <w:bottom w:val="single" w:sz="12" w:space="0" w:color="000000"/>
            </w:tcBorders>
            <w:tcMar>
              <w:bottom w:w="28" w:type="dxa"/>
            </w:tcMar>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bottom w:val="single" w:sz="12" w:space="0" w:color="000000"/>
            </w:tcBorders>
            <w:tcMar>
              <w:bottom w:w="28" w:type="dxa"/>
            </w:tcMar>
            <w:vAlign w:val="bottom"/>
          </w:tcPr>
          <w:p>
            <w:pPr>
              <w:pStyle w:val="TableContents"/>
              <w:bidi w:val="0"/>
              <w:spacing w:before="0" w:after="283"/>
              <w:jc w:val="left"/>
              <w:rPr/>
            </w:pPr>
            <w:r>
              <w:rPr/>
            </w:r>
          </w:p>
        </w:tc>
        <w:tc>
          <w:tcPr>
            <w:tcW w:w="60" w:type="dxa"/>
            <w:tcBorders>
              <w:bottom w:val="single" w:sz="12" w:space="0" w:color="000000"/>
            </w:tcBorders>
            <w:tcMar>
              <w:bottom w:w="28" w:type="dxa"/>
            </w:tcMar>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Actual</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Change</w:t>
            </w:r>
          </w:p>
        </w:tc>
        <w:tc>
          <w:tcPr>
            <w:tcW w:w="24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Change</w:t>
            </w:r>
          </w:p>
        </w:tc>
        <w:tc>
          <w:tcPr>
            <w:tcW w:w="260" w:type="dxa"/>
            <w:tcBorders/>
            <w:vAlign w:val="bottom"/>
          </w:tcPr>
          <w:p>
            <w:pPr>
              <w:pStyle w:val="TableContents"/>
              <w:bidi w:val="0"/>
              <w:spacing w:before="0" w:after="283"/>
              <w:jc w:val="left"/>
              <w:rPr/>
            </w:pPr>
            <w:r>
              <w:rPr/>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(audited)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Med Tech</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26,856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Gross margin % of sales</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Med Device</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19,917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21,101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21,098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Gross margin % of sales</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46,773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42,218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42,215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Gross margin % of sales</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May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Reflects the elimination of revenues and expenses representing the operating results from the sale and discontinuation of the Businesses.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NET SALES BY PRODUCT CATEGORY AND BY GEOGRAPHY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2" w:name="z87caf04729c74bef90a66965e6b20404"/>
      <w:bookmarkStart w:id="63" w:name="z87caf04729c74bef90a66965e6b20404"/>
      <w:bookmarkEnd w:id="63"/>
    </w:p>
    <w:tbl>
      <w:tblPr>
        <w:tblW w:w="12046" w:type="dxa"/>
        <w:jc w:val="left"/>
        <w:tblInd w:w="0" w:type="dxa"/>
        <w:tblLayout w:type="fixed"/>
        <w:tblCellMar>
          <w:top w:w="0" w:type="dxa"/>
          <w:left w:w="0" w:type="dxa"/>
          <w:bottom w:w="0" w:type="dxa"/>
          <w:right w:w="0" w:type="dxa"/>
        </w:tblCellMar>
      </w:tblPr>
      <w:tblGrid>
        <w:gridCol w:w="926"/>
        <w:gridCol w:w="120"/>
        <w:gridCol w:w="176"/>
        <w:gridCol w:w="984"/>
        <w:gridCol w:w="60"/>
        <w:gridCol w:w="60"/>
        <w:gridCol w:w="425"/>
        <w:gridCol w:w="885"/>
        <w:gridCol w:w="120"/>
        <w:gridCol w:w="120"/>
        <w:gridCol w:w="176"/>
        <w:gridCol w:w="984"/>
        <w:gridCol w:w="120"/>
        <w:gridCol w:w="120"/>
        <w:gridCol w:w="206"/>
        <w:gridCol w:w="1149"/>
        <w:gridCol w:w="120"/>
        <w:gridCol w:w="120"/>
        <w:gridCol w:w="355"/>
        <w:gridCol w:w="955"/>
        <w:gridCol w:w="120"/>
        <w:gridCol w:w="120"/>
        <w:gridCol w:w="176"/>
        <w:gridCol w:w="984"/>
        <w:gridCol w:w="120"/>
        <w:gridCol w:w="120"/>
        <w:gridCol w:w="113"/>
        <w:gridCol w:w="717"/>
        <w:gridCol w:w="185"/>
        <w:gridCol w:w="120"/>
        <w:gridCol w:w="60"/>
        <w:gridCol w:w="845"/>
        <w:gridCol w:w="185"/>
      </w:tblGrid>
      <w:tr>
        <w:trPr/>
        <w:tc>
          <w:tcPr>
            <w:tcW w:w="9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15" w:type="dxa"/>
            <w:gridSpan w:val="30"/>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Twelve Months Ended</w:t>
            </w:r>
          </w:p>
        </w:tc>
        <w:tc>
          <w:tcPr>
            <w:tcW w:w="185" w:type="dxa"/>
            <w:tcBorders/>
            <w:vAlign w:val="bottom"/>
          </w:tcPr>
          <w:p>
            <w:pPr>
              <w:pStyle w:val="TableContents"/>
              <w:bidi w:val="0"/>
              <w:spacing w:before="0" w:after="283"/>
              <w:jc w:val="left"/>
              <w:rPr/>
            </w:pPr>
            <w:r>
              <w:rPr/>
              <w:t> </w:t>
            </w:r>
          </w:p>
        </w:tc>
      </w:tr>
      <w:tr>
        <w:trPr/>
        <w:tc>
          <w:tcPr>
            <w:tcW w:w="926" w:type="dxa"/>
            <w:tcBorders/>
            <w:vAlign w:val="bottom"/>
          </w:tcPr>
          <w:p>
            <w:pPr>
              <w:pStyle w:val="TableContents"/>
              <w:bidi w:val="0"/>
              <w:spacing w:before="0" w:after="283"/>
              <w:jc w:val="left"/>
              <w:rPr/>
            </w:pPr>
            <w:r>
              <w:rPr/>
            </w:r>
          </w:p>
        </w:tc>
        <w:tc>
          <w:tcPr>
            <w:tcW w:w="12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Actual (1)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60" w:type="dxa"/>
            <w:tcBorders>
              <w:bottom w:val="single" w:sz="12" w:space="0" w:color="000000"/>
            </w:tcBorders>
            <w:tcMar>
              <w:bottom w:w="28" w:type="dxa"/>
            </w:tcMar>
            <w:vAlign w:val="bottom"/>
          </w:tcPr>
          <w:p>
            <w:pPr>
              <w:pStyle w:val="TableContents"/>
              <w:bidi w:val="0"/>
              <w:spacing w:before="0" w:after="283"/>
              <w:jc w:val="left"/>
              <w:rPr/>
            </w:pPr>
            <w:r>
              <w:rPr/>
            </w:r>
          </w:p>
        </w:tc>
        <w:tc>
          <w:tcPr>
            <w:tcW w:w="60" w:type="dxa"/>
            <w:tcBorders>
              <w:bottom w:val="single" w:sz="12" w:space="0" w:color="000000"/>
            </w:tcBorders>
            <w:tcMar>
              <w:bottom w:w="28" w:type="dxa"/>
            </w:tcMar>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As</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Reported (1)</w:t>
            </w:r>
          </w:p>
          <w:p>
            <w:pPr>
              <w:pStyle w:val="TableContents"/>
              <w:bidi w:val="0"/>
              <w:spacing w:before="0" w:after="0"/>
              <w:jc w:val="center"/>
              <w:rPr>
                <w:rFonts w:ascii="Times New Roman" w:hAnsi="Times New Roman"/>
                <w:color w:val="000000"/>
              </w:rPr>
            </w:pPr>
            <w:r>
              <w:rPr>
                <w:rFonts w:ascii="Times New Roman" w:hAnsi="Times New Roman"/>
                <w:color w:val="000000"/>
              </w:rPr>
              <w:t>May 31, 2025</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lineRule="auto" w:line="240" w:before="0" w:after="0"/>
              <w:jc w:val="center"/>
              <w:rPr>
                <w:rFonts w:ascii="Times New Roman" w:hAnsi="Times New Roman"/>
                <w:color w:val="000000"/>
                <w:sz w:val="20"/>
              </w:rPr>
            </w:pPr>
            <w:r>
              <w:rPr>
                <w:rFonts w:ascii="Times New Roman" w:hAnsi="Times New Roman"/>
                <w:color w:val="000000"/>
                <w:sz w:val="20"/>
              </w:rPr>
              <w:t>Adjustments (2)</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Actual</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Growth</w:t>
            </w:r>
          </w:p>
        </w:tc>
        <w:tc>
          <w:tcPr>
            <w:tcW w:w="1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Pro Forma</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Growth</w:t>
            </w:r>
          </w:p>
        </w:tc>
        <w:tc>
          <w:tcPr>
            <w:tcW w:w="185" w:type="dxa"/>
            <w:tcBorders/>
            <w:vAlign w:val="bottom"/>
          </w:tcPr>
          <w:p>
            <w:pPr>
              <w:pStyle w:val="TableContents"/>
              <w:bidi w:val="0"/>
              <w:spacing w:before="0" w:after="283"/>
              <w:jc w:val="left"/>
              <w:rPr/>
            </w:pPr>
            <w:r>
              <w:rPr/>
              <w:t> </w:t>
            </w:r>
          </w:p>
        </w:tc>
      </w:tr>
      <w:tr>
        <w:trPr/>
        <w:tc>
          <w:tcPr>
            <w:tcW w:w="926" w:type="dxa"/>
            <w:tcBorders/>
            <w:vAlign w:val="bottom"/>
          </w:tcPr>
          <w:p>
            <w:pPr>
              <w:pStyle w:val="TableContents"/>
              <w:bidi w:val="0"/>
              <w:spacing w:before="0" w:after="283"/>
              <w:jc w:val="left"/>
              <w:rPr/>
            </w:pPr>
            <w:r>
              <w:rPr/>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(audited)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5" w:type="dxa"/>
            <w:gridSpan w:val="3"/>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92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Sales</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25" w:type="dxa"/>
            <w:gridSpan w:val="3"/>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926"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Med Tech</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149,954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149,954</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126,653</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5"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126,653</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80" w:type="dxa"/>
            <w:gridSpan w:val="2"/>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926"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Med Device</w:t>
            </w:r>
          </w:p>
        </w:tc>
        <w:tc>
          <w:tcPr>
            <w:tcW w:w="12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170,220</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12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170,218</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165,845</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35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166,032</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9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320,174</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12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320,172</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292,498</w:t>
            </w:r>
          </w:p>
        </w:tc>
        <w:tc>
          <w:tcPr>
            <w:tcW w:w="12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3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w:t>
            </w:r>
          </w:p>
        </w:tc>
        <w:tc>
          <w:tcPr>
            <w:tcW w:w="12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292,685</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9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92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Sales</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926"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United States</w:t>
            </w:r>
          </w:p>
        </w:tc>
        <w:tc>
          <w:tcPr>
            <w:tcW w:w="1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274,923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1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274,921</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250,983</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250,996</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926"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International</w:t>
            </w:r>
          </w:p>
        </w:tc>
        <w:tc>
          <w:tcPr>
            <w:tcW w:w="12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45,251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45,251</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41,515</w:t>
            </w:r>
          </w:p>
        </w:tc>
        <w:tc>
          <w:tcPr>
            <w:tcW w:w="1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w:t>
            </w:r>
          </w:p>
        </w:tc>
        <w:tc>
          <w:tcPr>
            <w:tcW w:w="1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41,689</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9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320,174</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4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12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bottom w:val="double" w:sz="8" w:space="0" w:color="000000"/>
            </w:tcBorders>
            <w:tcMar>
              <w:bottom w:w="28" w:type="dxa"/>
            </w:tcMar>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320,172</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292,498</w:t>
            </w:r>
          </w:p>
        </w:tc>
        <w:tc>
          <w:tcPr>
            <w:tcW w:w="120" w:type="dxa"/>
            <w:tcBorders>
              <w:bottom w:val="double" w:sz="8" w:space="0" w:color="000000"/>
            </w:tcBorders>
            <w:tcMar>
              <w:bottom w:w="28" w:type="dxa"/>
            </w:tcMar>
            <w:vAlign w:val="bottom"/>
          </w:tcPr>
          <w:p>
            <w:pPr>
              <w:pStyle w:val="TableContents"/>
              <w:bidi w:val="0"/>
              <w:spacing w:before="0" w:after="283"/>
              <w:jc w:val="left"/>
              <w:rPr/>
            </w:pPr>
            <w:r>
              <w:rPr/>
              <w:t> </w:t>
            </w:r>
          </w:p>
        </w:tc>
        <w:tc>
          <w:tcPr>
            <w:tcW w:w="120" w:type="dxa"/>
            <w:tcBorders>
              <w:bottom w:val="double" w:sz="8" w:space="0" w:color="000000"/>
            </w:tcBorders>
            <w:tcMar>
              <w:bottom w:w="28" w:type="dxa"/>
            </w:tcMar>
            <w:vAlign w:val="bottom"/>
          </w:tcPr>
          <w:p>
            <w:pPr>
              <w:pStyle w:val="TableContents"/>
              <w:bidi w:val="0"/>
              <w:spacing w:before="0" w:after="283"/>
              <w:jc w:val="left"/>
              <w:rPr/>
            </w:pPr>
            <w:r>
              <w:rPr/>
              <w:t> </w:t>
            </w:r>
          </w:p>
        </w:tc>
        <w:tc>
          <w:tcPr>
            <w:tcW w:w="3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w:t>
            </w:r>
          </w:p>
        </w:tc>
        <w:tc>
          <w:tcPr>
            <w:tcW w:w="120" w:type="dxa"/>
            <w:tcBorders>
              <w:bottom w:val="double" w:sz="8" w:space="0" w:color="000000"/>
            </w:tcBorders>
            <w:tcMar>
              <w:bottom w:w="28" w:type="dxa"/>
            </w:tcMar>
            <w:vAlign w:val="bottom"/>
          </w:tcPr>
          <w:p>
            <w:pPr>
              <w:pStyle w:val="TableContents"/>
              <w:bidi w:val="0"/>
              <w:spacing w:before="0" w:after="283"/>
              <w:jc w:val="left"/>
              <w:rPr/>
            </w:pPr>
            <w:r>
              <w:rPr/>
              <w:t> </w:t>
            </w:r>
          </w:p>
        </w:tc>
        <w:tc>
          <w:tcPr>
            <w:tcW w:w="120" w:type="dxa"/>
            <w:tcBorders>
              <w:bottom w:val="double" w:sz="8" w:space="0" w:color="000000"/>
            </w:tcBorders>
            <w:tcMar>
              <w:bottom w:w="28" w:type="dxa"/>
            </w:tcMar>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292,685</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Reflects the Company's US GAAP consolidated financial statements before pro forma adjustments related to the divestiture of the Dialysis and BioSentry Businesses, the sale of the PICCs and Midlines Businesses and the discontinuation of the RadioFrequency Ablation and Syntrax products ("the Businesses") for the twelve months ended May 31, 2026 and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Reflects the elimination of revenues and expenses representing the operating results from the sales and discontinuation of the Businesses.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GROSS MARGIN BY PRODUCT CATEGORY</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4" w:name="z11eee59bf8534ef798d2654293142685"/>
      <w:bookmarkStart w:id="65" w:name="z11eee59bf8534ef798d2654293142685"/>
      <w:bookmarkEnd w:id="65"/>
    </w:p>
    <w:tbl>
      <w:tblPr>
        <w:tblW w:w="11445" w:type="dxa"/>
        <w:jc w:val="left"/>
        <w:tblInd w:w="0" w:type="dxa"/>
        <w:tblLayout w:type="fixed"/>
        <w:tblCellMar>
          <w:top w:w="0" w:type="dxa"/>
          <w:left w:w="0" w:type="dxa"/>
          <w:bottom w:w="0" w:type="dxa"/>
          <w:right w:w="0" w:type="dxa"/>
        </w:tblCellMar>
      </w:tblPr>
      <w:tblGrid>
        <w:gridCol w:w="605"/>
        <w:gridCol w:w="60"/>
        <w:gridCol w:w="176"/>
        <w:gridCol w:w="984"/>
        <w:gridCol w:w="185"/>
        <w:gridCol w:w="60"/>
        <w:gridCol w:w="324"/>
        <w:gridCol w:w="986"/>
        <w:gridCol w:w="185"/>
        <w:gridCol w:w="60"/>
        <w:gridCol w:w="176"/>
        <w:gridCol w:w="984"/>
        <w:gridCol w:w="185"/>
        <w:gridCol w:w="60"/>
        <w:gridCol w:w="197"/>
        <w:gridCol w:w="1098"/>
        <w:gridCol w:w="185"/>
        <w:gridCol w:w="60"/>
        <w:gridCol w:w="425"/>
        <w:gridCol w:w="885"/>
        <w:gridCol w:w="60"/>
        <w:gridCol w:w="60"/>
        <w:gridCol w:w="176"/>
        <w:gridCol w:w="984"/>
        <w:gridCol w:w="60"/>
        <w:gridCol w:w="60"/>
        <w:gridCol w:w="117"/>
        <w:gridCol w:w="743"/>
        <w:gridCol w:w="185"/>
        <w:gridCol w:w="60"/>
        <w:gridCol w:w="117"/>
        <w:gridCol w:w="743"/>
        <w:gridCol w:w="200"/>
      </w:tblGrid>
      <w:tr>
        <w:trPr/>
        <w:tc>
          <w:tcPr>
            <w:tcW w:w="6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0" w:type="dxa"/>
            <w:gridSpan w:val="30"/>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Twelve Months Ended</w:t>
            </w:r>
          </w:p>
        </w:tc>
        <w:tc>
          <w:tcPr>
            <w:tcW w:w="200" w:type="dxa"/>
            <w:tcBorders/>
            <w:vAlign w:val="bottom"/>
          </w:tcPr>
          <w:p>
            <w:pPr>
              <w:pStyle w:val="TableContents"/>
              <w:bidi w:val="0"/>
              <w:spacing w:before="0" w:after="283"/>
              <w:jc w:val="left"/>
              <w:rPr/>
            </w:pPr>
            <w:r>
              <w:rPr/>
              <w:t> </w:t>
            </w:r>
          </w:p>
        </w:tc>
      </w:tr>
      <w:tr>
        <w:trPr/>
        <w:tc>
          <w:tcPr>
            <w:tcW w:w="60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center"/>
          </w:tcPr>
          <w:p>
            <w:pPr>
              <w:pStyle w:val="TableContents"/>
              <w:bidi w:val="0"/>
              <w:spacing w:lineRule="auto" w:line="240" w:before="0" w:after="0"/>
              <w:jc w:val="center"/>
              <w:rPr>
                <w:rFonts w:ascii="Times New Roman" w:hAnsi="Times New Roman"/>
                <w:sz w:val="20"/>
              </w:rPr>
            </w:pPr>
            <w:r>
              <w:rPr>
                <w:rFonts w:ascii="Times New Roman" w:hAnsi="Times New Roman"/>
                <w:sz w:val="20"/>
              </w:rPr>
              <w:t>Actual (1)</w:t>
            </w:r>
          </w:p>
          <w:p>
            <w:pPr>
              <w:pStyle w:val="TableContents"/>
              <w:bidi w:val="0"/>
              <w:spacing w:before="0" w:after="0"/>
              <w:jc w:val="center"/>
              <w:rPr>
                <w:rFonts w:ascii="Times New Roman" w:hAnsi="Times New Roman"/>
                <w:sz w:val="20"/>
              </w:rPr>
            </w:pPr>
            <w:r>
              <w:rPr>
                <w:rFonts w:ascii="Times New Roman" w:hAnsi="Times New Roman"/>
                <w:sz w:val="20"/>
              </w:rPr>
              <w:t>May 31, 2026</w:t>
            </w:r>
          </w:p>
        </w:tc>
        <w:tc>
          <w:tcPr>
            <w:tcW w:w="18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Pro Forma</w:t>
            </w:r>
          </w:p>
          <w:p>
            <w:pPr>
              <w:pStyle w:val="TableContents"/>
              <w:bidi w:val="0"/>
              <w:spacing w:lineRule="auto" w:line="240" w:before="0" w:after="0"/>
              <w:jc w:val="center"/>
              <w:rPr>
                <w:rFonts w:ascii="Times New Roman" w:hAnsi="Times New Roman"/>
                <w:sz w:val="20"/>
              </w:rPr>
            </w:pPr>
            <w:r>
              <w:rPr>
                <w:rFonts w:ascii="Times New Roman" w:hAnsi="Times New Roman"/>
                <w:sz w:val="20"/>
              </w:rPr>
              <w:t>Adjustments (2)</w:t>
            </w:r>
          </w:p>
          <w:p>
            <w:pPr>
              <w:pStyle w:val="TableContents"/>
              <w:bidi w:val="0"/>
              <w:spacing w:before="0" w:after="0"/>
              <w:jc w:val="center"/>
              <w:rPr>
                <w:rFonts w:ascii="Times New Roman" w:hAnsi="Times New Roman"/>
                <w:sz w:val="20"/>
              </w:rPr>
            </w:pPr>
            <w:r>
              <w:rPr>
                <w:rFonts w:ascii="Times New Roman" w:hAnsi="Times New Roman"/>
                <w:sz w:val="20"/>
              </w:rPr>
              <w:t>May 31, 2026</w:t>
            </w:r>
          </w:p>
        </w:tc>
        <w:tc>
          <w:tcPr>
            <w:tcW w:w="18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Pro Forma</w:t>
            </w:r>
          </w:p>
          <w:p>
            <w:pPr>
              <w:pStyle w:val="TableContents"/>
              <w:bidi w:val="0"/>
              <w:spacing w:before="0" w:after="0"/>
              <w:jc w:val="center"/>
              <w:rPr>
                <w:rFonts w:ascii="Times New Roman" w:hAnsi="Times New Roman"/>
                <w:sz w:val="20"/>
              </w:rPr>
            </w:pPr>
            <w:r>
              <w:rPr>
                <w:rFonts w:ascii="Times New Roman" w:hAnsi="Times New Roman"/>
                <w:sz w:val="20"/>
              </w:rPr>
              <w:t>May 31, 2026</w:t>
            </w:r>
          </w:p>
        </w:tc>
        <w:tc>
          <w:tcPr>
            <w:tcW w:w="18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295" w:type="dxa"/>
            <w:gridSpan w:val="2"/>
            <w:tcBorders>
              <w:bottom w:val="single" w:sz="12" w:space="0" w:color="000000"/>
            </w:tcBorders>
            <w:tcMar>
              <w:bottom w:w="28" w:type="dxa"/>
            </w:tcMar>
            <w:vAlign w:val="center"/>
          </w:tcPr>
          <w:p>
            <w:pPr>
              <w:pStyle w:val="TableContents"/>
              <w:bidi w:val="0"/>
              <w:spacing w:lineRule="auto" w:line="240" w:before="0" w:after="0"/>
              <w:jc w:val="center"/>
              <w:rPr>
                <w:rFonts w:ascii="Times New Roman" w:hAnsi="Times New Roman"/>
                <w:sz w:val="20"/>
              </w:rPr>
            </w:pPr>
            <w:r>
              <w:rPr>
                <w:rFonts w:ascii="Times New Roman" w:hAnsi="Times New Roman"/>
                <w:sz w:val="20"/>
              </w:rPr>
              <w:t>As Reported (1)</w:t>
            </w:r>
          </w:p>
          <w:p>
            <w:pPr>
              <w:pStyle w:val="TableContents"/>
              <w:bidi w:val="0"/>
              <w:spacing w:before="0" w:after="0"/>
              <w:jc w:val="center"/>
              <w:rPr>
                <w:rFonts w:ascii="Times New Roman" w:hAnsi="Times New Roman"/>
                <w:sz w:val="20"/>
              </w:rPr>
            </w:pPr>
            <w:r>
              <w:rPr>
                <w:rFonts w:ascii="Times New Roman" w:hAnsi="Times New Roman"/>
                <w:sz w:val="20"/>
              </w:rPr>
              <w:t>May 31, 2025</w:t>
            </w:r>
          </w:p>
        </w:tc>
        <w:tc>
          <w:tcPr>
            <w:tcW w:w="18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Pro Forma</w:t>
            </w:r>
          </w:p>
          <w:p>
            <w:pPr>
              <w:pStyle w:val="TableContents"/>
              <w:bidi w:val="0"/>
              <w:spacing w:lineRule="auto" w:line="240" w:before="0" w:after="0"/>
              <w:jc w:val="center"/>
              <w:rPr>
                <w:rFonts w:ascii="Times New Roman" w:hAnsi="Times New Roman"/>
                <w:sz w:val="20"/>
              </w:rPr>
            </w:pPr>
            <w:r>
              <w:rPr>
                <w:rFonts w:ascii="Times New Roman" w:hAnsi="Times New Roman"/>
                <w:sz w:val="20"/>
              </w:rPr>
              <w:t>Adjustments (2)</w:t>
            </w:r>
          </w:p>
          <w:p>
            <w:pPr>
              <w:pStyle w:val="TableContents"/>
              <w:bidi w:val="0"/>
              <w:spacing w:before="0" w:after="0"/>
              <w:jc w:val="center"/>
              <w:rPr>
                <w:rFonts w:ascii="Times New Roman" w:hAnsi="Times New Roman"/>
                <w:sz w:val="20"/>
              </w:rPr>
            </w:pPr>
            <w:r>
              <w:rPr>
                <w:rFonts w:ascii="Times New Roman" w:hAnsi="Times New Roman"/>
                <w:sz w:val="20"/>
              </w:rPr>
              <w:t>May 31, 2025</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Pro Forma</w:t>
            </w:r>
          </w:p>
          <w:p>
            <w:pPr>
              <w:pStyle w:val="TableContents"/>
              <w:bidi w:val="0"/>
              <w:spacing w:before="0" w:after="0"/>
              <w:jc w:val="center"/>
              <w:rPr>
                <w:rFonts w:ascii="Times New Roman" w:hAnsi="Times New Roman"/>
                <w:sz w:val="20"/>
              </w:rPr>
            </w:pPr>
            <w:r>
              <w:rPr>
                <w:rFonts w:ascii="Times New Roman" w:hAnsi="Times New Roman"/>
                <w:sz w:val="20"/>
              </w:rPr>
              <w:t>May 31, 2025</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6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Actual</w:t>
            </w:r>
          </w:p>
          <w:p>
            <w:pPr>
              <w:pStyle w:val="TableContents"/>
              <w:bidi w:val="0"/>
              <w:spacing w:before="0" w:after="0"/>
              <w:jc w:val="center"/>
              <w:rPr>
                <w:rFonts w:ascii="Times New Roman" w:hAnsi="Times New Roman"/>
                <w:sz w:val="20"/>
              </w:rPr>
            </w:pPr>
            <w:r>
              <w:rPr>
                <w:rFonts w:ascii="Times New Roman" w:hAnsi="Times New Roman"/>
                <w:sz w:val="20"/>
              </w:rPr>
              <w:t>% Change</w:t>
            </w:r>
          </w:p>
        </w:tc>
        <w:tc>
          <w:tcPr>
            <w:tcW w:w="18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6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Pro Forma</w:t>
            </w:r>
          </w:p>
          <w:p>
            <w:pPr>
              <w:pStyle w:val="TableContents"/>
              <w:bidi w:val="0"/>
              <w:spacing w:before="0" w:after="0"/>
              <w:jc w:val="center"/>
              <w:rPr>
                <w:rFonts w:ascii="Times New Roman" w:hAnsi="Times New Roman"/>
                <w:sz w:val="20"/>
              </w:rPr>
            </w:pPr>
            <w:r>
              <w:rPr>
                <w:rFonts w:ascii="Times New Roman" w:hAnsi="Times New Roman"/>
                <w:sz w:val="20"/>
              </w:rPr>
              <w:t>% Change</w:t>
            </w:r>
          </w:p>
        </w:tc>
        <w:tc>
          <w:tcPr>
            <w:tcW w:w="200" w:type="dxa"/>
            <w:tcBorders/>
            <w:vAlign w:val="bottom"/>
          </w:tcPr>
          <w:p>
            <w:pPr>
              <w:pStyle w:val="TableContents"/>
              <w:bidi w:val="0"/>
              <w:spacing w:before="0" w:after="283"/>
              <w:jc w:val="left"/>
              <w:rPr/>
            </w:pPr>
            <w:r>
              <w:rPr/>
            </w:r>
          </w:p>
        </w:tc>
      </w:tr>
      <w:tr>
        <w:trPr/>
        <w:tc>
          <w:tcPr>
            <w:tcW w:w="6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(unaudited)</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(unaudited)</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(unaudited)</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(audited)</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6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Med Tech</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95,356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bidi w:val="0"/>
              <w:spacing w:before="0" w:after="0"/>
              <w:jc w:val="right"/>
              <w:rPr/>
            </w:pPr>
            <w:r>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95,356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78,515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78,515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21.4</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21.4</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Gross margin % of sales</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2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6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6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Med Device</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79,536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79,534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79,190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79,220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Gross margin % of sales</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2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6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6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174,892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174,890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157,705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157,735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Gross margin % of sales</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2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Reflects the Company's US GAAP consolidated financial statements before pro forma adjustments related to the divestiture of the Dialysis and BioSentry Businesses, the sale of the PICCs and Midlines Businesses and the discontinuation of the RadioFrequency Ablation and Syntrax products ("the Businesses") for the twelve months ended May 31, 2026 and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Reflects the elimination of revenues and expenses representing the operating results from the sales and discontinuation of the Businesses.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6" w:name="z9044d4d38e064e08925f3cd4a1e0eb1e"/>
      <w:bookmarkStart w:id="67" w:name="z9044d4d38e064e08925f3cd4a1e0eb1e"/>
      <w:bookmarkEnd w:id="67"/>
    </w:p>
    <w:tbl>
      <w:tblPr>
        <w:tblW w:w="6013" w:type="dxa"/>
        <w:jc w:val="left"/>
        <w:tblInd w:w="0" w:type="dxa"/>
        <w:tblLayout w:type="fixed"/>
        <w:tblCellMar>
          <w:top w:w="0" w:type="dxa"/>
          <w:left w:w="0" w:type="dxa"/>
          <w:bottom w:w="0" w:type="dxa"/>
          <w:right w:w="0" w:type="dxa"/>
        </w:tblCellMar>
      </w:tblPr>
      <w:tblGrid>
        <w:gridCol w:w="3440"/>
        <w:gridCol w:w="60"/>
        <w:gridCol w:w="176"/>
        <w:gridCol w:w="983"/>
        <w:gridCol w:w="60"/>
        <w:gridCol w:w="60"/>
        <w:gridCol w:w="176"/>
        <w:gridCol w:w="983"/>
        <w:gridCol w:w="75"/>
      </w:tblGrid>
      <w:tr>
        <w:trPr/>
        <w:tc>
          <w:tcPr>
            <w:tcW w:w="34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75"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(audited)</w:t>
            </w:r>
          </w:p>
        </w:tc>
        <w:tc>
          <w:tcPr>
            <w:tcW w:w="75"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55,893</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42,890</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Inventories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52,436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62,006</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7,535</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163,394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168,324</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Property, plant and equipment, net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27,097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32,300</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10,404</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Intangible assets, net</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67,209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69,116</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267,163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280,144</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liabilities: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33,291</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Accrued liabilities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38,909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35,518</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Other current liabilities</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7,388</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76,197</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Deferred income taxes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4,073</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long-term liabilities</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16,904</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96,338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97,174</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170,825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182,970</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267,163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280,144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8" w:name="za272963c336e405683b7621762fd8e55"/>
      <w:bookmarkStart w:id="69" w:name="za272963c336e405683b7621762fd8e55"/>
      <w:bookmarkEnd w:id="69"/>
    </w:p>
    <w:tbl>
      <w:tblPr>
        <w:tblW w:w="10205" w:type="dxa"/>
        <w:jc w:val="left"/>
        <w:tblInd w:w="0" w:type="dxa"/>
        <w:tblLayout w:type="fixed"/>
        <w:tblCellMar>
          <w:top w:w="0" w:type="dxa"/>
          <w:left w:w="0" w:type="dxa"/>
          <w:bottom w:w="0" w:type="dxa"/>
          <w:right w:w="0" w:type="dxa"/>
        </w:tblCellMar>
      </w:tblPr>
      <w:tblGrid>
        <w:gridCol w:w="5316"/>
        <w:gridCol w:w="60"/>
        <w:gridCol w:w="186"/>
        <w:gridCol w:w="898"/>
        <w:gridCol w:w="82"/>
        <w:gridCol w:w="62"/>
        <w:gridCol w:w="202"/>
        <w:gridCol w:w="882"/>
        <w:gridCol w:w="80"/>
        <w:gridCol w:w="60"/>
        <w:gridCol w:w="186"/>
        <w:gridCol w:w="898"/>
        <w:gridCol w:w="85"/>
        <w:gridCol w:w="64"/>
        <w:gridCol w:w="168"/>
        <w:gridCol w:w="878"/>
        <w:gridCol w:w="98"/>
      </w:tblGrid>
      <w:tr>
        <w:trPr/>
        <w:tc>
          <w:tcPr>
            <w:tcW w:w="53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9"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Twelve Months Ended</w:t>
            </w:r>
          </w:p>
        </w:tc>
        <w:tc>
          <w:tcPr>
            <w:tcW w:w="98" w:type="dxa"/>
            <w:tcBorders/>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4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2025</w:t>
            </w:r>
          </w:p>
        </w:tc>
        <w:tc>
          <w:tcPr>
            <w:tcW w:w="98" w:type="dxa"/>
            <w:tcBorders/>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46"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(audited)</w:t>
            </w:r>
          </w:p>
        </w:tc>
        <w:tc>
          <w:tcPr>
            <w:tcW w:w="98" w:type="dxa"/>
            <w:tcBorders/>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46"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(11,405</w:t>
            </w:r>
          </w:p>
        </w:tc>
        <w:tc>
          <w:tcPr>
            <w:tcW w:w="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(36,742</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(33,993</w:t>
            </w:r>
          </w:p>
        </w:tc>
        <w:tc>
          <w:tcPr>
            <w:tcW w:w="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5,597</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22,955</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25,800</w:t>
            </w:r>
          </w:p>
        </w:tc>
        <w:tc>
          <w:tcPr>
            <w:tcW w:w="98" w:type="dxa"/>
            <w:tcBorders/>
            <w:shd w:fill="CCEEFF" w:val="clear"/>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Non-cash lease expense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1,555</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1,958</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Non-cash interest expense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color w:val="000000"/>
              </w:rPr>
            </w:pPr>
            <w:r>
              <w:rPr>
                <w:color w:val="000000"/>
              </w:rPr>
              <w:t>—</w:t>
            </w:r>
          </w:p>
        </w:tc>
        <w:tc>
          <w:tcPr>
            <w:tcW w:w="98" w:type="dxa"/>
            <w:tcBorders/>
            <w:shd w:fill="CCEEFF" w:val="clear"/>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Stock based compensation</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3,915</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13,960</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9,772</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w:t>
            </w:r>
          </w:p>
        </w:tc>
        <w:tc>
          <w:tcPr>
            <w:tcW w:w="98" w:type="dxa"/>
            <w:tcBorders/>
            <w:shd w:fill="CCEEFF" w:val="clear"/>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Deferred income tax provision</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(988</w:t>
            </w:r>
          </w:p>
        </w:tc>
        <w:tc>
          <w:tcPr>
            <w:tcW w:w="9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Change in accounts receivable allowances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699</w:t>
            </w:r>
          </w:p>
        </w:tc>
        <w:tc>
          <w:tcPr>
            <w:tcW w:w="98" w:type="dxa"/>
            <w:tcBorders/>
            <w:shd w:fill="CCEEFF" w:val="clear"/>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Asset impairments and disposals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1,304</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1,152</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1,969</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291</w:t>
            </w:r>
          </w:p>
        </w:tc>
        <w:tc>
          <w:tcPr>
            <w:tcW w:w="98" w:type="dxa"/>
            <w:tcBorders/>
            <w:shd w:fill="CCEEFF" w:val="clear"/>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Changes in operating assets and liabilities, net of acquisitions: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Accounts receivable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(2,903</w:t>
            </w:r>
          </w:p>
        </w:tc>
        <w:tc>
          <w:tcPr>
            <w:tcW w:w="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(5,750</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w:t>
            </w:r>
          </w:p>
        </w:tc>
        <w:tc>
          <w:tcPr>
            <w:tcW w:w="98" w:type="dxa"/>
            <w:tcBorders/>
            <w:shd w:fill="CCEEFF" w:val="clear"/>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Inventories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6,463</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10,047</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(1,347</w:t>
            </w:r>
          </w:p>
        </w:tc>
        <w:tc>
          <w:tcPr>
            <w:tcW w:w="9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5,250</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(1,122</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3,089</w:t>
            </w:r>
          </w:p>
        </w:tc>
        <w:tc>
          <w:tcPr>
            <w:tcW w:w="98" w:type="dxa"/>
            <w:tcBorders/>
            <w:shd w:fill="CCEEFF" w:val="clear"/>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Accounts payable, accrued and other liabilities</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7,696</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(5,833</w:t>
            </w:r>
          </w:p>
        </w:tc>
        <w:tc>
          <w:tcPr>
            <w:tcW w:w="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(15,877</w:t>
            </w:r>
          </w:p>
        </w:tc>
        <w:tc>
          <w:tcPr>
            <w:tcW w:w="9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shd w:fill="CCEEFF" w:val="clear"/>
            <w:vAlign w:val="bottom"/>
          </w:tcPr>
          <w:p>
            <w:pPr>
              <w:pStyle w:val="TableContents"/>
              <w:bidi w:val="0"/>
              <w:spacing w:before="0" w:after="0"/>
              <w:ind w:left="684" w:right="0" w:hanging="144"/>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6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17,452</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3,089</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(10,128</w:t>
            </w:r>
          </w:p>
        </w:tc>
        <w:tc>
          <w:tcPr>
            <w:tcW w:w="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Cash flows from investing activities: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Additions to property, plant and equipment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(413</w:t>
            </w:r>
          </w:p>
        </w:tc>
        <w:tc>
          <w:tcPr>
            <w:tcW w:w="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(2,581</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(4,464</w:t>
            </w:r>
          </w:p>
        </w:tc>
        <w:tc>
          <w:tcPr>
            <w:tcW w:w="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Additions to placement and evaluation units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(857</w:t>
            </w:r>
          </w:p>
        </w:tc>
        <w:tc>
          <w:tcPr>
            <w:tcW w:w="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(3,368</w:t>
            </w:r>
          </w:p>
        </w:tc>
        <w:tc>
          <w:tcPr>
            <w:tcW w:w="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(5,714</w:t>
            </w:r>
          </w:p>
        </w:tc>
        <w:tc>
          <w:tcPr>
            <w:tcW w:w="9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Proceeds from sale of assets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color w:val="000000"/>
              </w:rPr>
            </w:pPr>
            <w:r>
              <w:rPr>
                <w:color w:val="000000"/>
              </w:rPr>
              <w:t>—</w:t>
            </w:r>
          </w:p>
        </w:tc>
        <w:tc>
          <w:tcPr>
            <w:tcW w:w="98" w:type="dxa"/>
            <w:tcBorders/>
            <w:shd w:fill="CCEEFF" w:val="clear"/>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Acquisition of intangibles</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684" w:right="0" w:hanging="144"/>
              <w:jc w:val="left"/>
              <w:rPr>
                <w:rFonts w:ascii="Times New Roman" w:hAnsi="Times New Roman"/>
                <w:b/>
                <w:color w:val="000000"/>
                <w:sz w:val="20"/>
              </w:rPr>
            </w:pPr>
            <w:r>
              <w:rPr>
                <w:rFonts w:ascii="Times New Roman" w:hAnsi="Times New Roman"/>
                <w:b/>
                <w:color w:val="000000"/>
                <w:sz w:val="20"/>
              </w:rPr>
              <w:t>Net cash used in investing activities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(1,270</w:t>
            </w:r>
          </w:p>
        </w:tc>
        <w:tc>
          <w:tcPr>
            <w:tcW w:w="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(5,949</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(10,178</w:t>
            </w:r>
          </w:p>
        </w:tc>
        <w:tc>
          <w:tcPr>
            <w:tcW w:w="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Cash flows from financing activities: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Deferred financing costs on long-term debt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w:t>
            </w:r>
          </w:p>
        </w:tc>
        <w:tc>
          <w:tcPr>
            <w:tcW w:w="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Payment of acquisition related contingent consideration</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color w:val="000000"/>
              </w:rPr>
            </w:pPr>
            <w:r>
              <w:rPr>
                <w:color w:val="000000"/>
              </w:rPr>
              <w:t>—</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color w:val="000000"/>
              </w:rPr>
            </w:pPr>
            <w:r>
              <w:rPr>
                <w:color w:val="000000"/>
              </w:rPr>
              <w:t>—</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w:t>
            </w:r>
          </w:p>
        </w:tc>
        <w:tc>
          <w:tcPr>
            <w:tcW w:w="9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Repurchase of common stock</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(1,670</w:t>
            </w:r>
          </w:p>
        </w:tc>
        <w:tc>
          <w:tcPr>
            <w:tcW w:w="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Principal payments on financing arrangement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w:t>
            </w:r>
          </w:p>
        </w:tc>
        <w:tc>
          <w:tcPr>
            <w:tcW w:w="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w:t>
            </w:r>
          </w:p>
        </w:tc>
        <w:tc>
          <w:tcPr>
            <w:tcW w:w="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w:t>
            </w:r>
          </w:p>
        </w:tc>
        <w:tc>
          <w:tcPr>
            <w:tcW w:w="9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Proceeds from financing arrangement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6,310</w:t>
            </w:r>
          </w:p>
        </w:tc>
        <w:tc>
          <w:tcPr>
            <w:tcW w:w="98" w:type="dxa"/>
            <w:tcBorders/>
            <w:shd w:fill="CCEEFF" w:val="clear"/>
            <w:vAlign w:val="bottom"/>
          </w:tcPr>
          <w:p>
            <w:pPr>
              <w:pStyle w:val="TableContents"/>
              <w:bidi w:val="0"/>
              <w:spacing w:before="0" w:after="283"/>
              <w:jc w:val="left"/>
              <w:rPr/>
            </w:pPr>
            <w:r>
              <w:rPr/>
              <w:t> </w:t>
            </w:r>
          </w:p>
        </w:tc>
      </w:tr>
      <w:tr>
        <w:trPr/>
        <w:tc>
          <w:tcPr>
            <w:tcW w:w="531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Proceeds from exercise of stock options and employee stock purchase plan</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939</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933</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684" w:right="0" w:hanging="144"/>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6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w:t>
            </w:r>
          </w:p>
        </w:tc>
        <w:tc>
          <w:tcPr>
            <w:tcW w:w="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(5,770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564</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w:t>
            </w:r>
          </w:p>
        </w:tc>
        <w:tc>
          <w:tcPr>
            <w:tcW w:w="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w:t>
            </w:r>
          </w:p>
        </w:tc>
        <w:tc>
          <w:tcPr>
            <w:tcW w:w="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684" w:right="0" w:hanging="144"/>
              <w:jc w:val="left"/>
              <w:rPr>
                <w:rFonts w:ascii="Times New Roman" w:hAnsi="Times New Roman"/>
                <w:b/>
                <w:color w:val="000000"/>
                <w:sz w:val="20"/>
              </w:rPr>
            </w:pPr>
            <w:r>
              <w:rPr>
                <w:rFonts w:ascii="Times New Roman" w:hAnsi="Times New Roman"/>
                <w:b/>
                <w:color w:val="000000"/>
                <w:sz w:val="20"/>
              </w:rPr>
              <w:t>Increase (decrease) in cash and cash equivalents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16,054</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(2,029</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(20,163</w:t>
            </w:r>
          </w:p>
        </w:tc>
        <w:tc>
          <w:tcPr>
            <w:tcW w:w="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16"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37,810</w:t>
            </w:r>
          </w:p>
        </w:tc>
        <w:tc>
          <w:tcPr>
            <w:tcW w:w="8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55,893</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76,056</w:t>
            </w:r>
          </w:p>
        </w:tc>
        <w:tc>
          <w:tcPr>
            <w:tcW w:w="98" w:type="dxa"/>
            <w:tcBorders/>
            <w:vAlign w:val="bottom"/>
          </w:tcPr>
          <w:p>
            <w:pPr>
              <w:pStyle w:val="TableContents"/>
              <w:bidi w:val="0"/>
              <w:spacing w:before="0" w:after="283"/>
              <w:jc w:val="left"/>
              <w:rPr/>
            </w:pPr>
            <w:r>
              <w:rPr/>
              <w:t> </w:t>
            </w:r>
          </w:p>
        </w:tc>
      </w:tr>
      <w:tr>
        <w:trPr/>
        <w:tc>
          <w:tcPr>
            <w:tcW w:w="5316" w:type="dxa"/>
            <w:tcBorders/>
            <w:shd w:fill="CCEEFF" w:val="clear"/>
            <w:vAlign w:val="bottom"/>
          </w:tcPr>
          <w:p>
            <w:pPr>
              <w:pStyle w:val="TableContents"/>
              <w:bidi w:val="0"/>
              <w:spacing w:before="0" w:after="0"/>
              <w:ind w:left="324" w:right="0" w:hanging="144"/>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60" w:type="dxa"/>
            <w:tcBorders/>
            <w:shd w:fill="CCEEFF" w:val="clear"/>
            <w:vAlign w:val="bottom"/>
          </w:tcPr>
          <w:p>
            <w:pPr>
              <w:pStyle w:val="TableContents"/>
              <w:bidi w:val="0"/>
              <w:spacing w:before="0" w:after="283"/>
              <w:jc w:val="lef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53,864</w:t>
            </w:r>
          </w:p>
        </w:tc>
        <w:tc>
          <w:tcPr>
            <w:tcW w:w="8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55,893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53,864</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6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55,893</w:t>
            </w:r>
          </w:p>
        </w:tc>
        <w:tc>
          <w:tcPr>
            <w:tcW w:w="9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0" w:name="ef20077916_ex99-2.htm"/>
      <w:bookmarkStart w:id="71" w:name="ksef20077916_ex992"/>
      <w:bookmarkStart w:id="72" w:name="ef20077916_ex99-2.htm"/>
      <w:bookmarkStart w:id="73" w:name="ksef20077916_ex992"/>
      <w:bookmarkEnd w:id="72"/>
      <w:bookmarkEnd w:id="7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Fourth Quarter and Full Year 2026Earnings Results  July 14,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Forward looking statements   2  Notice Regarding Forward-Looking Statements  This presentation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“projects,” “believes,” “seeks,” “estimates,”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2026. AngioDynamics does not assume any obligation to publicly update or revise any forward-looking statements for any reason.  Notice Regarding Non-GAAP Financial Measures  Management uses non-GAAP measures to establish operational goals and believes that non-GAAP measures may assist investors in analyzing the underlying trends in AngioDynamics’ business over time. Investors should consider these non-GAAP measures in addition to, not as a substitute for or as superior to, financial reporting measures prepared in accordance with GAAP. In this presentation, AngioDynamics has reported pro forma results, adjusted EBITDA (income before interest, taxes, depreciation and amortization and stock-based compensation); adjusted net income and adjusted earnings per share. Management uses these measures in its internal analysis and review of operational performance. Management believes that these measures provide investors with useful information in comparing AngioDynamics’ performance over different periods. By using these non-GAAP measures, management believes that investors get a better picture of the performance of AngioDynamics’ underlying business. Management encourages investors to review AngioDynamics’ financial results prepared in accordance with GAAP to understand AngioDynamics’ performance taking into account all relevant factors, including those that may only occur from time to time but have a material impact on AngioDynamics’ financial results. Please see the tables that follow for a reconciliation of non-GAAP measures to measures prepared in accordance with GAAP.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3  Q4 FY 2026 Key Takeaways  Continued commercial and operational execution drives AngioDynamics’ accelerated and profitable growth.  Total  +8.0%   YoY Revenue Growth*  Med Tech  +16.7%   Med Device  +1.1%   Auryon  +14.4%   Med Tech YoY Revenue Growth*  Mech Thrombectomy  -1.1%   NanoKnife Probes  +47.0%    Focus on Profitability  Balance Sheet Strength  Ended quarter with $53.9M in Cash  Zero debt with flexibility of revolving line of credit  Generated ~$17.5M of cash from operations in the quarter  Will generate positive cash flow from operations in FY27  Pro forma Adjusted EBITDA of $3.3M  Continued Execution  Net sales of $86.6M, +8.0% YoY growth  Med Tech segment sales of $41.8M, +16.7% YoY growth  Med Device segment sales of $44.8M, +1.1% YoY growth  *All growth rates are pro forma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4  Q4 FY 2026 Financial Snapshot  +1.1%   Pro Forma Growth  +16.7%  Pro Forma Growth  Segment Revenue Contribution  Segment Gross Margin  44.4%  64.3%  Med Device  Med Tech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5  FY 2026 Key Takeaways  Continued commercial and operational execution drives AngioDynamics’ accelerated and profitable growth.  Total  +9.4%   YoY Revenue Growth*  Med Tech  +18.4%   Med Device  +2.5%   Auryon  +17.7%   Med Tech YoY Revenue Growth*  Mech Thrombectomy  13.4%   NanoKnife Probes  +28.7%    Focus on Profitability  Balance Sheet Strength  Ended fiscal year with $53.9M in Cash  Zero debt with flexibility of revolving line of credit  Generated ~$3.1M of cash from operations in the year  Will generate positive cash flow from operations in FY27  Pro forma Adjusted EBITDA** of $13.2M  Continued Execution  Net sales of $320.2M, +9.4% YoY growth  Med Tech segment sales of $150.0M, +18.4% YoY growth  Med Device segment sales of $170.2M, +2.5% YoY growth  *All growth rates are pro forma  ** Pro forma Adjusted EBITDA excludes the $5.0 million milestone payment received from Spectrum Vascular in Q3 of FY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6  FY 2026 Financial Snapshot  +2.5%   Pro Forma Growth  +18.4%  Pro Forma Growth  Segment Revenue Contribution  Segment Gross Margin  46.7%  63.6%  Med Device  Med Tech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  Demonstrated Med Tech Growth Execution  7  Med Tech  ~22% of Total  Med Tech  ~47% of Total  +18.4%  Med Tech 6yr CAGR: +24%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  Q4 FY 2026 MedTech Performance Snapshot  Auryon: Double-digit growth for the 20th straight quarter, driven by our hospital atherectomy shift, customer base expansion, and early international adoption.  Mechanical Thrombectomy: Continued strong demand with near-term catalysts expected from AlphaReturn and infective endocarditis IDE approvals.  NanoKnife: Strong growth on record prostate volumes and probe demand, with capital placements set to lift utilization over time.  Q4 FY 2026  Sales ($M)  YoY Growth  Total Auryon  $17.8   14.4%  Q4 FY 2026  Sales ($M)  YoY Growth  AlphaVac  $4.2   38.4%  AngioVac  $6.9   -15.8%  Total Mech Thromb.  $11.1   -1.1%  Unifuse  $1.0   -44.4%  Total Thrombus Mgmt.  $12.1   -7.0%  Q4 FY 2026  Sales ($M)  YoY Growth  Disposables  $8.4   47.0%  Capital  $3.4   132.5%  Total NanoKnife  $11.8   64.5%  +16.7% growth driven by solid commercial execution and continued portfolio adoption  Key Highlights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9  Full Year FY 2026 MedTech Performance Snapshot  FY 2026  Sales ($M)  YoY Growth  Total Auryon  $66.9   17.7%  FY 2026  Sales ($M)  YoY Growth  AlphaVac  $15.5  44.1%  AngioVac  $29.5  2.1%  Total Mech Thromb.  $45.0  13.4%  Unifuse  $4.9  (12.5)%  Total Thrombus Mgmt.  $49.9  10.2%  FY 2026  Sales ($M)  YoY Growth  Disposables  $25.4  28.7%  Capital  $7.8  61.8%  Total NanoKnife  $33.1  35.2%  +18.4% growth driven by solid commercial execution and continued portfolio adoption  Key Highlights  Auryon: Capped the year with strong double-digit growth, extending its multi-year track record as our hospital atherectomy strategy scales.  Mechanical Thrombectomy: Grew double digits for the full year, with a standout year from AlphaVac.  NanoKnife: Delivered broad-based growth across both probes and capital as prostate adoption accelerates.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10  Fiscal Year 2027 Guidancesupported by balance sheet strength  *Guidance was issued in conjunction with fiscal Q4 FY 2026 earnings call on July 14, 2026  +12 - 15%  Med Tech  Metric  Current Guidance  Net Sales  $336.0M - $341.0M  Med Tech Net Sales Growth  +12% - 15%  Med Device Net Sales Growth  Flat  Gross Margin  54% – 55%  Adjusted EBITDA  +$13.0M - $16.0M  Adjusted EPS  ($0.29) – ($0.24)  Flat  Med Device  FY 2027 Financial Guidance*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Strong Product &amp; Clinical Pipeline  Leveraging our leading platforms to fuel innovation, market expansion, and long-term shareholder value in key growth markets  Platform  FY26 &amp; Earlier  $7.2B US TAM  FY26 – FY31  $10.9B US TAM  FY27 – FY31  $10.9B US TAM  FY27 – FY31  $10.9B US TAM  Peripheral Artery Disease: $800M US TAM  IVL Indication  DVT: $2.8B US TAM  Coronary: $900M US TAM  Pulmonary Embolism: $2.4B US TAM  Right Heart: $280M US TAM  Infective Endocarditis Indication  Infective Endocarditis Indication: $270M TAM*  DVT: $2.8B US TAM  DVT: 2.8B TAM  Left Heart: $760M US TAM  Prostate Cancer: $930M US TAM  BPH: $1.9B US TAM  11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12  Ongoing Clinical Initiatives to Support Growth  Initiative  Overview  Purpose  AMBITION BTK  A randomized controlled trial of the Auryon Atherectomy System + balloon angioplasty vs. standard angioplasty alone for below-the-knee lesions with critical limb ischemia (up to 224 patients / 30 sites + 1,500-patient registry).  Increased utilization within the below the knee critical limb ischemia (CLI) disease state  RECOVER-AV  A multi-center, multi-national, single-arm study of the AlphaVac F1885 System for mechanical thrombectomy in the treatment of acute, intermediate-risk pulmonary embolism (PE).  Increased European adoption  APEX-Return   An IDE-approved study of the AlphaReturn blood management system, evaluating key safety and effectiveness endpoints, including device-related adverse events and procedural outcomes.  Enables collection, filtration, and reinfusion of aspirated blood during thrombectomy; addresses market feedback on blood loss  PAVE  A prospective, single-arm, multicenter feasibility trial that will enroll up to 30 patients with RSIE at up to six U.S. centers. In August 2023, the AngioVac System received an FDA Breakthrough Device designation for the removal of right heart vegetation.  Indication expansion into right-sided infective endocarditis (RSIE)  RELIEF  A feasibility study evaluating irreversible electroporation (IRE), the non-thermal ablation technology, for the treatment of lower urinary tract symptoms (LUTS) in men with benign prostatic hyperplasia (BPH).  Indication expansion into benign prostatic hyperplasia (BPH)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13  Appendix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14  Reconciliation of GAAP to Non-GAAP Pro Forma Results for the Consolidated Income Statements (in thousand, except per share data)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15  Reconciliation of Net Loss and Diluted Loss Per Share to Non-GAAP Adjusted Net Loss and Diluted Loss Per Share and Pro Forma Adjusted Net Loss and Diluted Loss Per Share (in thousands, except per share data)  Reconciliation of Net Loss and Non-GAAP Pro Forma Adjusted Net Loss to Adjusted EBITDA and Pro Forma Adjusted EBITDA  (in thousands)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16  Reconciliation of Net Loss and Diluted Loss Per Share to Non-GAAP Adjusted Net Loss and Diluted Loss Per Share and Pro Forma Adjusted Net Loss and Diluted Loss Per Share(in thousands, except per share data)  Reconciliation of Net Loss and Non-GAAP Pro Forma Adjusted Net Loss to Adjusted EBITDA and Pro Forma Adjusted EBITDA  (in thousands)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17  Detail of “Acquisition, Restructuring and Other Items, net”  (in thousands)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18  Reconciliation of GAAP to Non-GAAP Pro Forma Results for Sales and Gross Margin by Product Category   (in thousands) </w:t>
      </w:r>
    </w:p>
    <w:p>
      <w:pPr>
        <w:pStyle w:val="TextBody"/>
        <w:bidi w:val="0"/>
        <w:spacing w:before="0" w:after="0"/>
        <w:jc w:val="center"/>
        <w:rPr/>
      </w:pPr>
      <w:r>
        <w:rPr/>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9145</Words>
  <Characters>50301</Characters>
  <CharactersWithSpaces>61167</CharactersWithSpaces>
  <Paragraphs>5082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