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SOTO JOHN</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top w:val="single" w:sz="8" w:color="0000EE"/>
            </w:tcBorders>
          </w:tcPr>
          <w:p>
            <w:pPr>
              <w:spacing w:after="0"/>
              <w:rPr>
                <w:sz w:val="13"/>
                <w:szCs w:val="13"/>
                <w:color w:val="auto"/>
              </w:rPr>
            </w:pPr>
          </w:p>
        </w:tc>
        <w:tc>
          <w:tcPr>
            <w:tcW w:w="178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01/29/2007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ANGIODYNAMICS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2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80" w:type="dxa"/>
            <w:vAlign w:val="bottom"/>
          </w:tcPr>
          <w:p>
            <w:pPr>
              <w:ind w:left="340"/>
              <w:spacing w:after="0"/>
              <w:rPr>
                <w:sz w:val="20"/>
                <w:szCs w:val="20"/>
                <w:color w:val="auto"/>
              </w:rPr>
            </w:pPr>
            <w:r>
              <w:rPr>
                <w:rFonts w:ascii="Arial" w:cs="Arial" w:eastAsia="Arial" w:hAnsi="Arial"/>
                <w:sz w:val="14"/>
                <w:szCs w:val="14"/>
                <w:color w:val="auto"/>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w w:val="97"/>
              </w:rPr>
              <w:t>603 QUEENSBURY AVE.</w:t>
            </w:r>
          </w:p>
        </w:tc>
        <w:tc>
          <w:tcPr>
            <w:tcW w:w="11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0000FF"/>
              </w:rPr>
              <w:t>QUEENSBURY NY</w:t>
            </w:r>
          </w:p>
        </w:tc>
        <w:tc>
          <w:tcPr>
            <w:tcW w:w="1180" w:type="dxa"/>
            <w:vAlign w:val="bottom"/>
          </w:tcPr>
          <w:p>
            <w:pPr>
              <w:jc w:val="right"/>
              <w:ind w:right="486"/>
              <w:spacing w:after="0"/>
              <w:rPr>
                <w:sz w:val="20"/>
                <w:szCs w:val="20"/>
                <w:color w:val="auto"/>
              </w:rPr>
            </w:pPr>
            <w:r>
              <w:rPr>
                <w:rFonts w:ascii="Arial" w:cs="Arial" w:eastAsia="Arial" w:hAnsi="Arial"/>
                <w:sz w:val="18"/>
                <w:szCs w:val="18"/>
                <w:color w:val="0000FF"/>
              </w:rPr>
              <w:t>12804</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280" w:type="dxa"/>
            <w:vAlign w:val="bottom"/>
          </w:tcPr>
          <w:p>
            <w:pPr>
              <w:ind w:left="340"/>
              <w:spacing w:after="0"/>
              <w:rPr>
                <w:sz w:val="20"/>
                <w:szCs w:val="20"/>
                <w:color w:val="auto"/>
              </w:rPr>
            </w:pPr>
            <w:r>
              <w:rPr>
                <w:rFonts w:ascii="Arial" w:cs="Arial" w:eastAsia="Arial" w:hAnsi="Arial"/>
                <w:sz w:val="14"/>
                <w:szCs w:val="14"/>
                <w:color w:val="auto"/>
              </w:rPr>
              <w:t>(State)</w:t>
            </w:r>
          </w:p>
        </w:tc>
        <w:tc>
          <w:tcPr>
            <w:tcW w:w="1180" w:type="dxa"/>
            <w:vAlign w:val="bottom"/>
          </w:tcPr>
          <w:p>
            <w:pPr>
              <w:ind w:left="1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VP - International Sales</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02/08/2007</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Incentive 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01/29/2007</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03/08/2016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2,127</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21.71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318"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Options to acquire .1722 shares of AngioDynamics common stock were received in exchange for options to acquire 1 share of RITA Medical Systems, Inc., in conjunction with AngioDynamics acquisition of RITA Medical on January 29, 2007. Upon exercise, the option holder is also entitled to $.515 per original RITA share, or $2.99 per AngioDynamics share exercised.</w:t>
      </w:r>
    </w:p>
    <w:tbl>
      <w:tblPr>
        <w:tblLayout w:type="fixed"/>
        <w:tblInd w:w="6860" w:type="dxa"/>
        <w:tblCellMar>
          <w:top w:w="0" w:type="dxa"/>
          <w:left w:w="0" w:type="dxa"/>
          <w:bottom w:w="0" w:type="dxa"/>
          <w:right w:w="0" w:type="dxa"/>
        </w:tblCellMar>
      </w:tblPr>
      <w:tr>
        <w:trPr>
          <w:trHeight w:val="199"/>
        </w:trPr>
        <w:tc>
          <w:tcPr>
            <w:tcW w:w="216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8"/>
                <w:szCs w:val="18"/>
                <w:color w:val="0000FF"/>
                <w:w w:val="89"/>
              </w:rPr>
              <w:t>By: Ronald F. Lamy For: John</w:t>
            </w:r>
          </w:p>
        </w:tc>
        <w:tc>
          <w:tcPr>
            <w:tcW w:w="6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02/09/2007</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86"/>
              </w:rPr>
              <w:t>Soto</w:t>
            </w:r>
          </w:p>
        </w:tc>
        <w:tc>
          <w:tcPr>
            <w:tcW w:w="18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Ronald F. Lamy and Michael E. Trimarchi, signing singly, the undersigned's true and lawful attorney-in-fact to:</w:t>
      </w:r>
    </w:p>
    <w:p>
      <w:pPr>
        <w:spacing w:after="0" w:line="207" w:lineRule="exact"/>
        <w:rPr>
          <w:sz w:val="20"/>
          <w:szCs w:val="20"/>
          <w:color w:val="auto"/>
        </w:rPr>
      </w:pPr>
    </w:p>
    <w:p>
      <w:pPr>
        <w:ind w:right="3999" w:firstLine="8"/>
        <w:spacing w:after="0" w:line="268" w:lineRule="auto"/>
        <w:tabs>
          <w:tab w:leader="none" w:pos="73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as an officer and/or director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AngioDynamics, Inc., Forms 3, 4,</w:t>
      </w:r>
    </w:p>
    <w:p>
      <w:pPr>
        <w:spacing w:after="0" w:line="4" w:lineRule="exact"/>
        <w:rPr>
          <w:rFonts w:ascii="Courier New" w:cs="Courier New" w:eastAsia="Courier New" w:hAnsi="Courier New"/>
          <w:sz w:val="16"/>
          <w:szCs w:val="16"/>
          <w:color w:val="auto"/>
        </w:rPr>
      </w:pPr>
    </w:p>
    <w:p>
      <w:pPr>
        <w:ind w:right="43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5 in accordance with Section 16(a) of the Securities Exchange Act of 1934 and the rules thereunder;</w:t>
      </w:r>
    </w:p>
    <w:p>
      <w:pPr>
        <w:spacing w:after="0" w:line="169" w:lineRule="exact"/>
        <w:rPr>
          <w:rFonts w:ascii="Courier New" w:cs="Courier New" w:eastAsia="Courier New" w:hAnsi="Courier New"/>
          <w:sz w:val="16"/>
          <w:szCs w:val="16"/>
          <w:color w:val="auto"/>
        </w:rPr>
      </w:pPr>
    </w:p>
    <w:p>
      <w:pPr>
        <w:ind w:right="3579" w:firstLine="8"/>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479" w:firstLine="8"/>
        <w:spacing w:after="0" w:line="237"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34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8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January 2007.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Soto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058" TargetMode="External"/><Relationship Id="rId12" Type="http://schemas.openxmlformats.org/officeDocument/2006/relationships/hyperlink" Target="http://www.sec.gov/cgi-bin/browse-edgar?action=getcompany&amp;CIK=0001275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2019-12-18T12:58:45Z</dcterms:created>
  <dcterms:modified xsi:type="dcterms:W3CDTF">2019-12-18T12:58:45Z</dcterms:modified>
</cp:coreProperties>
</file>