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632460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598170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62865</wp:posOffset>
            </wp:positionV>
            <wp:extent cx="38233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3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82550</wp:posOffset>
            </wp:positionV>
            <wp:extent cx="3823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27" w:lineRule="exact"/>
        <w:rPr>
          <w:sz w:val="24"/>
          <w:szCs w:val="24"/>
          <w:color w:val="auto"/>
        </w:rPr>
      </w:pPr>
    </w:p>
    <w:p>
      <w:pPr>
        <w:ind w:left="680" w:right="4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August 31, 2025</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77"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-5080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91440</wp:posOffset>
            </wp:positionV>
            <wp:extent cx="3823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AngioDynamics,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4445</wp:posOffset>
            </wp:positionV>
            <wp:extent cx="361759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7595" cy="54864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664845</wp:posOffset>
            </wp:positionV>
            <wp:extent cx="382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1860" w:type="dxa"/>
        <w:tblCellMar>
          <w:top w:w="0" w:type="dxa"/>
          <w:left w:w="0" w:type="dxa"/>
          <w:bottom w:w="0" w:type="dxa"/>
          <w:right w:w="0" w:type="dxa"/>
        </w:tblCellMar>
      </w:tblPr>
      <w:tr>
        <w:trPr>
          <w:trHeight w:val="227"/>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60" w:type="dxa"/>
            <w:vAlign w:val="bottom"/>
          </w:tcPr>
          <w:p>
            <w:pPr>
              <w:jc w:val="center"/>
              <w:ind w:left="2082"/>
              <w:spacing w:after="0"/>
              <w:rPr>
                <w:sz w:val="20"/>
                <w:szCs w:val="20"/>
                <w:color w:val="auto"/>
              </w:rPr>
            </w:pPr>
            <w:r>
              <w:rPr>
                <w:rFonts w:ascii="Times New Roman" w:cs="Times New Roman" w:eastAsia="Times New Roman" w:hAnsi="Times New Roman"/>
                <w:sz w:val="18"/>
                <w:szCs w:val="18"/>
                <w:b w:val="1"/>
                <w:bCs w:val="1"/>
                <w:color w:val="auto"/>
                <w:w w:val="98"/>
              </w:rPr>
              <w:t>11-3146460</w:t>
            </w:r>
          </w:p>
        </w:tc>
      </w:tr>
      <w:tr>
        <w:trPr>
          <w:trHeight w:val="149"/>
        </w:trPr>
        <w:tc>
          <w:tcPr>
            <w:tcW w:w="4000" w:type="dxa"/>
            <w:vAlign w:val="bottom"/>
          </w:tcPr>
          <w:p>
            <w:pPr>
              <w:jc w:val="center"/>
              <w:ind w:right="20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60" w:type="dxa"/>
            <w:vAlign w:val="bottom"/>
          </w:tcPr>
          <w:p>
            <w:pPr>
              <w:jc w:val="center"/>
              <w:ind w:left="20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60" w:type="dxa"/>
            <w:vAlign w:val="bottom"/>
          </w:tcPr>
          <w:p>
            <w:pPr>
              <w:jc w:val="center"/>
              <w:ind w:left="20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3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14 Plaza Drive, Latham, New York 12110</w:t>
      </w:r>
    </w:p>
    <w:p>
      <w:pPr>
        <w:spacing w:after="0" w:line="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(518) 795-1400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7" w:lineRule="exact"/>
        <w:rPr>
          <w:sz w:val="24"/>
          <w:szCs w:val="24"/>
          <w:color w:val="auto"/>
        </w:rPr>
      </w:pPr>
    </w:p>
    <w:tbl>
      <w:tblPr>
        <w:tblLayout w:type="fixed"/>
        <w:tblInd w:w="1040" w:type="dxa"/>
        <w:tblCellMar>
          <w:top w:w="0" w:type="dxa"/>
          <w:left w:w="0" w:type="dxa"/>
          <w:bottom w:w="0" w:type="dxa"/>
          <w:right w:w="0" w:type="dxa"/>
        </w:tblCellMar>
      </w:tblPr>
      <w:tr>
        <w:trPr>
          <w:trHeight w:val="190"/>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4"/>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ANGO</w:t>
            </w: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2520" w:type="dxa"/>
            <w:vAlign w:val="bottom"/>
          </w:tcPr>
          <w:p>
            <w:pPr>
              <w:spacing w:after="0"/>
              <w:rPr>
                <w:sz w:val="20"/>
                <w:szCs w:val="20"/>
                <w:color w:val="auto"/>
              </w:rPr>
            </w:pP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3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5" w:lineRule="exact"/>
        <w:rPr>
          <w:sz w:val="20"/>
          <w:szCs w:val="20"/>
          <w:color w:val="auto"/>
        </w:rPr>
      </w:pPr>
    </w:p>
    <w:p>
      <w:pPr>
        <w:sectPr>
          <w:pgSz w:w="11900" w:h="16838" w:orient="portrait"/>
          <w:cols w:equalWidth="0" w:num="4">
            <w:col w:w="8900" w:space="180"/>
            <w:col w:w="260" w:space="80"/>
            <w:col w:w="160" w:space="180"/>
            <w:col w:w="1480"/>
          </w:cols>
          <w:pgMar w:left="320" w:top="118" w:right="339" w:bottom="1440" w:gutter="0" w:footer="0" w:header="0"/>
          <w:type w:val="continuous"/>
        </w:sectPr>
      </w:pPr>
    </w:p>
    <w:p>
      <w:pPr>
        <w:spacing w:after="0" w:line="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7" w:lineRule="exact"/>
        <w:rPr>
          <w:sz w:val="20"/>
          <w:szCs w:val="20"/>
          <w:color w:val="auto"/>
        </w:rPr>
      </w:pPr>
    </w:p>
    <w:p>
      <w:pPr>
        <w:sectPr>
          <w:pgSz w:w="11900" w:h="16838" w:orient="portrait"/>
          <w:cols w:equalWidth="0" w:num="5">
            <w:col w:w="8480" w:space="180"/>
            <w:col w:w="260" w:space="80"/>
            <w:col w:w="160" w:space="180"/>
            <w:col w:w="220" w:space="100"/>
            <w:col w:w="1580"/>
          </w:cols>
          <w:pgMar w:left="320" w:top="118" w:right="3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0"/>
          <w:szCs w:val="20"/>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10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8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2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62"/>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21" w:lineRule="exact"/>
        <w:rPr>
          <w:sz w:val="20"/>
          <w:szCs w:val="20"/>
          <w:color w:val="auto"/>
        </w:rPr>
      </w:pPr>
    </w:p>
    <w:p>
      <w:pPr>
        <w:ind w:left="460"/>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780" w:type="dxa"/>
            <w:vAlign w:val="bottom"/>
          </w:tcPr>
          <w:p>
            <w:pPr>
              <w:spacing w:after="0"/>
              <w:rPr>
                <w:sz w:val="13"/>
                <w:szCs w:val="13"/>
                <w:color w:val="auto"/>
              </w:rPr>
            </w:pPr>
          </w:p>
        </w:tc>
        <w:tc>
          <w:tcPr>
            <w:tcW w:w="5520" w:type="dxa"/>
            <w:vAlign w:val="bottom"/>
            <w:gridSpan w:val="4"/>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Outstanding as of October 1, 2025</w:t>
            </w: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7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3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41,199,844</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18"/>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23"/>
        </w:trPr>
        <w:tc>
          <w:tcPr>
            <w:tcW w:w="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3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6360" w:type="dxa"/>
            <w:vAlign w:val="bottom"/>
            <w:gridSpan w:val="11"/>
            <w:vMerge w:val="restart"/>
          </w:tcPr>
          <w:p>
            <w:pPr>
              <w:jc w:val="center"/>
              <w:ind w:right="298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360" w:type="dxa"/>
            <w:vAlign w:val="bottom"/>
            <w:gridSpan w:val="11"/>
            <w:vMerge w:val="continue"/>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Financial Statements</w:t>
            </w:r>
          </w:p>
        </w:tc>
        <w:tc>
          <w:tcPr>
            <w:tcW w:w="1900" w:type="dxa"/>
            <w:vAlign w:val="bottom"/>
            <w:gridSpan w:val="5"/>
          </w:tcPr>
          <w:p>
            <w:pPr>
              <w:spacing w:after="0"/>
              <w:rPr>
                <w:sz w:val="22"/>
                <w:szCs w:val="22"/>
                <w:color w:val="auto"/>
              </w:rPr>
            </w:pPr>
          </w:p>
        </w:tc>
        <w:tc>
          <w:tcPr>
            <w:tcW w:w="2260" w:type="dxa"/>
            <w:vAlign w:val="bottom"/>
            <w:tcBorders>
              <w:top w:val="single" w:sz="8" w:color="0000FF"/>
            </w:tcBorders>
            <w:gridSpan w:val="8"/>
          </w:tcPr>
          <w:p>
            <w:pPr>
              <w:spacing w:after="0"/>
              <w:rPr>
                <w:sz w:val="22"/>
                <w:szCs w:val="22"/>
                <w:color w:val="auto"/>
              </w:rPr>
            </w:pPr>
          </w:p>
        </w:tc>
        <w:tc>
          <w:tcPr>
            <w:tcW w:w="3540" w:type="dxa"/>
            <w:vAlign w:val="bottom"/>
            <w:gridSpan w:val="2"/>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3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Operations (unaudited)</w:t>
            </w:r>
          </w:p>
        </w:tc>
        <w:tc>
          <w:tcPr>
            <w:tcW w:w="5580" w:type="dxa"/>
            <w:vAlign w:val="bottom"/>
            <w:gridSpan w:val="8"/>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4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(unaudited)</w:t>
            </w:r>
          </w:p>
        </w:tc>
        <w:tc>
          <w:tcPr>
            <w:tcW w:w="4900" w:type="dxa"/>
            <w:vAlign w:val="bottom"/>
            <w:gridSpan w:val="6"/>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Balance Sheets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2"/>
                <w:szCs w:val="22"/>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Cash Flows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44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4900" w:type="dxa"/>
            <w:vAlign w:val="bottom"/>
            <w:gridSpan w:val="6"/>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8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w w:val="99"/>
              </w:rPr>
              <w:t>Management’s Discussion and Analysis of Financial Condition and Results of Operations</w:t>
            </w:r>
          </w:p>
        </w:tc>
        <w:tc>
          <w:tcPr>
            <w:tcW w:w="24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8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24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6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4660" w:type="dxa"/>
            <w:vAlign w:val="bottom"/>
            <w:gridSpan w:val="4"/>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0" w:type="dxa"/>
            <w:vAlign w:val="bottom"/>
            <w:gridSpan w:val="10"/>
          </w:tcPr>
          <w:p>
            <w:pPr>
              <w:jc w:val="center"/>
              <w:ind w:right="3540"/>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6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2060" w:type="dxa"/>
            <w:vAlign w:val="bottom"/>
            <w:tcBorders>
              <w:top w:val="single" w:sz="8" w:color="0000FF"/>
            </w:tcBorders>
            <w:gridSpan w:val="6"/>
          </w:tcPr>
          <w:p>
            <w:pPr>
              <w:spacing w:after="0"/>
              <w:rPr>
                <w:sz w:val="22"/>
                <w:szCs w:val="22"/>
                <w:color w:val="auto"/>
              </w:rPr>
            </w:pPr>
          </w:p>
        </w:tc>
        <w:tc>
          <w:tcPr>
            <w:tcW w:w="3640" w:type="dxa"/>
            <w:vAlign w:val="bottom"/>
            <w:gridSpan w:val="3"/>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w:t>
            </w:r>
          </w:p>
        </w:tc>
        <w:tc>
          <w:tcPr>
            <w:tcW w:w="420" w:type="dxa"/>
            <w:vAlign w:val="bottom"/>
          </w:tcPr>
          <w:p>
            <w:pPr>
              <w:spacing w:after="0"/>
              <w:rPr>
                <w:sz w:val="22"/>
                <w:szCs w:val="22"/>
                <w:color w:val="auto"/>
              </w:rPr>
            </w:pPr>
          </w:p>
        </w:tc>
        <w:tc>
          <w:tcPr>
            <w:tcW w:w="7920" w:type="dxa"/>
            <w:vAlign w:val="bottom"/>
            <w:gridSpan w:val="17"/>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w w:val="99"/>
              </w:rPr>
              <w:t>Unregistered Sales of Equity Securities and Use of Proceeds</w:t>
            </w:r>
          </w:p>
        </w:tc>
        <w:tc>
          <w:tcPr>
            <w:tcW w:w="4740" w:type="dxa"/>
            <w:vAlign w:val="bottom"/>
            <w:gridSpan w:val="5"/>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2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Defaults on Senior Securities</w:t>
            </w:r>
          </w:p>
        </w:tc>
        <w:tc>
          <w:tcPr>
            <w:tcW w:w="2360" w:type="dxa"/>
            <w:vAlign w:val="bottom"/>
            <w:gridSpan w:val="7"/>
          </w:tcPr>
          <w:p>
            <w:pPr>
              <w:spacing w:after="0"/>
              <w:rPr>
                <w:sz w:val="22"/>
                <w:szCs w:val="22"/>
                <w:color w:val="auto"/>
              </w:rPr>
            </w:pPr>
          </w:p>
        </w:tc>
        <w:tc>
          <w:tcPr>
            <w:tcW w:w="4740" w:type="dxa"/>
            <w:vAlign w:val="bottom"/>
            <w:gridSpan w:val="5"/>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10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2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7100" w:type="dxa"/>
            <w:vAlign w:val="bottom"/>
            <w:gridSpan w:val="12"/>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480" w:type="dxa"/>
            <w:vAlign w:val="bottom"/>
            <w:gridSpan w:val="1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8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480" w:type="dxa"/>
            <w:vAlign w:val="bottom"/>
            <w:gridSpan w:val="14"/>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7880" w:type="dxa"/>
            <w:vAlign w:val="bottom"/>
            <w:gridSpan w:val="1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7880" w:type="dxa"/>
            <w:vAlign w:val="bottom"/>
            <w:gridSpan w:val="16"/>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data)</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Aug 31, 2025</w:t>
            </w:r>
          </w:p>
        </w:tc>
        <w:tc>
          <w:tcPr>
            <w:tcW w:w="200" w:type="dxa"/>
            <w:vAlign w:val="bottom"/>
          </w:tcPr>
          <w:p>
            <w:pPr>
              <w:spacing w:after="0"/>
              <w:rPr>
                <w:sz w:val="16"/>
                <w:szCs w:val="16"/>
                <w:color w:val="auto"/>
              </w:rPr>
            </w:pPr>
          </w:p>
        </w:tc>
        <w:tc>
          <w:tcPr>
            <w:tcW w:w="120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Aug 31, 2024</w:t>
            </w:r>
          </w:p>
        </w:tc>
        <w:tc>
          <w:tcPr>
            <w:tcW w:w="0" w:type="dxa"/>
            <w:vAlign w:val="bottom"/>
          </w:tcPr>
          <w:p>
            <w:pPr>
              <w:spacing w:after="0"/>
              <w:rPr>
                <w:sz w:val="1"/>
                <w:szCs w:val="1"/>
                <w:color w:val="auto"/>
              </w:rPr>
            </w:pPr>
          </w:p>
        </w:tc>
      </w:tr>
      <w:tr>
        <w:trPr>
          <w:trHeight w:val="229"/>
        </w:trPr>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67,491</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 (exclusive of intangible amortization)</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30,767</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36,724</w:t>
            </w:r>
          </w:p>
        </w:tc>
        <w:tc>
          <w:tcPr>
            <w:tcW w:w="0" w:type="dxa"/>
            <w:vAlign w:val="bottom"/>
          </w:tcPr>
          <w:p>
            <w:pPr>
              <w:spacing w:after="0"/>
              <w:rPr>
                <w:sz w:val="1"/>
                <w:szCs w:val="1"/>
                <w:color w:val="auto"/>
              </w:rPr>
            </w:pPr>
          </w:p>
        </w:tc>
      </w:tr>
      <w:tr>
        <w:trPr>
          <w:trHeight w:val="21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25,605</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49,822</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 benefit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1"/>
        </w:trPr>
        <w:tc>
          <w:tcPr>
            <w:tcW w:w="8320" w:type="dxa"/>
            <w:vAlign w:val="bottom"/>
            <w:tcBorders>
              <w:bottom w:val="single" w:sz="8" w:color="CCEEFF"/>
            </w:tcBorders>
            <w:shd w:val="clear" w:color="auto" w:fill="CCEEFF"/>
          </w:tcPr>
          <w:p>
            <w:pPr>
              <w:ind w:left="68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(10,903)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(12,798)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2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40,653</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23"/>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9"/>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Aug 31, 2025</w:t>
            </w:r>
          </w:p>
        </w:tc>
        <w:tc>
          <w:tcPr>
            <w:tcW w:w="200" w:type="dxa"/>
            <w:vAlign w:val="bottom"/>
          </w:tcPr>
          <w:p>
            <w:pPr>
              <w:spacing w:after="0"/>
              <w:rPr>
                <w:sz w:val="16"/>
                <w:szCs w:val="16"/>
                <w:color w:val="auto"/>
              </w:rPr>
            </w:pPr>
          </w:p>
        </w:tc>
        <w:tc>
          <w:tcPr>
            <w:tcW w:w="1200" w:type="dxa"/>
            <w:vAlign w:val="bottom"/>
          </w:tcPr>
          <w:p>
            <w:pPr>
              <w:jc w:val="right"/>
              <w:ind w:right="213"/>
              <w:spacing w:after="0"/>
              <w:rPr>
                <w:sz w:val="20"/>
                <w:szCs w:val="20"/>
                <w:color w:val="auto"/>
              </w:rPr>
            </w:pPr>
            <w:r>
              <w:rPr>
                <w:rFonts w:ascii="Times New Roman" w:cs="Times New Roman" w:eastAsia="Times New Roman" w:hAnsi="Times New Roman"/>
                <w:sz w:val="14"/>
                <w:szCs w:val="14"/>
                <w:color w:val="auto"/>
              </w:rPr>
              <w:t>Aug 31, 2024</w:t>
            </w:r>
          </w:p>
        </w:tc>
      </w:tr>
      <w:tr>
        <w:trPr>
          <w:trHeight w:val="230"/>
        </w:trPr>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(12,798)</w:t>
            </w: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23"/>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 expense related to items of other comprehensive loss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2025</w:t>
            </w:r>
          </w:p>
        </w:tc>
        <w:tc>
          <w:tcPr>
            <w:tcW w:w="200" w:type="dxa"/>
            <w:vAlign w:val="bottom"/>
          </w:tcPr>
          <w:p>
            <w:pPr>
              <w:spacing w:after="0"/>
              <w:rPr>
                <w:sz w:val="16"/>
                <w:szCs w:val="16"/>
                <w:color w:val="auto"/>
              </w:rPr>
            </w:pPr>
          </w:p>
        </w:tc>
        <w:tc>
          <w:tcPr>
            <w:tcW w:w="124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May 31, 2025</w:t>
            </w:r>
          </w:p>
        </w:tc>
        <w:tc>
          <w:tcPr>
            <w:tcW w:w="0" w:type="dxa"/>
            <w:vAlign w:val="bottom"/>
          </w:tcPr>
          <w:p>
            <w:pPr>
              <w:spacing w:after="0"/>
              <w:rPr>
                <w:sz w:val="1"/>
                <w:szCs w:val="1"/>
                <w:color w:val="auto"/>
              </w:rPr>
            </w:pPr>
          </w:p>
        </w:tc>
      </w:tr>
      <w:tr>
        <w:trPr>
          <w:trHeight w:val="23"/>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55,893</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$2,155 and $2,215 respectively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62,006</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168,324</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280,144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76,197</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97,174</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 no shares issued and outstanding</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75,000,000 shares authorized; 42,060,629 and 41,607,877 shares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issued and 41,446,782 and 40,994,030 shares outstanding at August 31, 2025 and May 31, 2025,</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621,186</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(429,197)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613,847 and 613,847 shares at August 31, 2025 and May 31, 2025, respectively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178,855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182,970</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265,642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280,144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ind w:left="600"/>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23"/>
        </w:trPr>
        <w:tc>
          <w:tcPr>
            <w:tcW w:w="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r>
      <w:tr>
        <w:trPr>
          <w:trHeight w:val="189"/>
        </w:trPr>
        <w:tc>
          <w:tcPr>
            <w:tcW w:w="6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Aug 31, 2025</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Aug 31, 2024</w:t>
            </w:r>
          </w:p>
        </w:tc>
        <w:tc>
          <w:tcPr>
            <w:tcW w:w="60" w:type="dxa"/>
            <w:vAlign w:val="bottom"/>
          </w:tcPr>
          <w:p>
            <w:pPr>
              <w:spacing w:after="0"/>
              <w:rPr>
                <w:sz w:val="16"/>
                <w:szCs w:val="16"/>
                <w:color w:val="auto"/>
              </w:rPr>
            </w:pPr>
          </w:p>
        </w:tc>
      </w:tr>
      <w:tr>
        <w:trPr>
          <w:trHeight w:val="216"/>
        </w:trPr>
        <w:tc>
          <w:tcPr>
            <w:tcW w:w="6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Non-cash lease expense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 in accounts receivable allowances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Fixed and intangible asset impairments and disposals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(18,253)</w:t>
            </w:r>
          </w:p>
        </w:tc>
        <w:tc>
          <w:tcPr>
            <w:tcW w:w="60" w:type="dxa"/>
            <w:vAlign w:val="bottom"/>
          </w:tcPr>
          <w:p>
            <w:pPr>
              <w:spacing w:after="0"/>
              <w:rPr>
                <w:sz w:val="19"/>
                <w:szCs w:val="19"/>
                <w:color w:val="auto"/>
              </w:rPr>
            </w:pPr>
          </w:p>
        </w:tc>
      </w:tr>
      <w:tr>
        <w:trPr>
          <w:trHeight w:val="209"/>
        </w:trPr>
        <w:tc>
          <w:tcPr>
            <w:tcW w:w="60" w:type="dxa"/>
            <w:vAlign w:val="bottom"/>
          </w:tcPr>
          <w:p>
            <w:pPr>
              <w:spacing w:after="0"/>
              <w:rPr>
                <w:sz w:val="18"/>
                <w:szCs w:val="18"/>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Additions to placement and evaluation units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6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payments on financing arrangement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(21,051)</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76,056</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55,005</w:t>
            </w:r>
          </w:p>
        </w:tc>
        <w:tc>
          <w:tcPr>
            <w:tcW w:w="6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8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Accrual for capital expenditures incurred during the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0"/>
                <w:szCs w:val="20"/>
                <w:color w:val="auto"/>
              </w:rPr>
            </w:pPr>
          </w:p>
        </w:tc>
      </w:tr>
      <w:tr>
        <w:trPr>
          <w:trHeight w:val="306"/>
        </w:trPr>
        <w:tc>
          <w:tcPr>
            <w:tcW w:w="60" w:type="dxa"/>
            <w:vAlign w:val="bottom"/>
          </w:tcPr>
          <w:p>
            <w:pPr>
              <w:spacing w:after="0"/>
              <w:rPr>
                <w:sz w:val="24"/>
                <w:szCs w:val="24"/>
                <w:color w:val="auto"/>
              </w:rPr>
            </w:pPr>
          </w:p>
        </w:tc>
        <w:tc>
          <w:tcPr>
            <w:tcW w:w="9820" w:type="dxa"/>
            <w:vAlign w:val="bottom"/>
            <w:gridSpan w:val="4"/>
          </w:tcPr>
          <w:p>
            <w:pPr>
              <w:jc w:val="center"/>
              <w:ind w:left="121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7"/>
        </w:trPr>
        <w:tc>
          <w:tcPr>
            <w:tcW w:w="8380" w:type="dxa"/>
            <w:vAlign w:val="bottom"/>
            <w:gridSpan w:val="2"/>
          </w:tcPr>
          <w:p>
            <w:pPr>
              <w:jc w:val="right"/>
              <w:ind w:right="263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8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520" w:type="dxa"/>
            <w:vAlign w:val="bottom"/>
            <w:gridSpan w:val="3"/>
          </w:tcPr>
          <w:p>
            <w:pPr>
              <w:jc w:val="right"/>
              <w:ind w:right="22"/>
              <w:spacing w:after="0"/>
              <w:rPr>
                <w:sz w:val="20"/>
                <w:szCs w:val="20"/>
                <w:color w:val="auto"/>
              </w:rPr>
            </w:pPr>
            <w:r>
              <w:rPr>
                <w:rFonts w:ascii="Times New Roman" w:cs="Times New Roman" w:eastAsia="Times New Roman" w:hAnsi="Times New Roman"/>
                <w:sz w:val="14"/>
                <w:szCs w:val="14"/>
                <w:color w:val="auto"/>
              </w:rPr>
              <w:t>Common Stock</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98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Treasury Stock</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72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5"/>
                <w:szCs w:val="5"/>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39" w:lineRule="exact"/>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720" w:type="dxa"/>
            <w:vAlign w:val="bottom"/>
          </w:tcPr>
          <w:p>
            <w:pPr>
              <w:spacing w:after="0"/>
              <w:rPr>
                <w:sz w:val="12"/>
                <w:szCs w:val="12"/>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8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paid in</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2"/>
                <w:szCs w:val="12"/>
                <w:color w:val="auto"/>
              </w:rPr>
            </w:pPr>
          </w:p>
        </w:tc>
        <w:tc>
          <w:tcPr>
            <w:tcW w:w="7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income (loss)</w:t>
            </w: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31, 2025</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41,607,877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621,186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(613,847)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182,970</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(10,903)</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362,859</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0" w:type="dxa"/>
            <w:vAlign w:val="bottom"/>
          </w:tcPr>
          <w:p>
            <w:pPr>
              <w:spacing w:after="0"/>
              <w:rPr>
                <w:sz w:val="1"/>
                <w:szCs w:val="1"/>
                <w:color w:val="auto"/>
              </w:rPr>
            </w:pPr>
          </w:p>
        </w:tc>
      </w:tr>
      <w:tr>
        <w:trPr>
          <w:trHeight w:val="234"/>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August 31, 2025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42,060,629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625,889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(613,847)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178,855</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0"/>
        </w:trPr>
        <w:tc>
          <w:tcPr>
            <w:tcW w:w="2720" w:type="dxa"/>
            <w:vAlign w:val="bottom"/>
          </w:tcPr>
          <w:p>
            <w:pPr>
              <w:spacing w:after="0"/>
              <w:rPr>
                <w:sz w:val="24"/>
                <w:szCs w:val="24"/>
                <w:color w:val="auto"/>
              </w:rPr>
            </w:pPr>
          </w:p>
        </w:tc>
        <w:tc>
          <w:tcPr>
            <w:tcW w:w="1520" w:type="dxa"/>
            <w:vAlign w:val="bottom"/>
            <w:gridSpan w:val="3"/>
          </w:tcPr>
          <w:p>
            <w:pPr>
              <w:jc w:val="right"/>
              <w:ind w:right="22"/>
              <w:spacing w:after="0"/>
              <w:rPr>
                <w:sz w:val="20"/>
                <w:szCs w:val="20"/>
                <w:color w:val="auto"/>
              </w:rPr>
            </w:pPr>
            <w:r>
              <w:rPr>
                <w:rFonts w:ascii="Times New Roman" w:cs="Times New Roman" w:eastAsia="Times New Roman" w:hAnsi="Times New Roman"/>
                <w:sz w:val="14"/>
                <w:szCs w:val="14"/>
                <w:color w:val="auto"/>
              </w:rPr>
              <w:t>Common Stock</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98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Treasury Stock</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72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5"/>
                <w:szCs w:val="5"/>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8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paid in</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2"/>
                <w:szCs w:val="12"/>
                <w:color w:val="auto"/>
              </w:rPr>
            </w:pPr>
          </w:p>
        </w:tc>
        <w:tc>
          <w:tcPr>
            <w:tcW w:w="7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w:t>
            </w: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31,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40,801,597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610,484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205,586</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(12,798)</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432,144</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Issuance/Cancellation of performance</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60,731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0" w:type="dxa"/>
            <w:vAlign w:val="bottom"/>
          </w:tcPr>
          <w:p>
            <w:pPr>
              <w:spacing w:after="0"/>
              <w:rPr>
                <w:sz w:val="1"/>
                <w:szCs w:val="1"/>
                <w:color w:val="auto"/>
              </w:rPr>
            </w:pPr>
          </w:p>
        </w:tc>
      </w:tr>
      <w:tr>
        <w:trPr>
          <w:trHeight w:val="235"/>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August 31,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41,446,390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613,730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(408,002)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(442,141)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196,582</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53"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Consolidated Statements of Operations and the Consolidated Statements of Comprehensive Loss for the three months ended August 31, 2025 and 2024, the Consolidated Balance Sheet as of August 31, 2025, the Consolidated Statements of Cash Flows for the three months ended August 31, 2025 and 2024, and the Consolidated Statements of Stockholders’ Equity for the three months ended August 31, 2025 and 2024 have been prepared by the Company and are unaudited. The Consolidated Balance Sheet as of May 31, 2025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August 31, 2025 (and for all periods presented) have been made.</w:t>
      </w:r>
    </w:p>
    <w:p>
      <w:pPr>
        <w:spacing w:after="0" w:line="135"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The unaudited interim consolidated financial statements for the three months ended August 31, 2025 and 2024 include the accounts of AngioDynamics, Inc. and its wholly owned subsidiaries (collectively, the "Company", "we", "our" or "us"). All intercompany balances and transactions have been eliminated.</w:t>
      </w:r>
    </w:p>
    <w:p>
      <w:pPr>
        <w:spacing w:after="0" w:line="172" w:lineRule="exact"/>
        <w:rPr>
          <w:sz w:val="20"/>
          <w:szCs w:val="20"/>
          <w:color w:val="auto"/>
        </w:rPr>
      </w:pPr>
    </w:p>
    <w:p>
      <w:pPr>
        <w:ind w:right="6660" w:firstLine="8"/>
        <w:spacing w:after="0" w:line="439"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Revenue Recognition</w:t>
      </w:r>
    </w:p>
    <w:p>
      <w:pPr>
        <w:spacing w:after="0" w:line="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a customer obtains control of promised goods or services, in an amount that reflects the consideration which the Company expects to receive in exchange for those goods or services. To determine revenue recognition for arrangements,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one primary revenue stream which is the sales of its products.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net sales by Med Tech, Med Device and by geography: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4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color w:val="auto"/>
              </w:rPr>
              <w:t>Three Months Ended August 31, 2025</w:t>
            </w:r>
          </w:p>
        </w:tc>
        <w:tc>
          <w:tcPr>
            <w:tcW w:w="140" w:type="dxa"/>
            <w:vAlign w:val="bottom"/>
          </w:tcPr>
          <w:p>
            <w:pPr>
              <w:spacing w:after="0"/>
              <w:rPr>
                <w:sz w:val="16"/>
                <w:szCs w:val="16"/>
                <w:color w:val="auto"/>
              </w:rPr>
            </w:pPr>
          </w:p>
        </w:tc>
        <w:tc>
          <w:tcPr>
            <w:tcW w:w="3340" w:type="dxa"/>
            <w:vAlign w:val="bottom"/>
            <w:gridSpan w:val="7"/>
          </w:tcPr>
          <w:p>
            <w:pPr>
              <w:jc w:val="center"/>
              <w:ind w:right="55"/>
              <w:spacing w:after="0"/>
              <w:rPr>
                <w:sz w:val="20"/>
                <w:szCs w:val="20"/>
                <w:color w:val="auto"/>
              </w:rPr>
            </w:pPr>
            <w:r>
              <w:rPr>
                <w:rFonts w:ascii="Times New Roman" w:cs="Times New Roman" w:eastAsia="Times New Roman" w:hAnsi="Times New Roman"/>
                <w:sz w:val="14"/>
                <w:szCs w:val="14"/>
                <w:color w:val="auto"/>
              </w:rPr>
              <w:t>Three Months Ended August 31, 2024</w:t>
            </w:r>
          </w:p>
        </w:tc>
        <w:tc>
          <w:tcPr>
            <w:tcW w:w="0" w:type="dxa"/>
            <w:vAlign w:val="bottom"/>
          </w:tcPr>
          <w:p>
            <w:pPr>
              <w:spacing w:after="0"/>
              <w:rPr>
                <w:sz w:val="1"/>
                <w:szCs w:val="1"/>
                <w:color w:val="auto"/>
              </w:rPr>
            </w:pPr>
          </w:p>
        </w:tc>
      </w:tr>
      <w:tr>
        <w:trPr>
          <w:trHeight w:val="23"/>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8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6"/>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Med Tech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27,969</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Device</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39,522</w:t>
            </w:r>
          </w:p>
        </w:tc>
        <w:tc>
          <w:tcPr>
            <w:tcW w:w="0" w:type="dxa"/>
            <w:vAlign w:val="bottom"/>
          </w:tcPr>
          <w:p>
            <w:pPr>
              <w:spacing w:after="0"/>
              <w:rPr>
                <w:sz w:val="1"/>
                <w:szCs w:val="1"/>
                <w:color w:val="auto"/>
              </w:rPr>
            </w:pPr>
          </w:p>
        </w:tc>
      </w:tr>
      <w:tr>
        <w:trPr>
          <w:trHeight w:val="223"/>
        </w:trPr>
        <w:tc>
          <w:tcPr>
            <w:tcW w:w="4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66,456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75,711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Product Revenue</w:t>
      </w:r>
    </w:p>
    <w:p>
      <w:pPr>
        <w:spacing w:after="0" w:line="1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Company's products consist of medical technology products focused on restoring healthy blood flow in the body's vascular system, expanding cancer treatment options and improving quality of life for patients. The Company's products are generally used in minimally invasive, image-guided procedures. Most of the Company's products are intended to be used once and then discarded, or they may be implanted for short or long term use. The Company sells its products to its distributors and to end users, such as interventional radiologists, interventional cardiologists, vascular surgeons, urologists, interventional and surgical oncologists and critical care nurses.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and Performance Obligations</w:t>
      </w:r>
    </w:p>
    <w:p>
      <w:pPr>
        <w:spacing w:after="0" w:line="173"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and Allocation to Performance Obligations</w:t>
      </w:r>
    </w:p>
    <w:p>
      <w:pPr>
        <w:spacing w:after="0" w:line="173"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spacing w:after="0" w:line="108"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shipping terms of a contract.</w:t>
      </w:r>
    </w:p>
    <w:p>
      <w:pPr>
        <w:spacing w:after="0" w:line="122"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08"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94" w:lineRule="exact"/>
        <w:rPr>
          <w:sz w:val="20"/>
          <w:szCs w:val="20"/>
          <w:color w:val="auto"/>
        </w:rPr>
      </w:pPr>
    </w:p>
    <w:p>
      <w:pPr>
        <w:ind w:right="140" w:firstLine="405"/>
        <w:spacing w:after="0" w:line="242" w:lineRule="auto"/>
        <w:rPr>
          <w:sz w:val="20"/>
          <w:szCs w:val="20"/>
          <w:color w:val="auto"/>
        </w:rPr>
      </w:pPr>
      <w:r>
        <w:rPr>
          <w:rFonts w:ascii="Times New Roman" w:cs="Times New Roman" w:eastAsia="Times New Roman" w:hAnsi="Times New Roman"/>
          <w:sz w:val="18"/>
          <w:szCs w:val="18"/>
          <w:color w:val="auto"/>
        </w:rPr>
        <w:t>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disposable revenue and lease revenue due to the insignificant value of the units in relation to the total agreement value.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value add, and other taxes collected on behalf of third parties are excluded from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73"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Reserves: Revenue from product sales are recorded at the net sales price (transaction price), which includes estimates of variable consideration for which reserves are established for discounts, product returns, rebates and allowances that are offered within contracts between the Company and its customers.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Discounts and product returns are based on amounts earned or to be claimed on the related sales and are classified as a contra asset. During the three months ended August 31, 2025 and 2024, such product returns were not material.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liabilities"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with Customers</w:t>
      </w:r>
    </w:p>
    <w:p>
      <w:pPr>
        <w:spacing w:after="0" w:line="1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"Accrued liabilities"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changes in the Company’s receivables, contract assets and contract liabilities with customers: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2025</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May 31, 2025</w:t>
            </w:r>
          </w:p>
        </w:tc>
      </w:tr>
      <w:tr>
        <w:trPr>
          <w:trHeight w:val="23"/>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bl>
    <w:p>
      <w:pPr>
        <w:spacing w:after="0" w:line="23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August 31, 2025, the Company had additions to contract liabilities of $0.1 million. This was offset by $0.1 million in revenue that was recognized during the three months ended August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to Obtain or Fulfill a Customer Contract</w:t>
      </w:r>
    </w:p>
    <w:p>
      <w:pPr>
        <w:spacing w:after="0" w:line="175"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Under ASC 606, the Company may recognize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26" w:lineRule="exact"/>
        <w:rPr>
          <w:sz w:val="20"/>
          <w:szCs w:val="20"/>
          <w:color w:val="auto"/>
        </w:rPr>
      </w:pPr>
    </w:p>
    <w:p>
      <w:pPr>
        <w:ind w:right="20" w:firstLine="405"/>
        <w:spacing w:after="0" w:line="289" w:lineRule="auto"/>
        <w:rPr>
          <w:sz w:val="20"/>
          <w:szCs w:val="20"/>
          <w:color w:val="auto"/>
        </w:rPr>
      </w:pPr>
      <w:r>
        <w:rPr>
          <w:rFonts w:ascii="Times New Roman" w:cs="Times New Roman" w:eastAsia="Times New Roman" w:hAnsi="Times New Roman"/>
          <w:sz w:val="17"/>
          <w:szCs w:val="17"/>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and handling are recorded in net sales.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are stated at lower of cost and net realizable value (using the first-in, first-out method). Inventories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2025</w:t>
            </w:r>
          </w:p>
        </w:tc>
        <w:tc>
          <w:tcPr>
            <w:tcW w:w="220" w:type="dxa"/>
            <w:vAlign w:val="bottom"/>
          </w:tcPr>
          <w:p>
            <w:pPr>
              <w:spacing w:after="0"/>
              <w:rPr>
                <w:sz w:val="16"/>
                <w:szCs w:val="16"/>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2025</w:t>
            </w:r>
          </w:p>
        </w:tc>
      </w:tr>
      <w:tr>
        <w:trPr>
          <w:trHeight w:val="23"/>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27,497</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r>
      <w:tr>
        <w:trPr>
          <w:trHeight w:val="22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62,255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62,006</w:t>
            </w: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inventory for both obsolescence and loss of value. The Company makes assumptions about the future demand for and market value of the inventory. Based on these assumptions, the Company estimates the amount of obsolete, expiring and slow-moving inventory. The total inventory reserve at August 31, 2025 and May 31, 2025 was $4.6 million and $4.4 million, respectively.</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 Lived Intangible Assets</w:t>
      </w:r>
    </w:p>
    <w:p>
      <w:pPr>
        <w:spacing w:after="0" w:line="17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Intangible assets are amortized over their estimated useful lives on a straight-line basis. Useful lives range from two to eighteen years. The Company periodically reviews, and adjusts, if necessary,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Aug 31, 2025</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color w:val="auto"/>
              </w:rPr>
              <w:t>Net carrying value</w:t>
            </w:r>
          </w:p>
        </w:tc>
        <w:tc>
          <w:tcPr>
            <w:tcW w:w="0" w:type="dxa"/>
            <w:vAlign w:val="bottom"/>
          </w:tcPr>
          <w:p>
            <w:pPr>
              <w:spacing w:after="0"/>
              <w:rPr>
                <w:sz w:val="1"/>
                <w:szCs w:val="1"/>
                <w:color w:val="auto"/>
              </w:rPr>
            </w:pPr>
          </w:p>
        </w:tc>
      </w:tr>
      <w:tr>
        <w:trPr>
          <w:trHeight w:val="193"/>
        </w:trPr>
        <w:tc>
          <w:tcPr>
            <w:tcW w:w="6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65,411</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May 31, 2025</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color w:val="auto"/>
              </w:rPr>
              <w:t>Net carrying value</w:t>
            </w:r>
          </w:p>
        </w:tc>
        <w:tc>
          <w:tcPr>
            <w:tcW w:w="0" w:type="dxa"/>
            <w:vAlign w:val="bottom"/>
          </w:tcPr>
          <w:p>
            <w:pPr>
              <w:spacing w:after="0"/>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178,673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66,016</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Amortization expense for the three months ended August 31, 2025 and 2024 was $2.7 million and $2.6 million, respectively.</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Expected future amortization expense related to the intangible assets for each of the following fiscal years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19,223</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ACCRUED LIABILITIES</w:t>
            </w: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2025</w:t>
            </w:r>
          </w:p>
        </w:tc>
        <w:tc>
          <w:tcPr>
            <w:tcW w:w="220" w:type="dxa"/>
            <w:vAlign w:val="bottom"/>
          </w:tcPr>
          <w:p>
            <w:pPr>
              <w:spacing w:after="0"/>
              <w:rPr>
                <w:sz w:val="17"/>
                <w:szCs w:val="17"/>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May 31, 2025</w:t>
            </w:r>
          </w:p>
        </w:tc>
        <w:tc>
          <w:tcPr>
            <w:tcW w:w="0" w:type="dxa"/>
            <w:vAlign w:val="bottom"/>
          </w:tcPr>
          <w:p>
            <w:pPr>
              <w:spacing w:after="0"/>
              <w:rPr>
                <w:sz w:val="1"/>
                <w:szCs w:val="1"/>
                <w:color w:val="auto"/>
              </w:rPr>
            </w:pPr>
          </w:p>
        </w:tc>
      </w:tr>
      <w:tr>
        <w:trPr>
          <w:trHeight w:val="23"/>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franchise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warranties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service agreement payable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Rebates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freight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LONG-TERM DEBT</w:t>
      </w:r>
    </w:p>
    <w:p>
      <w:pPr>
        <w:spacing w:after="0" w:line="1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May 28, 2025, the Company entered into a new Credit Agreement (the “Credit Agreement”) with its subsidiary RITA Medical Systems, LLC (“RITA” and, together with the Company, the “Loan Parties”), the lenders party thereto and JPMorgan Chase Bank, N.A., individually and as administrative agent, issuing bank and swingline lender.</w:t>
      </w:r>
    </w:p>
    <w:p>
      <w:pPr>
        <w:spacing w:after="0" w:line="122"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The Credit Agreement provides for a $25.0 million secured revolving credit facility (the "Revolving Facility"), which is subject to a borrowing base comprised of certain working capital assets of the Company. Additionally, until such time as the Company has demonstrated a fixed charge coverage ratio greater than 1.10 to 1.00, the Revolving Facility will be further reduced by $5,000,000 (such period, the “Availability Block Period”). To the extent requested by the Company, and subject to certain customary limitations, the lenders will make revolving loan advances to the Company and the issuing bank will issue letters of credit for the account of the Company, in each case in an aggregate amount not exceeding the availability under the Revolving Facility. Issuances of letters of credit under the Revolving Facility shall further be limited by an issuance cap, which at the closing date was set at $2,000,000. The proceeds of the Revolving Facility may be used for working capital and for general corporate needs of AngioDynamics and its subsidiaries.</w:t>
      </w:r>
    </w:p>
    <w:p>
      <w:pPr>
        <w:spacing w:after="0" w:line="13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Credit Agreement has a two-year maturity. Interest on the Revolving Facility will be based, at the Company's option, on a rate equal to (i) the Secured Overnight Financing Rate ("SOFR") plus 0.1% (subject to a floor of 0%) ("Adjusted Term SOFR"), or (ii) the alternate base rate (subject to a floor of 0%) ("ABR"), and in each case with a margin for Adjusted Term SOFR loans of 2.0% and for ABR loans of 1.0%. The Revolving Facility will also carry a commitment fee of 0.2% per annum on the unused portion. The Revolving Facility contains customary benchmark replacement and rate fallback provisions.</w:t>
      </w:r>
    </w:p>
    <w:p>
      <w:pPr>
        <w:spacing w:after="0" w:line="129" w:lineRule="exact"/>
        <w:rPr>
          <w:sz w:val="20"/>
          <w:szCs w:val="20"/>
          <w:color w:val="auto"/>
        </w:rPr>
      </w:pPr>
    </w:p>
    <w:p>
      <w:pPr>
        <w:jc w:val="both"/>
        <w:ind w:right="220" w:firstLine="389"/>
        <w:spacing w:after="0" w:line="289" w:lineRule="auto"/>
        <w:rPr>
          <w:sz w:val="20"/>
          <w:szCs w:val="20"/>
          <w:color w:val="auto"/>
        </w:rPr>
      </w:pPr>
      <w:r>
        <w:rPr>
          <w:rFonts w:ascii="Times New Roman" w:cs="Times New Roman" w:eastAsia="Times New Roman" w:hAnsi="Times New Roman"/>
          <w:sz w:val="17"/>
          <w:szCs w:val="17"/>
          <w:color w:val="auto"/>
        </w:rPr>
        <w:t>The Company's obligations under the Credit Agreement are unconditionally guaranteed, jointly and severally, by the Company's material direct and indirect domestic subsidiaries (the “Guarantors”). The sole Guarantor as at the closing date is RITA. All obligations of the Company and the Guarantors under the Revolving Facility are secured by first priority security interests in substantially all of the assets of the Loan Parties and the Guarantors.</w:t>
      </w:r>
    </w:p>
    <w:p>
      <w:pPr>
        <w:spacing w:after="0" w:line="104" w:lineRule="exact"/>
        <w:rPr>
          <w:sz w:val="20"/>
          <w:szCs w:val="20"/>
          <w:color w:val="auto"/>
        </w:rPr>
      </w:pPr>
    </w:p>
    <w:p>
      <w:pPr>
        <w:ind w:right="200" w:firstLine="389"/>
        <w:spacing w:after="0" w:line="261" w:lineRule="auto"/>
        <w:rPr>
          <w:sz w:val="20"/>
          <w:szCs w:val="20"/>
          <w:color w:val="auto"/>
        </w:rPr>
      </w:pPr>
      <w:r>
        <w:rPr>
          <w:rFonts w:ascii="Times New Roman" w:cs="Times New Roman" w:eastAsia="Times New Roman" w:hAnsi="Times New Roman"/>
          <w:sz w:val="18"/>
          <w:szCs w:val="18"/>
          <w:color w:val="auto"/>
        </w:rPr>
        <w:t>The Credit Agreement includes customary representations, warranties and covenants, and acceleration, indemnity and events of default provisions, including, among other things, a financial covenant which requires the Company to maintain, as of the end of each calendar month commencing after the end of the Availability Block Period, a fixed charge coverage ratio of EBITDA* minus unfinanced capital expenditures to consolidated interest expense paid or payable in cash plus scheduled principal payments in respect of indebtedness under the Credit Agreement of not less than 1.05 to 1.00.</w:t>
      </w:r>
    </w:p>
    <w:p>
      <w:pPr>
        <w:spacing w:after="0" w:line="126" w:lineRule="exact"/>
        <w:rPr>
          <w:sz w:val="20"/>
          <w:szCs w:val="20"/>
          <w:color w:val="auto"/>
        </w:rPr>
      </w:pPr>
    </w:p>
    <w:p>
      <w:pPr>
        <w:ind w:right="100" w:firstLine="8"/>
        <w:spacing w:after="0" w:line="282"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total indebtedness, EBITDA, capital expenditures and interest expense are specifically defined in the Credit Agreement included as an exhibit to Form 8-K filed on May 28, 2025.</w:t>
      </w:r>
    </w:p>
    <w:p>
      <w:pPr>
        <w:spacing w:after="0" w:line="108" w:lineRule="exact"/>
        <w:rPr>
          <w:sz w:val="20"/>
          <w:szCs w:val="20"/>
          <w:color w:val="auto"/>
        </w:rPr>
      </w:pPr>
    </w:p>
    <w:p>
      <w:pPr>
        <w:ind w:right="360" w:firstLine="389"/>
        <w:spacing w:after="0" w:line="282" w:lineRule="auto"/>
        <w:rPr>
          <w:sz w:val="20"/>
          <w:szCs w:val="20"/>
          <w:color w:val="auto"/>
        </w:rPr>
      </w:pPr>
      <w:r>
        <w:rPr>
          <w:rFonts w:ascii="Times New Roman" w:cs="Times New Roman" w:eastAsia="Times New Roman" w:hAnsi="Times New Roman"/>
          <w:sz w:val="18"/>
          <w:szCs w:val="18"/>
          <w:color w:val="auto"/>
        </w:rPr>
        <w:t>As of August 31, 2025 there were no amounts outstanding on the Revolving Facility. As of August 31, 2025, the carrying value of long-term debt approximated its fair market value.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(0.6)% as of the first quarter of fiscal year 2026, as compared to 1.8% for the same period in fiscal year 2025. In fiscal year 2026,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w:t>
      </w:r>
    </w:p>
    <w:p>
      <w:pPr>
        <w:spacing w:after="0" w:line="12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w:t>
      </w:r>
    </w:p>
    <w:p>
      <w:pPr>
        <w:spacing w:after="0" w:line="12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Research and Development ("R&amp;D") credit carryforwards and other net deferred tax assets as of August 31, 2025.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29"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making permanent certain provisions of the Tax Cuts and Jobs Act, including 100% bonus depreciation, domestic research cost expensing, and the business interest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expense limitation. In accordance with ASC 740, the Company has recognized the effects of the new tax law in the period of enactment. As the Company maintains a full valuation allowance on its U.S. deferred tax assets, the legislation does not have a material impact on our consolidated financial statements for the quarter ended August 31, 2025.</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75" w:lineRule="exact"/>
        <w:rPr>
          <w:sz w:val="20"/>
          <w:szCs w:val="20"/>
          <w:color w:val="auto"/>
        </w:rPr>
      </w:pPr>
    </w:p>
    <w:p>
      <w:pPr>
        <w:jc w:val="both"/>
        <w:ind w:right="40" w:firstLine="405"/>
        <w:spacing w:after="0" w:line="258" w:lineRule="auto"/>
        <w:rPr>
          <w:sz w:val="20"/>
          <w:szCs w:val="20"/>
          <w:color w:val="auto"/>
        </w:rPr>
      </w:pPr>
      <w:r>
        <w:rPr>
          <w:rFonts w:ascii="Times New Roman" w:cs="Times New Roman" w:eastAsia="Times New Roman" w:hAnsi="Times New Roman"/>
          <w:sz w:val="18"/>
          <w:szCs w:val="18"/>
          <w:color w:val="auto"/>
        </w:rPr>
        <w:t>On October 13, 2020, the Company's shareholders approved the 2020 Stock and Incentive Award Plan (the “2020 Plan”).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On November 12, 2024 the Company's shareholders approved an amendment to the 2020 Plan to increase the reserve of shares of common stock available for future grants by 3.2 million shares. As of August 31, 2025, there was a maximum of 2.5 million shares of common stock available for future grant under the 2020 Plan.</w:t>
      </w:r>
    </w:p>
    <w:p>
      <w:pPr>
        <w:spacing w:after="0" w:line="12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w:t>
      </w:r>
    </w:p>
    <w:p>
      <w:pPr>
        <w:spacing w:after="0" w:line="122"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Company also has an employee stock purchase plan. As of August 31, 2025, there was a maximum of 2.5 million shares of common stock available for future grant under the employee stock purchase plan.</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three months ended August 31, 2025 and 2024, share-based compensation expense was $4.5 million and $3.2 million, respectively.</w:t>
      </w:r>
    </w:p>
    <w:p>
      <w:pPr>
        <w:spacing w:after="0" w:line="171" w:lineRule="exact"/>
        <w:rPr>
          <w:sz w:val="20"/>
          <w:szCs w:val="20"/>
          <w:color w:val="auto"/>
        </w:rPr>
      </w:pPr>
    </w:p>
    <w:p>
      <w:pPr>
        <w:ind w:right="360" w:firstLine="405"/>
        <w:spacing w:after="0" w:line="256" w:lineRule="auto"/>
        <w:rPr>
          <w:sz w:val="20"/>
          <w:szCs w:val="20"/>
          <w:color w:val="auto"/>
        </w:rPr>
      </w:pPr>
      <w:r>
        <w:rPr>
          <w:rFonts w:ascii="Times New Roman" w:cs="Times New Roman" w:eastAsia="Times New Roman" w:hAnsi="Times New Roman"/>
          <w:sz w:val="18"/>
          <w:szCs w:val="18"/>
          <w:color w:val="auto"/>
        </w:rPr>
        <w:t>During the three months ended August 31, 2025 and 2024, the Company granted stock options and restricted stock units under the 2020 Plan to certain employees and members of the Board of Directors. Stock option awards are valued using the Black-Scholes option-pricing model and then amortized on a straight-line basis over the requisite service period of the award. Generally, restricted stock unit awards are valued based on the closing trading value of the Company’s common stock on the date of grant and then amortized on a straight-line basis over the requisite service period of the award. In July 2023, the Board of Directors approved a change in terms of restricted stock units granted to non-employee directors to provide for immediate vesting upon grant of the award.</w:t>
      </w:r>
    </w:p>
    <w:p>
      <w:pPr>
        <w:spacing w:after="0" w:line="133"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August 31, 2025 and 2024, the Company granted performance share units under the 2020 Plan to certain employees. The awards may be earned by achieving performance levels over the requisite service period. The performance criteria are based on achieving certain performance targets and the total shareholder return (“TSR”) of the Company’s common stock relative to the TSR of the common stock of a pre-defined industry peer-group. The fair value of these awards is based on a Monte Carlo simulation model.</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August 31, 2025, there was $28.4 million of unrecognized compensation expense related to share-based payment arrangements. These costs are expected to be recognized over a weighted-average period of approximately three years. The Company has sufficient shares to satisfy expected share-based payment arrangements.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w:t>
      </w:r>
    </w:p>
    <w:p>
      <w:pPr>
        <w:spacing w:after="0" w:line="175"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July 16, 2024, the Board of Directors approved a share repurchase program (the "Repurchase Program") under which they authorized the Company the option to repurchase up to $15.0 million of its outstanding common stock. The timing and amount of any share repurchases under the authorization will be determined by management within certain parameters and based on market conditions and other considerations. There were no shares repurchased during the first quarter of fiscal year 2026. During the first quarter of fiscal year 2025, the Company repurchased 72,141 shares of common stock in the open market at an aggregate cost of $0.5 million under the Repurchase Program. As of August 31, 2025, $13.3 million remained available for repurchase under the Repurchase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7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reconciles basic to diluted weighted-average shares outstanding: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00" w:type="dxa"/>
            <w:vAlign w:val="bottom"/>
          </w:tcPr>
          <w:p>
            <w:pPr>
              <w:spacing w:after="0"/>
              <w:rPr>
                <w:sz w:val="16"/>
                <w:szCs w:val="16"/>
                <w:color w:val="auto"/>
              </w:rPr>
            </w:pPr>
          </w:p>
        </w:tc>
        <w:tc>
          <w:tcPr>
            <w:tcW w:w="2940" w:type="dxa"/>
            <w:vAlign w:val="bottom"/>
            <w:gridSpan w:val="3"/>
          </w:tcPr>
          <w:p>
            <w:pPr>
              <w:jc w:val="right"/>
              <w:ind w:right="774"/>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5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00" w:type="dxa"/>
            <w:vAlign w:val="bottom"/>
            <w:vMerge w:val="continue"/>
          </w:tcPr>
          <w:p>
            <w:pPr>
              <w:spacing w:after="0"/>
              <w:rPr>
                <w:sz w:val="16"/>
                <w:szCs w:val="16"/>
                <w:color w:val="auto"/>
              </w:rPr>
            </w:pP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Aug 31, 2025</w:t>
            </w:r>
          </w:p>
        </w:tc>
        <w:tc>
          <w:tcPr>
            <w:tcW w:w="1400" w:type="dxa"/>
            <w:vAlign w:val="bottom"/>
          </w:tcPr>
          <w:p>
            <w:pPr>
              <w:jc w:val="right"/>
              <w:ind w:right="214"/>
              <w:spacing w:after="0"/>
              <w:rPr>
                <w:sz w:val="20"/>
                <w:szCs w:val="20"/>
                <w:color w:val="auto"/>
              </w:rPr>
            </w:pPr>
            <w:r>
              <w:rPr>
                <w:rFonts w:ascii="Times New Roman" w:cs="Times New Roman" w:eastAsia="Times New Roman" w:hAnsi="Times New Roman"/>
                <w:sz w:val="14"/>
                <w:szCs w:val="14"/>
                <w:color w:val="auto"/>
              </w:rPr>
              <w:t>Aug 31, 2024</w:t>
            </w:r>
          </w:p>
        </w:tc>
        <w:tc>
          <w:tcPr>
            <w:tcW w:w="0" w:type="dxa"/>
            <w:vAlign w:val="bottom"/>
          </w:tcPr>
          <w:p>
            <w:pPr>
              <w:spacing w:after="0"/>
              <w:rPr>
                <w:sz w:val="1"/>
                <w:szCs w:val="1"/>
                <w:color w:val="auto"/>
              </w:rPr>
            </w:pPr>
          </w:p>
        </w:tc>
      </w:tr>
      <w:tr>
        <w:trPr>
          <w:trHeight w:val="229"/>
        </w:trPr>
        <w:tc>
          <w:tcPr>
            <w:tcW w:w="8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41,174</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excluded as their inclusion would be anti-dilutive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AND GEOGRAPHIC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ind w:right="100" w:firstLine="389"/>
        <w:spacing w:after="0" w:line="256" w:lineRule="auto"/>
        <w:rPr>
          <w:sz w:val="20"/>
          <w:szCs w:val="20"/>
          <w:color w:val="auto"/>
        </w:rPr>
      </w:pPr>
      <w:r>
        <w:rPr>
          <w:rFonts w:ascii="Times New Roman" w:cs="Times New Roman" w:eastAsia="Times New Roman" w:hAnsi="Times New Roman"/>
          <w:sz w:val="18"/>
          <w:szCs w:val="18"/>
          <w:color w:val="auto"/>
        </w:rPr>
        <w:t>The Company regularly reviews its segments and the approach used by the chief operating decision maker, the President and Chief Executive Officer ("CEO"), to evaluate performance and allocate resources. The Company manages its operations through two operating segments, Med Tech and Med Device. The CEO evaluates these two operating segments based on gross margin to, among other items, allocate resources and assess performance. The CEO uses gross margin in the budgeting and forecasting process to assess profitability and enable decision making regarding strategic initiatives, investments and personnel across the two operating segments. Executives reporting to the CEO include those responsible for commercial operations, manufacturing operations, regulatory and quality and certain corporate functions.</w:t>
      </w:r>
    </w:p>
    <w:p>
      <w:pPr>
        <w:spacing w:after="0" w:line="133" w:lineRule="exact"/>
        <w:rPr>
          <w:sz w:val="20"/>
          <w:szCs w:val="20"/>
          <w:color w:val="auto"/>
        </w:rPr>
      </w:pPr>
    </w:p>
    <w:p>
      <w:pPr>
        <w:ind w:right="320" w:firstLine="389"/>
        <w:spacing w:after="0" w:line="282" w:lineRule="auto"/>
        <w:rPr>
          <w:sz w:val="20"/>
          <w:szCs w:val="20"/>
          <w:color w:val="auto"/>
        </w:rPr>
      </w:pPr>
      <w:r>
        <w:rPr>
          <w:rFonts w:ascii="Times New Roman" w:cs="Times New Roman" w:eastAsia="Times New Roman" w:hAnsi="Times New Roman"/>
          <w:sz w:val="18"/>
          <w:szCs w:val="18"/>
          <w:color w:val="auto"/>
        </w:rPr>
        <w:t>The Med Tech segment is comprised of our technology portfolio including Auryon, the thrombus management platform and NanoKnife. The Med Device segment is comprised of our Core, Venous, Ports and other Oncology products.</w:t>
      </w:r>
    </w:p>
    <w:p>
      <w:pPr>
        <w:spacing w:after="0" w:line="108"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Company manages its assets on a total company basis, not by operating segment; therefore, the CEO does not review any asset information by operating segment and, accordingly, asset information is not reported or evaluated by operating segment.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net sales, cost of sales and gross margin by Med Tech and Med Device: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4"/>
          </w:tcPr>
          <w:p>
            <w:pPr>
              <w:jc w:val="right"/>
              <w:ind w:right="911"/>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2025</w:t>
            </w:r>
          </w:p>
        </w:tc>
        <w:tc>
          <w:tcPr>
            <w:tcW w:w="260" w:type="dxa"/>
            <w:vAlign w:val="bottom"/>
          </w:tcPr>
          <w:p>
            <w:pPr>
              <w:spacing w:after="0"/>
              <w:rPr>
                <w:sz w:val="16"/>
                <w:szCs w:val="16"/>
                <w:color w:val="auto"/>
              </w:rPr>
            </w:pPr>
          </w:p>
        </w:tc>
        <w:tc>
          <w:tcPr>
            <w:tcW w:w="13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Aug 31, 2024</w:t>
            </w:r>
          </w:p>
        </w:tc>
        <w:tc>
          <w:tcPr>
            <w:tcW w:w="0" w:type="dxa"/>
            <w:vAlign w:val="bottom"/>
          </w:tcPr>
          <w:p>
            <w:pPr>
              <w:spacing w:after="0"/>
              <w:rPr>
                <w:sz w:val="1"/>
                <w:szCs w:val="1"/>
                <w:color w:val="auto"/>
              </w:rPr>
            </w:pPr>
          </w:p>
        </w:tc>
      </w:tr>
      <w:tr>
        <w:trPr>
          <w:trHeight w:val="243"/>
        </w:trPr>
        <w:tc>
          <w:tcPr>
            <w:tcW w:w="80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Med Tech Net Sales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35,261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27,969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Tech Cost of Sales (exclusive of intangible amortization)</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13,339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10,272</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21,922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17,697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0" w:type="dxa"/>
            <w:vAlign w:val="bottom"/>
          </w:tcPr>
          <w:p>
            <w:pPr>
              <w:spacing w:after="0"/>
              <w:rPr>
                <w:sz w:val="1"/>
                <w:szCs w:val="1"/>
                <w:color w:val="auto"/>
              </w:rPr>
            </w:pPr>
          </w:p>
        </w:tc>
      </w:tr>
      <w:tr>
        <w:trPr>
          <w:trHeight w:val="256"/>
        </w:trPr>
        <w:tc>
          <w:tcPr>
            <w:tcW w:w="8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Device 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40,450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39,522</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Med Device Cost of Sales (exclusive of intangible amortization)</w:t>
            </w:r>
          </w:p>
        </w:tc>
        <w:tc>
          <w:tcPr>
            <w:tcW w:w="26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20,515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20,495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19,935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19,027</w:t>
            </w: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75,711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67,491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 of Sales (exclusive of intangible amortization)</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33,854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30,767</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41,857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36,724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52,513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49,822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(10,838)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(12,665)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8"/>
        <w:spacing w:after="0" w:line="260" w:lineRule="auto"/>
        <w:tabs>
          <w:tab w:leader="none" w:pos="22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include Research and development, Sales and marketing, General and administrative, Amortization of intangibles, Change in fair value of contingent consideration and Acquisition, restructuring and other items, net.</w:t>
      </w:r>
    </w:p>
    <w:p>
      <w:pPr>
        <w:ind w:left="240" w:hanging="232"/>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income (expense), net includes interest income, interest expense, foreign currency impacts and bank fees.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net sales by geographic area based on external customer location: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2025</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Aug 31, 2024</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0" w:type="dxa"/>
            <w:vAlign w:val="bottom"/>
          </w:tcPr>
          <w:p>
            <w:pPr>
              <w:spacing w:after="0"/>
              <w:rPr>
                <w:sz w:val="1"/>
                <w:szCs w:val="1"/>
                <w:color w:val="auto"/>
              </w:rPr>
            </w:pP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67,491</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 w:firstLine="445"/>
        <w:spacing w:after="0" w:line="245" w:lineRule="auto"/>
        <w:rPr>
          <w:sz w:val="20"/>
          <w:szCs w:val="20"/>
          <w:color w:val="auto"/>
        </w:rPr>
      </w:pPr>
      <w:r>
        <w:rPr>
          <w:rFonts w:ascii="Times New Roman" w:cs="Times New Roman" w:eastAsia="Times New Roman" w:hAnsi="Times New Roman"/>
          <w:sz w:val="18"/>
          <w:szCs w:val="18"/>
          <w:color w:val="auto"/>
        </w:rPr>
        <w:t>For the three months ended August 31, 2025 and 2024, international sales as a percentage of total net sales were 12.2% and 11.9%, respectively. Sales to any one country outside the U.S., as determined by shipment destination, did not comprise a material portion of net sales in any of the last three fiscal years. In addition, no one customer represents more than 10% of consolidated net sales. 63% of long-lived assets are located within the United States and 36% are located within Israel.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w:t>
      </w:r>
    </w:p>
    <w:p>
      <w:pPr>
        <w:spacing w:after="0" w:line="1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spacing w:after="0" w:line="107"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significant unobservable inputs based on management’s best estimate of inputs market participants would use in pricing the asset or liability at the measurement date, including assumptions about risk.</w:t>
      </w:r>
    </w:p>
    <w:p>
      <w:pPr>
        <w:spacing w:after="0" w:line="10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accounts receivable and accounts payable. The carrying amount of cash and cash equivalents, accounts receivable, and accounts payable approximates fair value due to their immediate or short-term maturities. The Company does not have assets or liabilities that require recurring fair value measurement using significant unobservable inputs (Level 3).</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75"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The Company has operating leases for buildings, primarily for office space, R&amp;D, manufacturing and warehousing. The Company has financing arrangement for manufacturing and distribution.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w:t>
      </w:r>
    </w:p>
    <w:p>
      <w:pPr>
        <w:spacing w:after="0" w:line="17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On December 24, 2024, the Company entered into an agreement to sell the manufacturing facilities in Queensbury, NY and Glens Falls, NY for a purchase price of $5.5 million and $1.2 million, respectively, and net proceeds of $5.2 million and $1.1 million, respectively. The Company simultaneously entered into lease agreements with future lease payments of $4.6 million over seven years for the Queensbury, NY facility and $0.4 million over three years for the Glens Falls, NY facility.</w:t>
      </w:r>
    </w:p>
    <w:p>
      <w:pPr>
        <w:spacing w:after="0" w:line="12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Based on certain criteria, the transaction was accounted for as a financing arrangement, as it did not meet the criteria for a sale-leaseback. As a result, the assets remain in "Property, plant and equipment, net" on the Consolidated Balance Sheets at their historical book value and are depreciated over the term of the lease agreements. A financing arrangement was recorded in the amount of the net proceeds received. The Company will recognize monthly rent as a reduction of the finance arrangement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and interest expense, using the effective interest rate method. No gain or loss was recognized related to the financing arrangement for the three months ended August 31, 2025.</w:t>
      </w:r>
    </w:p>
    <w:p>
      <w:pPr>
        <w:spacing w:after="0" w:line="108" w:lineRule="exact"/>
        <w:rPr>
          <w:sz w:val="20"/>
          <w:szCs w:val="20"/>
          <w:color w:val="auto"/>
        </w:rPr>
      </w:pPr>
    </w:p>
    <w:p>
      <w:pPr>
        <w:ind w:right="440" w:firstLine="405"/>
        <w:spacing w:after="0" w:line="266" w:lineRule="auto"/>
        <w:rPr>
          <w:sz w:val="20"/>
          <w:szCs w:val="20"/>
          <w:color w:val="auto"/>
        </w:rPr>
      </w:pPr>
      <w:r>
        <w:rPr>
          <w:rFonts w:ascii="Times New Roman" w:cs="Times New Roman" w:eastAsia="Times New Roman" w:hAnsi="Times New Roman"/>
          <w:sz w:val="18"/>
          <w:szCs w:val="18"/>
          <w:color w:val="auto"/>
        </w:rPr>
        <w:t>As of August 31, 2025, the carrying value of the financing arrangement was $6.1 million, of which $0.4 million was classified as "Other current liabilities" and $5.7 million was classified as "Other long-term liabilities" on the Consolidated Balance Sheets. Interest expense associated with the financing arrangement was $0.1 million for the three months ending August 31, 2025.</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Remaining future cash payments related to the financing arrangement as of August 31, 2025 for each of the following fiscal years is: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Aug 31, 2025</w:t>
            </w:r>
          </w:p>
        </w:tc>
      </w:tr>
      <w:tr>
        <w:trPr>
          <w:trHeight w:val="23"/>
        </w:trPr>
        <w:tc>
          <w:tcPr>
            <w:tcW w:w="9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liability payments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w:t>
            </w:r>
          </w:p>
        </w:tc>
      </w:tr>
      <w:tr>
        <w:trPr>
          <w:trHeight w:val="20"/>
        </w:trPr>
        <w:tc>
          <w:tcPr>
            <w:tcW w:w="9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7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information related to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Balance Sheet Location</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2025</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2025</w:t>
            </w:r>
          </w:p>
        </w:tc>
      </w:tr>
      <w:tr>
        <w:trPr>
          <w:trHeight w:val="23"/>
        </w:trPr>
        <w:tc>
          <w:tcPr>
            <w:tcW w:w="558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ROU asset</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30"/>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w:t>
            </w:r>
          </w:p>
        </w:tc>
      </w:tr>
      <w:tr>
        <w:trPr>
          <w:trHeight w:val="20"/>
        </w:trPr>
        <w:tc>
          <w:tcPr>
            <w:tcW w:w="5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405"/>
        <w:spacing w:after="0" w:line="260"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tcPr>
          <w:p>
            <w:pPr>
              <w:spacing w:after="0"/>
              <w:rPr>
                <w:sz w:val="16"/>
                <w:szCs w:val="16"/>
                <w:color w:val="auto"/>
              </w:rPr>
            </w:pPr>
          </w:p>
        </w:tc>
        <w:tc>
          <w:tcPr>
            <w:tcW w:w="1560" w:type="dxa"/>
            <w:vAlign w:val="bottom"/>
          </w:tcPr>
          <w:p>
            <w:pPr>
              <w:jc w:val="right"/>
              <w:ind w:right="296"/>
              <w:spacing w:after="0"/>
              <w:rPr>
                <w:sz w:val="20"/>
                <w:szCs w:val="20"/>
                <w:color w:val="auto"/>
              </w:rPr>
            </w:pPr>
            <w:r>
              <w:rPr>
                <w:rFonts w:ascii="Times New Roman" w:cs="Times New Roman" w:eastAsia="Times New Roman" w:hAnsi="Times New Roman"/>
                <w:sz w:val="14"/>
                <w:szCs w:val="14"/>
                <w:color w:val="auto"/>
              </w:rPr>
              <w:t>Aug 31, 2025</w:t>
            </w:r>
          </w:p>
        </w:tc>
      </w:tr>
      <w:tr>
        <w:trPr>
          <w:trHeight w:val="23"/>
        </w:trPr>
        <w:tc>
          <w:tcPr>
            <w:tcW w:w="9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maturities of the lease liabilities for each of the following fiscal years is: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Aug 31, 2025</w:t>
            </w:r>
          </w:p>
        </w:tc>
      </w:tr>
      <w:tr>
        <w:trPr>
          <w:trHeight w:val="23"/>
        </w:trPr>
        <w:tc>
          <w:tcPr>
            <w:tcW w:w="9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obligations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obligations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1"/>
        </w:trPr>
        <w:tc>
          <w:tcPr>
            <w:tcW w:w="9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20" w:firstLine="405"/>
        <w:spacing w:after="0" w:line="287" w:lineRule="auto"/>
        <w:rPr>
          <w:sz w:val="20"/>
          <w:szCs w:val="20"/>
          <w:color w:val="auto"/>
        </w:rPr>
      </w:pPr>
      <w:r>
        <w:rPr>
          <w:rFonts w:ascii="Times New Roman" w:cs="Times New Roman" w:eastAsia="Times New Roman" w:hAnsi="Times New Roman"/>
          <w:sz w:val="17"/>
          <w:szCs w:val="17"/>
          <w:color w:val="auto"/>
        </w:rPr>
        <w:t>During the three months ended August 31, 2025 and 2024, the Company recognized $0.6 million and $0.7 million of operating lease expense, respectively, which includes immaterial short-term leases. The expenses on the Consolidated Statement of Operations were classified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794"/>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2025</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Aug 31, 2024</w:t>
            </w:r>
          </w:p>
        </w:tc>
        <w:tc>
          <w:tcPr>
            <w:tcW w:w="0" w:type="dxa"/>
            <w:vAlign w:val="bottom"/>
          </w:tcPr>
          <w:p>
            <w:pPr>
              <w:spacing w:after="0"/>
              <w:rPr>
                <w:sz w:val="1"/>
                <w:szCs w:val="1"/>
                <w:color w:val="auto"/>
              </w:rPr>
            </w:pPr>
          </w:p>
        </w:tc>
      </w:tr>
      <w:tr>
        <w:trPr>
          <w:trHeight w:val="229"/>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
        </w:trPr>
        <w:tc>
          <w:tcPr>
            <w:tcW w:w="82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other information related to leases:</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4"/>
          </w:tcPr>
          <w:p>
            <w:pPr>
              <w:jc w:val="right"/>
              <w:ind w:right="794"/>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2025</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Aug 31, 2024</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83"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 Bard, Inc. v. AngioDynamics, Inc.</w:t>
      </w:r>
    </w:p>
    <w:p>
      <w:pPr>
        <w:spacing w:after="0" w:line="283"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On January 11, 2012, C.R. Bard, Inc. (“Bard”) filed a suit in the United States District Court of Utah claiming certain of the Company's implantable port products infringe on three U.S. patents held by Bard (US Patent Nos. 7,785,302 ("302"), 7,959,615 (“615”) and 7,947,022 ("022")).</w:t>
      </w:r>
    </w:p>
    <w:p>
      <w:pPr>
        <w:spacing w:after="0" w:line="108"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On March 10, 2015, Bard and Bard Peripheral Vascular filed suit in the District of Delaware claiming certain of the Company's implantable port products infringe on three U.S. patents held by Bard (US Patent Nos. 8,475,417, 8,545,460, 8,805,478). The Court entered Judgement on June 1, 2023 in favor of the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On March 8, 2021, Bard filed suit in the District of Delaware asserting certain of the Company’s port products (including certain related infusion sets) infringe U.S. Patent Nos. 8,025,639, 9,603,992 and 9,603,993. The Company counterclaimed, alleging that certain of Bard’s catheter products infringe U.S. Patent Nos. 8,377,011, 10,729,881, 8,454,574.</w:t>
      </w:r>
    </w:p>
    <w:p>
      <w:pPr>
        <w:spacing w:after="0" w:line="122"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On March 31, 2024, the Company and Bard’s parent company Becton, Dickinson and Company (collectively, “BD”) entered into a settlement agreement (the “Settlement Agreement”) to resolve the ongoing litigations. Under the terms of the Settlement Agreement, BD granted a license to the Company under certain of BD’s port patents and AngioDynamics granted BD a license under certain of the Company’s catheter patents. The Company made a one-time lump sum payment to BD in the amount of $7.0 million, $3.0 million which was paid within 5 business days of execution of the Settlement Agreement, and the remainder is payable in installments during 12 month period ending March 31, 2025. The Company will also make six minimum annual payments to BD of $2.5 million starting in fiscal year 2025, and potential additional payments if six percent (6%) of annual net sales of the Company’s port products exceed the minimum payment. The Company made payments of $2.5 million related to the minimum annual payments to BD during the quarter ended August 31, 2025. The parties will participate in the pending appeal before the Federal Circuit of the case that was filed March 10, 2015 and a contingent payment of $3.0 million will be due from the Company to BD if the Federal Circuit reverses or vacates the District Court’s findings of invalidity with respect to the patent claims at issue in the case. Oral argument in the appeal will take place on October 8, 2025. Neither party admitted any liability and the agreement contains mutual covenants not to sue and releases. As of August 31, 2025, there was $2.4 million payable to BD recorded in other current liabilities and $6.7 million recorded in other long-term liabilities.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 Product Claims</w:t>
      </w:r>
    </w:p>
    <w:p>
      <w:pPr>
        <w:spacing w:after="0" w:line="17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As of August 31, 2025, the Company is defending approximately 219 product liability claims involving the Company's port products (collectively, the “Port Product Claims”). The Port Product Claims are consolidated for pretrial proceedings in the United States District Court for the Southern District of California. The Port Product Claims generally seek damages for personal injury allegedly resulting from use of the products. The Company has limited information regarding the nature and quantity of certain of the Port Product Claims. The Company continues to receive claims and lawsuits and may in future periods learn additional information regarding other unfiled or unknown claims, or other lawsuits, which could materially impact the Company’s estimate of the number of claims or lawsuits against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 RESTRUCTURING, AND OTHER ITEMS,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Restructuring and Other Items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Acquisition, restructuring and other items, net, consisted of:</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2025</w:t>
            </w:r>
          </w:p>
        </w:tc>
        <w:tc>
          <w:tcPr>
            <w:tcW w:w="220" w:type="dxa"/>
            <w:vAlign w:val="bottom"/>
          </w:tcPr>
          <w:p>
            <w:pPr>
              <w:spacing w:after="0"/>
              <w:rPr>
                <w:sz w:val="16"/>
                <w:szCs w:val="16"/>
                <w:color w:val="auto"/>
              </w:rPr>
            </w:pPr>
          </w:p>
        </w:tc>
        <w:tc>
          <w:tcPr>
            <w:tcW w:w="120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Aug 31, 2024</w:t>
            </w:r>
          </w:p>
        </w:tc>
        <w:tc>
          <w:tcPr>
            <w:tcW w:w="0" w:type="dxa"/>
            <w:vAlign w:val="bottom"/>
          </w:tcPr>
          <w:p>
            <w:pPr>
              <w:spacing w:after="0"/>
              <w:rPr>
                <w:sz w:val="1"/>
                <w:szCs w:val="1"/>
                <w:color w:val="auto"/>
              </w:rPr>
            </w:pPr>
          </w:p>
        </w:tc>
      </w:tr>
      <w:tr>
        <w:trPr>
          <w:trHeight w:val="230"/>
        </w:trPr>
        <w:tc>
          <w:tcPr>
            <w:tcW w:w="8300" w:type="dxa"/>
            <w:vAlign w:val="bottom"/>
            <w:tcBorders>
              <w:top w:val="single" w:sz="8" w:color="CCEEFF"/>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Legal </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Plant closure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Transition service agreement </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48"/>
        </w:trPr>
        <w:tc>
          <w:tcPr>
            <w:tcW w:w="8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expenses related to litigation that is outside the normal course of business.</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Plant closure expense, related to the restructuring of our manufacturing footprint which was announced on January 5, 2024.</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Transition services agreements that were entered into with Merit and Spectrum.</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evaluates its performance and looks for opportunities to improve the overall operations of the Company on an ongoing basis. As a result of this evaluation, certain restructuring initiatives are taken to enhance the Company’s overall operations. On January 5, 2024, the Company announced a restructuring to optimize its manufacturing efficiency, capabilities and footprint (the "Plan").</w:t>
      </w:r>
    </w:p>
    <w:p>
      <w:pPr>
        <w:spacing w:after="0" w:line="1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the second quarter of fiscal year 2025, the Company announced a modification to the Plan to maintain a presence in Queensbury, NY for the manufacturing of select products, customer service, logistics, shipping, quality and regulatory operations. The restructuring activities associated with the modified Plan are still expected to be completed in the third quarter of fiscal year 2026.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estimated costs associated with the plan: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Type of cost (in thousands)</w:t>
            </w:r>
          </w:p>
        </w:tc>
        <w:tc>
          <w:tcPr>
            <w:tcW w:w="320" w:type="dxa"/>
            <w:vAlign w:val="bottom"/>
          </w:tcPr>
          <w:p>
            <w:pPr>
              <w:spacing w:after="0"/>
              <w:rPr>
                <w:sz w:val="16"/>
                <w:szCs w:val="16"/>
                <w:color w:val="auto"/>
              </w:rPr>
            </w:pPr>
          </w:p>
        </w:tc>
        <w:tc>
          <w:tcPr>
            <w:tcW w:w="412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Total original estimated amount expected to be incurred</w:t>
            </w:r>
          </w:p>
        </w:tc>
        <w:tc>
          <w:tcPr>
            <w:tcW w:w="260" w:type="dxa"/>
            <w:vAlign w:val="bottom"/>
          </w:tcPr>
          <w:p>
            <w:pPr>
              <w:spacing w:after="0"/>
              <w:rPr>
                <w:sz w:val="16"/>
                <w:szCs w:val="16"/>
                <w:color w:val="auto"/>
              </w:rPr>
            </w:pPr>
          </w:p>
        </w:tc>
        <w:tc>
          <w:tcPr>
            <w:tcW w:w="388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color w:val="auto"/>
              </w:rPr>
              <w:t>Total modified estimated amount expected to be incurred</w:t>
            </w:r>
          </w:p>
        </w:tc>
      </w:tr>
      <w:tr>
        <w:trPr>
          <w:trHeight w:val="23"/>
        </w:trPr>
        <w:tc>
          <w:tcPr>
            <w:tcW w:w="2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26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Facilities closeout fees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consultants</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Validation expenses</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filings</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9"/>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1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48"/>
        </w:trPr>
        <w:tc>
          <w:tcPr>
            <w:tcW w:w="2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w:t>
            </w:r>
          </w:p>
        </w:tc>
        <w:tc>
          <w:tcPr>
            <w:tcW w:w="11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38,400</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right="760" w:firstLine="8"/>
        <w:spacing w:after="0" w:line="280" w:lineRule="auto"/>
        <w:tabs>
          <w:tab w:leader="none" w:pos="22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the original and modified estimate is approximately $13.6 million and $13.3 million of non-cash charges for accelerated depreciation and building impairment.</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recorded restructuring charges related to the plan during the three months ended August 31, 2025 of $2.3 million. Total restructuring charges recorded to date are $25.6 million. Termination benefits are only earned if an employee stays until their termination date; therefore, the expenses related to termination benefits are being recorded ratably over the service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restructuring reserve: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8"/>
          </w:tcPr>
          <w:p>
            <w:pPr>
              <w:ind w:left="560"/>
              <w:spacing w:after="0"/>
              <w:rPr>
                <w:sz w:val="20"/>
                <w:szCs w:val="20"/>
                <w:color w:val="auto"/>
              </w:rPr>
            </w:pPr>
            <w:r>
              <w:rPr>
                <w:rFonts w:ascii="Times New Roman" w:cs="Times New Roman" w:eastAsia="Times New Roman" w:hAnsi="Times New Roman"/>
                <w:sz w:val="14"/>
                <w:szCs w:val="14"/>
                <w:color w:val="auto"/>
              </w:rPr>
              <w:t>Three Months Ended Aug 31, 2025</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Termination</w:t>
            </w: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Outside</w:t>
            </w:r>
          </w:p>
        </w:tc>
        <w:tc>
          <w:tcPr>
            <w:tcW w:w="180" w:type="dxa"/>
            <w:vAlign w:val="bottom"/>
          </w:tcPr>
          <w:p>
            <w:pPr>
              <w:spacing w:after="0"/>
              <w:rPr>
                <w:sz w:val="11"/>
                <w:szCs w:val="11"/>
                <w:color w:val="auto"/>
              </w:rPr>
            </w:pPr>
          </w:p>
        </w:tc>
        <w:tc>
          <w:tcPr>
            <w:tcW w:w="10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w w:val="98"/>
              </w:rPr>
              <w:t>Validation</w:t>
            </w:r>
          </w:p>
        </w:tc>
        <w:tc>
          <w:tcPr>
            <w:tcW w:w="140" w:type="dxa"/>
            <w:vAlign w:val="bottom"/>
          </w:tcPr>
          <w:p>
            <w:pPr>
              <w:spacing w:after="0"/>
              <w:rPr>
                <w:sz w:val="11"/>
                <w:szCs w:val="11"/>
                <w:color w:val="auto"/>
              </w:rPr>
            </w:pPr>
          </w:p>
        </w:tc>
        <w:tc>
          <w:tcPr>
            <w:tcW w:w="112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Facilities</w:t>
            </w: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Regulatory</w:t>
            </w:r>
          </w:p>
        </w:tc>
        <w:tc>
          <w:tcPr>
            <w:tcW w:w="24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1"/>
                <w:szCs w:val="11"/>
                <w:color w:val="auto"/>
              </w:rPr>
            </w:pPr>
          </w:p>
        </w:tc>
        <w:tc>
          <w:tcPr>
            <w:tcW w:w="8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Benefits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Consultants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Closeout Fees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Filings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48"/>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right="6140" w:firstLine="8"/>
        <w:spacing w:after="0" w:line="466" w:lineRule="auto"/>
        <w:tabs>
          <w:tab w:leader="none" w:pos="27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RECENTLY ISSUED ACCOUNTING PRONOUNCEMENTS Recently Issued Accounting Pronouncements - Adopted</w:t>
      </w:r>
    </w:p>
    <w:p>
      <w:pPr>
        <w:ind w:left="4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no recently issued accounting pronouncements that have been adopted.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 Not Yet Applicable or Adopted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80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37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Effect on the Consolidated Financial Statements</w:t>
            </w:r>
          </w:p>
        </w:tc>
        <w:tc>
          <w:tcPr>
            <w:tcW w:w="0" w:type="dxa"/>
            <w:vAlign w:val="bottom"/>
          </w:tcPr>
          <w:p>
            <w:pPr>
              <w:spacing w:after="0"/>
              <w:rPr>
                <w:sz w:val="1"/>
                <w:szCs w:val="1"/>
                <w:color w:val="auto"/>
              </w:rPr>
            </w:pPr>
          </w:p>
        </w:tc>
      </w:tr>
      <w:tr>
        <w:trPr>
          <w:trHeight w:val="23"/>
        </w:trPr>
        <w:tc>
          <w:tcPr>
            <w:tcW w:w="24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 xml:space="preserve">ASU 2023-09, </w:t>
            </w:r>
            <w:r>
              <w:rPr>
                <w:rFonts w:ascii="Times New Roman" w:cs="Times New Roman" w:eastAsia="Times New Roman" w:hAnsi="Times New Roman"/>
                <w:sz w:val="18"/>
                <w:szCs w:val="18"/>
                <w:i w:val="1"/>
                <w:iCs w:val="1"/>
                <w:color w:val="auto"/>
              </w:rPr>
              <w:t>Income Taxes</w:t>
            </w:r>
          </w:p>
        </w:tc>
        <w:tc>
          <w:tcPr>
            <w:tcW w:w="3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This ASU improves the income tax disclosure</w:t>
            </w:r>
          </w:p>
        </w:tc>
        <w:tc>
          <w:tcPr>
            <w:tcW w:w="1260" w:type="dxa"/>
            <w:vAlign w:val="bottom"/>
            <w:tcBorders>
              <w:right w:val="single" w:sz="8" w:color="auto"/>
            </w:tcBorders>
          </w:tcPr>
          <w:p>
            <w:pPr>
              <w:ind w:left="160"/>
              <w:spacing w:after="0" w:line="169" w:lineRule="exact"/>
              <w:rPr>
                <w:sz w:val="20"/>
                <w:szCs w:val="20"/>
                <w:color w:val="auto"/>
              </w:rPr>
            </w:pPr>
            <w:r>
              <w:rPr>
                <w:rFonts w:ascii="Times New Roman" w:cs="Times New Roman" w:eastAsia="Times New Roman" w:hAnsi="Times New Roman"/>
                <w:sz w:val="18"/>
                <w:szCs w:val="18"/>
                <w:color w:val="auto"/>
              </w:rPr>
              <w:t>June 1, 2025</w:t>
            </w:r>
          </w:p>
        </w:tc>
        <w:tc>
          <w:tcPr>
            <w:tcW w:w="37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The Company plans to adopt the new standard for</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(Topic 740): Improvements to</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requirements on an annual basis by (1) disclose</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 fiscal year 2026 Annual Report on Form 10-K</w:t>
            </w:r>
          </w:p>
        </w:tc>
        <w:tc>
          <w:tcPr>
            <w:tcW w:w="0" w:type="dxa"/>
            <w:vAlign w:val="bottom"/>
          </w:tcPr>
          <w:p>
            <w:pPr>
              <w:spacing w:after="0"/>
              <w:rPr>
                <w:sz w:val="1"/>
                <w:szCs w:val="1"/>
                <w:color w:val="auto"/>
              </w:rPr>
            </w:pPr>
          </w:p>
        </w:tc>
      </w:tr>
      <w:tr>
        <w:trPr>
          <w:trHeight w:val="203"/>
        </w:trPr>
        <w:tc>
          <w:tcPr>
            <w:tcW w:w="240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Income Tax Disclosures</w:t>
            </w:r>
          </w:p>
        </w:tc>
        <w:tc>
          <w:tcPr>
            <w:tcW w:w="380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specific categories in the rate reconciliation and (2)</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and is assessing the impact to the consolidated</w:t>
            </w:r>
          </w:p>
        </w:tc>
        <w:tc>
          <w:tcPr>
            <w:tcW w:w="0" w:type="dxa"/>
            <w:vAlign w:val="bottom"/>
          </w:tcPr>
          <w:p>
            <w:pPr>
              <w:spacing w:after="0"/>
              <w:rPr>
                <w:sz w:val="1"/>
                <w:szCs w:val="1"/>
                <w:color w:val="auto"/>
              </w:rPr>
            </w:pPr>
          </w:p>
        </w:tc>
      </w:tr>
      <w:tr>
        <w:trPr>
          <w:trHeight w:val="198"/>
        </w:trPr>
        <w:tc>
          <w:tcPr>
            <w:tcW w:w="2400" w:type="dxa"/>
            <w:vAlign w:val="bottom"/>
            <w:tcBorders>
              <w:right w:val="single" w:sz="8" w:color="auto"/>
            </w:tcBorders>
          </w:tcPr>
          <w:p>
            <w:pPr>
              <w:spacing w:after="0"/>
              <w:rPr>
                <w:sz w:val="17"/>
                <w:szCs w:val="17"/>
                <w:color w:val="auto"/>
              </w:rPr>
            </w:pPr>
          </w:p>
        </w:tc>
        <w:tc>
          <w:tcPr>
            <w:tcW w:w="380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provide additional information for reconciling items</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financial statements.</w:t>
            </w:r>
          </w:p>
        </w:tc>
        <w:tc>
          <w:tcPr>
            <w:tcW w:w="0" w:type="dxa"/>
            <w:vAlign w:val="bottom"/>
          </w:tcPr>
          <w:p>
            <w:pPr>
              <w:spacing w:after="0"/>
              <w:rPr>
                <w:sz w:val="1"/>
                <w:szCs w:val="1"/>
                <w:color w:val="auto"/>
              </w:rPr>
            </w:pPr>
          </w:p>
        </w:tc>
      </w:tr>
      <w:tr>
        <w:trPr>
          <w:trHeight w:val="241"/>
        </w:trPr>
        <w:tc>
          <w:tcPr>
            <w:tcW w:w="240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that meet a quantitative threshold.</w:t>
            </w:r>
          </w:p>
        </w:tc>
        <w:tc>
          <w:tcPr>
            <w:tcW w:w="1260" w:type="dxa"/>
            <w:vAlign w:val="bottom"/>
            <w:tcBorders>
              <w:bottom w:val="single" w:sz="8" w:color="auto"/>
              <w:right w:val="single" w:sz="8" w:color="auto"/>
            </w:tcBorders>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4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ASU 2024-03, </w:t>
            </w:r>
            <w:r>
              <w:rPr>
                <w:rFonts w:ascii="Times New Roman" w:cs="Times New Roman" w:eastAsia="Times New Roman" w:hAnsi="Times New Roman"/>
                <w:sz w:val="18"/>
                <w:szCs w:val="18"/>
                <w:i w:val="1"/>
                <w:iCs w:val="1"/>
                <w:color w:val="auto"/>
              </w:rPr>
              <w:t>Income</w:t>
            </w:r>
          </w:p>
        </w:tc>
        <w:tc>
          <w:tcPr>
            <w:tcW w:w="3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This ASU improves the disclosures about a public</w:t>
            </w:r>
          </w:p>
        </w:tc>
        <w:tc>
          <w:tcPr>
            <w:tcW w:w="1260" w:type="dxa"/>
            <w:vAlign w:val="bottom"/>
            <w:tcBorders>
              <w:right w:val="single" w:sz="8" w:color="auto"/>
            </w:tcBorders>
          </w:tcPr>
          <w:p>
            <w:pPr>
              <w:ind w:left="160"/>
              <w:spacing w:after="0" w:line="176" w:lineRule="exact"/>
              <w:rPr>
                <w:sz w:val="20"/>
                <w:szCs w:val="20"/>
                <w:color w:val="auto"/>
              </w:rPr>
            </w:pPr>
            <w:r>
              <w:rPr>
                <w:rFonts w:ascii="Times New Roman" w:cs="Times New Roman" w:eastAsia="Times New Roman" w:hAnsi="Times New Roman"/>
                <w:sz w:val="18"/>
                <w:szCs w:val="18"/>
                <w:color w:val="auto"/>
              </w:rPr>
              <w:t>June 1, 2027</w:t>
            </w:r>
          </w:p>
        </w:tc>
        <w:tc>
          <w:tcPr>
            <w:tcW w:w="3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The Company plans to adopt the new standard for</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Statement-Reporting</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business entity's costs and expenses by requiring</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 fiscal year 2028 and is assessing the impact to</w:t>
            </w:r>
          </w:p>
        </w:tc>
        <w:tc>
          <w:tcPr>
            <w:tcW w:w="0" w:type="dxa"/>
            <w:vAlign w:val="bottom"/>
          </w:tcPr>
          <w:p>
            <w:pPr>
              <w:spacing w:after="0"/>
              <w:rPr>
                <w:sz w:val="1"/>
                <w:szCs w:val="1"/>
                <w:color w:val="auto"/>
              </w:rPr>
            </w:pPr>
          </w:p>
        </w:tc>
      </w:tr>
      <w:tr>
        <w:trPr>
          <w:trHeight w:val="203"/>
        </w:trPr>
        <w:tc>
          <w:tcPr>
            <w:tcW w:w="240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Comprehensive Income-</w:t>
            </w:r>
          </w:p>
        </w:tc>
        <w:tc>
          <w:tcPr>
            <w:tcW w:w="380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the Company to disclose more detailed information</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the consolidated financial statements.</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Expense Disaggregation</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about the types of expenses (including purchases of</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Disclosures (Subtopic 220-04):</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inventory, employee compensation, depreciation,</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Disaggregation of Income</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amortization and depletion) included in each</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Statement Expenses</w:t>
            </w:r>
          </w:p>
        </w:tc>
        <w:tc>
          <w:tcPr>
            <w:tcW w:w="3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relevant income statement caption.</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400" w:type="dxa"/>
            <w:vAlign w:val="bottom"/>
            <w:tcBorders>
              <w:bottom w:val="single" w:sz="8" w:color="auto"/>
              <w:right w:val="single" w:sz="8" w:color="auto"/>
            </w:tcBorders>
          </w:tcPr>
          <w:p>
            <w:pPr>
              <w:spacing w:after="0"/>
              <w:rPr>
                <w:sz w:val="5"/>
                <w:szCs w:val="5"/>
                <w:color w:val="auto"/>
              </w:rPr>
            </w:pPr>
          </w:p>
        </w:tc>
        <w:tc>
          <w:tcPr>
            <w:tcW w:w="3800" w:type="dxa"/>
            <w:vAlign w:val="bottom"/>
            <w:tcBorders>
              <w:bottom w:val="single" w:sz="8" w:color="auto"/>
              <w:right w:val="single" w:sz="8" w:color="auto"/>
            </w:tcBorders>
            <w:vMerge w:val="continue"/>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3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4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ASU 2025-05, </w:t>
            </w:r>
            <w:r>
              <w:rPr>
                <w:rFonts w:ascii="Times New Roman" w:cs="Times New Roman" w:eastAsia="Times New Roman" w:hAnsi="Times New Roman"/>
                <w:sz w:val="18"/>
                <w:szCs w:val="18"/>
                <w:i w:val="1"/>
                <w:iCs w:val="1"/>
                <w:color w:val="auto"/>
              </w:rPr>
              <w:t>Financial</w:t>
            </w:r>
          </w:p>
        </w:tc>
        <w:tc>
          <w:tcPr>
            <w:tcW w:w="3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This ASU addresses challenges encountered when</w:t>
            </w:r>
          </w:p>
        </w:tc>
        <w:tc>
          <w:tcPr>
            <w:tcW w:w="1260" w:type="dxa"/>
            <w:vAlign w:val="bottom"/>
            <w:tcBorders>
              <w:right w:val="single" w:sz="8" w:color="auto"/>
            </w:tcBorders>
          </w:tcPr>
          <w:p>
            <w:pPr>
              <w:ind w:left="160"/>
              <w:spacing w:after="0" w:line="176" w:lineRule="exact"/>
              <w:rPr>
                <w:sz w:val="20"/>
                <w:szCs w:val="20"/>
                <w:color w:val="auto"/>
              </w:rPr>
            </w:pPr>
            <w:r>
              <w:rPr>
                <w:rFonts w:ascii="Times New Roman" w:cs="Times New Roman" w:eastAsia="Times New Roman" w:hAnsi="Times New Roman"/>
                <w:sz w:val="18"/>
                <w:szCs w:val="18"/>
                <w:color w:val="auto"/>
              </w:rPr>
              <w:t>June 1, 2026</w:t>
            </w:r>
          </w:p>
        </w:tc>
        <w:tc>
          <w:tcPr>
            <w:tcW w:w="3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The Company plans to adopt the new standard for</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Instruments-Credit Losses</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applying the guidance to current account receivable</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 fiscal year 2027 and is assessing the impact to</w:t>
            </w:r>
          </w:p>
        </w:tc>
        <w:tc>
          <w:tcPr>
            <w:tcW w:w="0" w:type="dxa"/>
            <w:vAlign w:val="bottom"/>
          </w:tcPr>
          <w:p>
            <w:pPr>
              <w:spacing w:after="0"/>
              <w:rPr>
                <w:sz w:val="1"/>
                <w:szCs w:val="1"/>
                <w:color w:val="auto"/>
              </w:rPr>
            </w:pPr>
          </w:p>
        </w:tc>
      </w:tr>
      <w:tr>
        <w:trPr>
          <w:trHeight w:val="202"/>
        </w:trPr>
        <w:tc>
          <w:tcPr>
            <w:tcW w:w="240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(Topic 326): Measurement of</w:t>
            </w:r>
          </w:p>
        </w:tc>
        <w:tc>
          <w:tcPr>
            <w:tcW w:w="380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and current contract assets arising from transactions</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the consolidated financial statements.</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Credit Losses for Accounts</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accounted for under Topic 606, Revenue from</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Receivable and Contract Assets</w:t>
            </w: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Contracts with Customers.</w:t>
            </w:r>
          </w:p>
        </w:tc>
        <w:tc>
          <w:tcPr>
            <w:tcW w:w="1260" w:type="dxa"/>
            <w:vAlign w:val="bottom"/>
            <w:tcBorders>
              <w:bottom w:val="single" w:sz="8" w:color="auto"/>
              <w:right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since our Annual Report on Form 10-K for fiscal year ended May 31, 2025.</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following information should be read together with the consolidated financial statements and the notes thereto and other information included elsewhere in this quarterly report on Form 10-Q. The following discussion should be read in conjunction with the Company's 2025 Annual Report on Form 10-K, and the consolidated financial statements and notes thereto included elsewhere in the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75"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tariffs,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Other risks and uncertainties include, but are not limited to, the factors described from time to time in our reports filed with the Securities and Exchange Commission (the "SEC").</w:t>
      </w:r>
    </w:p>
    <w:p>
      <w:pPr>
        <w:spacing w:after="0" w:line="13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disclaims any obligation to update the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Trademarks</w:t>
      </w:r>
    </w:p>
    <w:p>
      <w:pPr>
        <w:spacing w:after="0" w:line="175"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 Information on our website or connected to our website is not incorporated by reference into this Quarterly Report on Form 10-Q.</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175"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AngioDynamics is a dynamic, diversified medical technology company committed to expanding treatment options and improving patient outcomes and quality of life by focusing on cardiovascular disease and cancer. Our execution strategy is built on innovative R&amp;D, clinical and regulatory pathway expansion and customer centric sales performance. 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long-term use.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devices; and fluctuations in the global economy.</w:t>
      </w:r>
    </w:p>
    <w:p>
      <w:pPr>
        <w:spacing w:after="0" w:line="12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 make investments in research and development activities and selective business development opportunities to provide growth opportunities.</w:t>
      </w:r>
    </w:p>
    <w:p>
      <w:pPr>
        <w:spacing w:after="0" w:line="12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We sell our products in the United States primarily through a direct sales force, and outside the U.S. mainly through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spacing w:after="0" w:line="126" w:lineRule="exact"/>
        <w:rPr>
          <w:sz w:val="20"/>
          <w:szCs w:val="20"/>
          <w:color w:val="auto"/>
        </w:rPr>
      </w:pPr>
    </w:p>
    <w:p>
      <w:pPr>
        <w:ind w:right="380" w:firstLine="405"/>
        <w:spacing w:after="0" w:line="281" w:lineRule="auto"/>
        <w:rPr>
          <w:sz w:val="20"/>
          <w:szCs w:val="20"/>
          <w:color w:val="auto"/>
        </w:rPr>
      </w:pPr>
      <w:r>
        <w:rPr>
          <w:rFonts w:ascii="Times New Roman" w:cs="Times New Roman" w:eastAsia="Times New Roman" w:hAnsi="Times New Roman"/>
          <w:sz w:val="17"/>
          <w:szCs w:val="17"/>
          <w:color w:val="auto"/>
        </w:rPr>
        <w:t>The current macroeconomic environment continues to impact our business and may continue to pose future risks. The Company's ability to manufacture products, the reliability of our supply chain, labor shortages, backlog, inflation (including the cost and availability of raw materials, direct labor and shipping) and tariffs have impacted our business, trends that may continue. Accordingly, management continues to evaluate the Company’s liquidity position, communicate with and monitor the actions of our customers and suppliers, and review our near-term financial performance.</w:t>
      </w:r>
    </w:p>
    <w:p>
      <w:pPr>
        <w:spacing w:after="0" w:line="164"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In evaluating the operating performance of our business, management focuses on company-wide and segment revenue and gross margin and company-wide operating income, earnings per share and cash flow from operations. A summary of these key financial metrics for the three months ended August 31, 2025 compared to the three months ended August 31, 2024 are as follows: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Three months ended August 31, 2025:</w:t>
      </w:r>
    </w:p>
    <w:p>
      <w:pPr>
        <w:spacing w:after="0" w:line="171"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12.2% to $75.7 million</w:t>
      </w:r>
    </w:p>
    <w:p>
      <w:pPr>
        <w:spacing w:after="0" w:line="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and Med Device growth of 26.1% and 2.3%, respectively</w:t>
      </w:r>
    </w:p>
    <w:p>
      <w:pPr>
        <w:spacing w:after="0" w:line="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increased 90 bps to 55.3%</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gross margin decreased 110 bps to 62.2% and Med Device gross margin increased 120 bps to 49.3%</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decreased by $1.9 million to $10.9 million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decreased by $0.05 to $0.26</w:t>
      </w:r>
    </w:p>
    <w:p>
      <w:pPr>
        <w:spacing w:after="0" w:line="234"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Our Med Tech revenue, comprised of Auryon, the thrombus management platform and NanoKnife, grew 26.1% in the first quarter of fiscal year 2026 driven by Auryon, NanoKnife and the thrombus management products. Our Med Device revenue grew by 2.3% in the first quarter of fiscal year 2026 driven by growth in the Core and Venous product lines which was partially offset by softness in the Ports and Microwave product lines.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ind w:right="40" w:firstLine="405"/>
        <w:spacing w:after="0" w:line="312" w:lineRule="auto"/>
        <w:rPr>
          <w:sz w:val="20"/>
          <w:szCs w:val="20"/>
          <w:color w:val="auto"/>
        </w:rPr>
      </w:pPr>
      <w:r>
        <w:rPr>
          <w:rFonts w:ascii="Times New Roman" w:cs="Times New Roman" w:eastAsia="Times New Roman" w:hAnsi="Times New Roman"/>
          <w:sz w:val="17"/>
          <w:szCs w:val="17"/>
          <w:color w:val="auto"/>
        </w:rPr>
        <w:t>For the three months ended August 31, 2025, the Company reported net loss of $10.9 million, or diluted loss per share of $0.26, on net sales of $75.7 million, compared with a net loss of $12.8 million, or diluted loss per share of $0.31, on net sales of $67.5 million during the same quarter of the prior year.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xml:space="preserve"> - Net sales are derived from the sale of products and related freight charges, less discounts, rebates and returns.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Three Months Ended</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Aug 31, 2025</w:t>
            </w:r>
          </w:p>
        </w:tc>
        <w:tc>
          <w:tcPr>
            <w:tcW w:w="120" w:type="dxa"/>
            <w:vAlign w:val="bottom"/>
          </w:tcPr>
          <w:p>
            <w:pPr>
              <w:spacing w:after="0"/>
              <w:rPr>
                <w:sz w:val="16"/>
                <w:szCs w:val="16"/>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Aug 31, 2024</w:t>
            </w:r>
          </w:p>
        </w:tc>
        <w:tc>
          <w:tcPr>
            <w:tcW w:w="300" w:type="dxa"/>
            <w:vAlign w:val="bottom"/>
          </w:tcPr>
          <w:p>
            <w:pPr>
              <w:spacing w:after="0"/>
              <w:rPr>
                <w:sz w:val="16"/>
                <w:szCs w:val="16"/>
                <w:color w:val="auto"/>
              </w:rPr>
            </w:pPr>
          </w:p>
        </w:tc>
        <w:tc>
          <w:tcPr>
            <w:tcW w:w="1200" w:type="dxa"/>
            <w:vAlign w:val="bottom"/>
          </w:tcPr>
          <w:p>
            <w:pPr>
              <w:jc w:val="right"/>
              <w:ind w:right="395"/>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16"/>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Med Tech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27,969</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Device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23"/>
        </w:trPr>
        <w:tc>
          <w:tcPr>
            <w:tcW w:w="6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75,711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67,491</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1"/>
        </w:trPr>
        <w:tc>
          <w:tcPr>
            <w:tcW w:w="2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5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Aug 31, 2025</w:t>
            </w:r>
          </w:p>
        </w:tc>
        <w:tc>
          <w:tcPr>
            <w:tcW w:w="12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Aug 31, 2024</w:t>
            </w:r>
          </w:p>
        </w:tc>
        <w:tc>
          <w:tcPr>
            <w:tcW w:w="280" w:type="dxa"/>
            <w:vAlign w:val="bottom"/>
          </w:tcPr>
          <w:p>
            <w:pPr>
              <w:spacing w:after="0"/>
              <w:rPr>
                <w:sz w:val="16"/>
                <w:szCs w:val="16"/>
                <w:color w:val="auto"/>
              </w:rPr>
            </w:pPr>
          </w:p>
        </w:tc>
        <w:tc>
          <w:tcPr>
            <w:tcW w:w="1140" w:type="dxa"/>
            <w:vAlign w:val="bottom"/>
          </w:tcPr>
          <w:p>
            <w:pPr>
              <w:jc w:val="right"/>
              <w:ind w:right="355"/>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66,456</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59,481</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75,711</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67,491</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August 31, 2025, net sales increased $8.2 million to $75.7 million compared to the same period in the prior year. At August 31, 2025, the Company had a backlog of $0.4 million.</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Med Tech segment net sales increased $7.3 million for the three months ended August 31, 2025 compared to the same period in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sales from the prior year was primarily driven by:</w:t>
      </w:r>
    </w:p>
    <w:p>
      <w:pPr>
        <w:spacing w:after="0" w:line="15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Auryon sales of $2.7 million;</w:t>
      </w:r>
    </w:p>
    <w:p>
      <w:pPr>
        <w:spacing w:after="0" w:line="27" w:lineRule="exact"/>
        <w:rPr>
          <w:rFonts w:ascii="Times New Roman" w:cs="Times New Roman" w:eastAsia="Times New Roman" w:hAnsi="Times New Roman"/>
          <w:sz w:val="18"/>
          <w:szCs w:val="18"/>
          <w:b w:val="1"/>
          <w:bCs w:val="1"/>
          <w:color w:val="auto"/>
        </w:rPr>
      </w:pPr>
    </w:p>
    <w:p>
      <w:pPr>
        <w:ind w:left="660" w:right="180" w:hanging="328"/>
        <w:spacing w:after="0" w:line="250" w:lineRule="auto"/>
        <w:tabs>
          <w:tab w:leader="none" w:pos="65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sales of the thrombus management platform of $3.2 million, which was driven by an increase in AngioVac and AlphaVac sales of $3.3 million and was partially offset by a decrease in thrombolytic sales of $0.1 million; and</w:t>
      </w:r>
    </w:p>
    <w:p>
      <w:pPr>
        <w:ind w:left="660" w:hanging="328"/>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NanoKnife sales of $1.4 million, which was driven by increased disposable sales.</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Med Device segment net sales increased $0.9 million for the three months ended August 31, 2025 compared to the same period in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backlog, which primarily impacted sales of Core products, was $0.4 million. The change in sales from the prior year was primarily driven by:</w:t>
      </w:r>
    </w:p>
    <w:p>
      <w:pPr>
        <w:spacing w:after="0" w:line="153" w:lineRule="exact"/>
        <w:rPr>
          <w:sz w:val="20"/>
          <w:szCs w:val="20"/>
          <w:color w:val="auto"/>
        </w:rPr>
      </w:pPr>
    </w:p>
    <w:p>
      <w:pPr>
        <w:ind w:left="660" w:right="1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of Venous, Core and Oncology products of $0.7 million, $1.0 million and $0.2 million, respectively, which was partially offset by decreased sales of Ports and Microwave of $0.7 million and $0.2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4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Aug 31, 2025</w:t>
            </w:r>
          </w:p>
        </w:tc>
        <w:tc>
          <w:tcPr>
            <w:tcW w:w="120" w:type="dxa"/>
            <w:vAlign w:val="bottom"/>
          </w:tcPr>
          <w:p>
            <w:pPr>
              <w:spacing w:after="0"/>
              <w:rPr>
                <w:sz w:val="16"/>
                <w:szCs w:val="16"/>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Aug 31, 2024</w:t>
            </w:r>
          </w:p>
        </w:tc>
        <w:tc>
          <w:tcPr>
            <w:tcW w:w="260" w:type="dxa"/>
            <w:vAlign w:val="bottom"/>
          </w:tcPr>
          <w:p>
            <w:pPr>
              <w:spacing w:after="0"/>
              <w:rPr>
                <w:sz w:val="16"/>
                <w:szCs w:val="16"/>
                <w:color w:val="auto"/>
              </w:rPr>
            </w:pPr>
          </w:p>
        </w:tc>
        <w:tc>
          <w:tcPr>
            <w:tcW w:w="1140" w:type="dxa"/>
            <w:vAlign w:val="bottom"/>
          </w:tcPr>
          <w:p>
            <w:pPr>
              <w:jc w:val="right"/>
              <w:ind w:right="335"/>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30"/>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 Tech</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21,922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17,697</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 of sales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 Device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19,935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19,027</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 of sales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41,857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36,724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0" w:type="dxa"/>
            <w:vAlign w:val="bottom"/>
          </w:tcPr>
          <w:p>
            <w:pPr>
              <w:spacing w:after="0"/>
              <w:rPr>
                <w:sz w:val="1"/>
                <w:szCs w:val="1"/>
                <w:color w:val="auto"/>
              </w:rPr>
            </w:pP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 of sales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u w:val="single" w:color="auto"/>
          <w:color w:val="auto"/>
        </w:rPr>
        <w:t>Gross margin</w:t>
      </w:r>
      <w:r>
        <w:rPr>
          <w:rFonts w:ascii="Times New Roman" w:cs="Times New Roman" w:eastAsia="Times New Roman" w:hAnsi="Times New Roman"/>
          <w:sz w:val="18"/>
          <w:szCs w:val="18"/>
          <w:color w:val="auto"/>
        </w:rPr>
        <w:t xml:space="preserve"> - Gross margin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1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Total Company gross margin increased by $5.1 million for the three months ended August 31, 2025 compared to the same period in the prior year. The change from the prior year was primarily driven by:</w:t>
      </w:r>
    </w:p>
    <w:p>
      <w:pPr>
        <w:spacing w:after="0" w:line="10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price and product mix, which positively impacted gross margin by $6.6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from product lines transitioned to third-party manufacturing, which positively impacted gross margin by $0.7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Productivity and other incentives, which positively impacted gross margin $0.3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which negatively impacted gross margin by $1.7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which negatively impacted gross margin by $0.3 million;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on placement units of $0.6 million.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Med Tech segment gross margin increased by $4.2 million for the three months ended August 31, 2025 compared to the same period in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from the prior year was primarily driven by:</w:t>
      </w:r>
    </w:p>
    <w:p>
      <w:pPr>
        <w:spacing w:after="0" w:line="15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production volume and price, which positively impacted gross margin by $6.5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which negatively impacted gross margin by $0.5 million;</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mix and other incentives, which negatively impacted gross margin by $1.0 million;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on placement units of $0.7 million.</w:t>
      </w:r>
    </w:p>
    <w:p>
      <w:pPr>
        <w:spacing w:after="0" w:line="13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Med Device segment gross margin increased by $0.9 million for the three months ended August 31, 2025 compared to the same period in the prior year. The change from the prior year was primarily driven by:</w:t>
      </w:r>
    </w:p>
    <w:p>
      <w:pPr>
        <w:spacing w:after="0" w:line="18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product mix, which positively impacted gross margin by $2.0 million;</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from product lines transitioned to third-party manufacturing, which positively impacted gross margin by $0.7 million;</w:t>
      </w:r>
    </w:p>
    <w:p>
      <w:pPr>
        <w:ind w:left="660" w:hanging="328"/>
        <w:spacing w:after="0" w:line="23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Productivity and other incentives, which positively impacted gross margin by $0.3 million;</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which negatively impacted gross margin by $1.1 million;</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and production volume, which negatively impacted gross margin by $1.1 million;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incremental depreciation on placement units of $0.2 million.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and Other Income (Expense)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Aug 31, 2025</w:t>
            </w:r>
          </w:p>
        </w:tc>
        <w:tc>
          <w:tcPr>
            <w:tcW w:w="120" w:type="dxa"/>
            <w:vAlign w:val="bottom"/>
          </w:tcPr>
          <w:p>
            <w:pPr>
              <w:spacing w:after="0"/>
              <w:rPr>
                <w:sz w:val="16"/>
                <w:szCs w:val="16"/>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Aug 31, 2024</w:t>
            </w:r>
          </w:p>
        </w:tc>
        <w:tc>
          <w:tcPr>
            <w:tcW w:w="260" w:type="dxa"/>
            <w:vAlign w:val="bottom"/>
          </w:tcPr>
          <w:p>
            <w:pPr>
              <w:spacing w:after="0"/>
              <w:rPr>
                <w:sz w:val="16"/>
                <w:szCs w:val="16"/>
                <w:color w:val="auto"/>
              </w:rPr>
            </w:pPr>
          </w:p>
        </w:tc>
        <w:tc>
          <w:tcPr>
            <w:tcW w:w="1140" w:type="dxa"/>
            <w:vAlign w:val="bottom"/>
          </w:tcPr>
          <w:p>
            <w:pPr>
              <w:jc w:val="right"/>
              <w:ind w:right="335"/>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29"/>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6,285</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28,130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25,605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12,555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10,975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u w:val="single" w:color="auto"/>
          <w:color w:val="auto"/>
        </w:rPr>
        <w:t>Research and development expense</w:t>
      </w:r>
      <w:r>
        <w:rPr>
          <w:rFonts w:ascii="Times New Roman" w:cs="Times New Roman" w:eastAsia="Times New Roman" w:hAnsi="Times New Roman"/>
          <w:sz w:val="18"/>
          <w:szCs w:val="18"/>
          <w:color w:val="auto"/>
        </w:rPr>
        <w:t xml:space="preserve"> - R&amp;D expense includes internal and external costs to develop new products, enhance existing products, validate new and enhanced products, and manage clinical, regulatory and medical affairs.</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R&amp;D expense increased $0.1 million for the three months ended August 31, 2025 compared to the same period in the prior year. The change from the prior year was primarily driven by:</w:t>
      </w:r>
    </w:p>
    <w:p>
      <w:pPr>
        <w:spacing w:after="0" w:line="10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expenses, which increased $0.1 million.</w:t>
      </w:r>
    </w:p>
    <w:p>
      <w:pPr>
        <w:spacing w:after="0" w:line="25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u w:val="single" w:color="auto"/>
          <w:color w:val="auto"/>
        </w:rPr>
        <w:t>Sales and marketing expense</w:t>
      </w:r>
      <w:r>
        <w:rPr>
          <w:rFonts w:ascii="Times New Roman" w:cs="Times New Roman" w:eastAsia="Times New Roman" w:hAnsi="Times New Roman"/>
          <w:sz w:val="18"/>
          <w:szCs w:val="18"/>
          <w:color w:val="auto"/>
        </w:rPr>
        <w:t xml:space="preserve"> - Sales and marketing (“S&amp;M”) expense consists primarily of salaries, commissions, travel and related business expenses, attendance at medical society meetings, product promotions and marketing activities.</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S&amp;M expense increased $2.5 million for the three months ending August 31, 2025 compared to the same period in the prior year. The change from the prior year was primarily driven by:</w:t>
      </w:r>
    </w:p>
    <w:p>
      <w:pPr>
        <w:spacing w:after="0" w:line="10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 which increased by $1.8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and other selling expenses, which increased $0.6 million;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shows, subscriptions and other marketing expenses, which increased $0.1 million.</w:t>
      </w:r>
    </w:p>
    <w:p>
      <w:pPr>
        <w:spacing w:after="0" w:line="23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w:t>
      </w:r>
      <w:r>
        <w:rPr>
          <w:rFonts w:ascii="Times New Roman" w:cs="Times New Roman" w:eastAsia="Times New Roman" w:hAnsi="Times New Roman"/>
          <w:sz w:val="18"/>
          <w:szCs w:val="18"/>
          <w:color w:val="auto"/>
        </w:rPr>
        <w:t xml:space="preserve"> - General and administrative (“G&amp;A”) expense includes executive management, finance, information technology, human resources, business development, legal, and the administrative and professional costs associated with those activities.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G&amp;A expense increased $1.6 million for the three months ended August 31, 2025 compared to the same period in the prior year. The change from the prior year was primarily driven by:</w:t>
      </w:r>
    </w:p>
    <w:p>
      <w:pPr>
        <w:spacing w:after="0" w:line="10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expenses, which increased $2.3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outside consultant spend, which decreased $0.3 million;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other corporate expenses, which decreased $0.4 million.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1"/>
        </w:trPr>
        <w:tc>
          <w:tcPr>
            <w:tcW w:w="980" w:type="dxa"/>
            <w:vAlign w:val="bottom"/>
            <w:tcBorders>
              <w:top w:val="single" w:sz="8" w:color="0000FF"/>
            </w:tcBorders>
          </w:tcPr>
          <w:p>
            <w:pPr>
              <w:spacing w:after="0"/>
              <w:rPr>
                <w:sz w:val="24"/>
                <w:szCs w:val="24"/>
                <w:color w:val="auto"/>
              </w:rPr>
            </w:pPr>
          </w:p>
        </w:tc>
        <w:tc>
          <w:tcPr>
            <w:tcW w:w="5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Aug 31, 2025</w:t>
            </w: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Aug 31, 2024</w:t>
            </w:r>
          </w:p>
        </w:tc>
        <w:tc>
          <w:tcPr>
            <w:tcW w:w="28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29"/>
        </w:trPr>
        <w:tc>
          <w:tcPr>
            <w:tcW w:w="6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34"/>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intangibles</w:t>
      </w:r>
      <w:r>
        <w:rPr>
          <w:rFonts w:ascii="Times New Roman" w:cs="Times New Roman" w:eastAsia="Times New Roman" w:hAnsi="Times New Roman"/>
          <w:sz w:val="18"/>
          <w:szCs w:val="18"/>
          <w:color w:val="auto"/>
        </w:rPr>
        <w:t xml:space="preserve"> - Represents the amount of amortization expense that was taken on intangibles assets held by the Company.</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Amortization expense remained consistent with the same period in the prior year.</w:t>
      </w:r>
    </w:p>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t>Change in fair value of contingent consideration</w:t>
      </w:r>
      <w:r>
        <w:rPr>
          <w:rFonts w:ascii="Times New Roman" w:cs="Times New Roman" w:eastAsia="Times New Roman" w:hAnsi="Times New Roman"/>
          <w:sz w:val="18"/>
          <w:szCs w:val="18"/>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08" w:lineRule="exact"/>
        <w:rPr>
          <w:sz w:val="20"/>
          <w:szCs w:val="20"/>
          <w:color w:val="auto"/>
        </w:rPr>
      </w:pPr>
    </w:p>
    <w:p>
      <w:pPr>
        <w:jc w:val="both"/>
        <w:ind w:left="660" w:right="3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fair value for the three months ended August 31, 2025 is related to the Eximo contingent consideration. The final milestone associated with the contingent consideration was reached during the third quarter of fiscal year 2025 and was paid during the fourth quarter of fiscal year 2025.</w:t>
      </w:r>
    </w:p>
    <w:p>
      <w:pPr>
        <w:spacing w:after="0" w:line="12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u w:val="single" w:color="auto"/>
          <w:color w:val="auto"/>
        </w:rPr>
        <w:t>Acquisition, restructuring and other items, net</w:t>
      </w:r>
      <w:r>
        <w:rPr>
          <w:rFonts w:ascii="Times New Roman" w:cs="Times New Roman" w:eastAsia="Times New Roman" w:hAnsi="Times New Roman"/>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-296545</wp:posOffset>
            </wp:positionV>
            <wp:extent cx="473202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32020" cy="128905"/>
                    </a:xfrm>
                    <a:prstGeom prst="rect">
                      <a:avLst/>
                    </a:prstGeom>
                    <a:noFill/>
                  </pic:spPr>
                </pic:pic>
              </a:graphicData>
            </a:graphic>
          </wp:anchor>
        </w:drawing>
      </w:r>
    </w:p>
    <w:p>
      <w:pPr>
        <w:spacing w:after="0" w:line="8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Acquisition, restructuring and other items, net, decreased by $1.6 million for the three months ended August 31, 2025, compared to the same period in the prior year. The change from the prior year was primarily driven by:</w:t>
      </w:r>
    </w:p>
    <w:p>
      <w:pPr>
        <w:spacing w:after="0" w:line="10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 related to litigation that is outside of the normal course of business, which decreased $0.3 million;</w:t>
      </w:r>
    </w:p>
    <w:p>
      <w:pPr>
        <w:spacing w:after="0" w:line="27"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Plant closure expense, related to the restructuring of our manufacturing footprint which was announced on January 5, 2024, which decreased $1.2 million;</w:t>
      </w:r>
    </w:p>
    <w:p>
      <w:pPr>
        <w:ind w:left="660" w:right="10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services agreements that were entered into as a result of the divestiture of the PICCs, Midline, dialysis and BioSentry businesses. The decrease in the fees invoiced was $0.2 million; and</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mainly severance associated with organizational changes, which decreased $0.2 million.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 net</w:t>
      </w:r>
      <w:r>
        <w:rPr>
          <w:rFonts w:ascii="Times New Roman" w:cs="Times New Roman" w:eastAsia="Times New Roman" w:hAnsi="Times New Roman"/>
          <w:sz w:val="18"/>
          <w:szCs w:val="18"/>
          <w:color w:val="auto"/>
        </w:rPr>
        <w:t xml:space="preserve"> - Other expenses include interest expense, foreign currency impacts and bank fees.</w:t>
      </w:r>
    </w:p>
    <w:p>
      <w:pPr>
        <w:spacing w:after="0" w:line="171" w:lineRule="exact"/>
        <w:rPr>
          <w:sz w:val="20"/>
          <w:szCs w:val="20"/>
          <w:color w:val="auto"/>
        </w:rPr>
      </w:pPr>
    </w:p>
    <w:p>
      <w:pPr>
        <w:ind w:left="660" w:right="620" w:hanging="328"/>
        <w:spacing w:after="0" w:line="282" w:lineRule="auto"/>
        <w:tabs>
          <w:tab w:leader="none" w:pos="65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 in other expense of $0.6 million for the three months ended August 31, 2025, compared to the same period in the prior year, is primarily due to decreased interest income of $0.6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4"/>
          </w:tcPr>
          <w:p>
            <w:pPr>
              <w:jc w:val="right"/>
              <w:ind w:right="916"/>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2025</w:t>
            </w:r>
          </w:p>
        </w:tc>
        <w:tc>
          <w:tcPr>
            <w:tcW w:w="260" w:type="dxa"/>
            <w:vAlign w:val="bottom"/>
          </w:tcPr>
          <w:p>
            <w:pPr>
              <w:spacing w:after="0"/>
              <w:rPr>
                <w:sz w:val="16"/>
                <w:szCs w:val="16"/>
                <w:color w:val="auto"/>
              </w:rPr>
            </w:pPr>
          </w:p>
        </w:tc>
        <w:tc>
          <w:tcPr>
            <w:tcW w:w="1300" w:type="dxa"/>
            <w:vAlign w:val="bottom"/>
          </w:tcPr>
          <w:p>
            <w:pPr>
              <w:jc w:val="right"/>
              <w:ind w:right="296"/>
              <w:spacing w:after="0"/>
              <w:rPr>
                <w:sz w:val="20"/>
                <w:szCs w:val="20"/>
                <w:color w:val="auto"/>
              </w:rPr>
            </w:pPr>
            <w:r>
              <w:rPr>
                <w:rFonts w:ascii="Times New Roman" w:cs="Times New Roman" w:eastAsia="Times New Roman" w:hAnsi="Times New Roman"/>
                <w:sz w:val="14"/>
                <w:szCs w:val="14"/>
                <w:color w:val="auto"/>
              </w:rPr>
              <w:t>Aug 31, 2024</w:t>
            </w:r>
          </w:p>
        </w:tc>
        <w:tc>
          <w:tcPr>
            <w:tcW w:w="0" w:type="dxa"/>
            <w:vAlign w:val="bottom"/>
          </w:tcPr>
          <w:p>
            <w:pPr>
              <w:spacing w:after="0"/>
              <w:rPr>
                <w:sz w:val="1"/>
                <w:szCs w:val="1"/>
                <w:color w:val="auto"/>
              </w:rPr>
            </w:pPr>
          </w:p>
        </w:tc>
      </w:tr>
      <w:tr>
        <w:trPr>
          <w:trHeight w:val="230"/>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including discrete items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Our effective tax rate including discrete items for the three months ended August 31, 2025 and August 31, 2024 was (0.6)% and (1.1)%, respectively. In fiscal year 2026, the Company’s effective tax rate differs from the U.S. statutory rate primarily due to the impact of the valuation allowance, foreign taxes, and other non-deductible permanent items (such as non-deductible meals and entertainment, Section 162(m) excess compensation and non-deductible stock-based compensation).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We regularly review our liquidity and anticipated capital requirements and we believe that our current cash on hand provides sufficient liquidity to meet our anticipated needs for capital for at least the next 12 months.</w:t>
      </w:r>
    </w:p>
    <w:p>
      <w:pPr>
        <w:spacing w:after="0" w:line="108"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Our cash and cash equivalents totaled $38.8 million as of August 31, 2025, compared with $55.9 million as of May 31, 2025. As of August 31, 2025 and May 31, 2025 the Company did not have any outstanding debt.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our 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Aug 31, 2025</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Aug 31, 2024</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(21,051)</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quarters ended August 31, 2025 and 2024, cash flows consisted of the following: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operating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August 31, 2025 and 2024:</w:t>
      </w:r>
    </w:p>
    <w:p>
      <w:pPr>
        <w:spacing w:after="0" w:line="171" w:lineRule="exact"/>
        <w:rPr>
          <w:sz w:val="20"/>
          <w:szCs w:val="20"/>
          <w:color w:val="auto"/>
        </w:rPr>
      </w:pPr>
    </w:p>
    <w:p>
      <w:pPr>
        <w:ind w:left="660" w:right="180" w:hanging="328"/>
        <w:spacing w:after="0" w:line="25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$10.9 million and $12.8 million, respectively, plus the non-cash items, primarily driven by depreciation and amortization and stock based compensation, along with the changes in working capital below, contributed to cash used in operations of $15.9 million and $18.3 million, respectively, for these periods.</w:t>
      </w:r>
    </w:p>
    <w:p>
      <w:pPr>
        <w:spacing w:after="0" w:line="1"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ended August 31, 2025, working capital was unfavorably impacted by decreased accounts payable, accrued liabilities and other liabilities of $10.7 million, along with increased inventory and prepaid expenses of $0.2 million and $5.5 million, respectively. This was partially offset by decreased accounts receivable of $0.1 million.</w:t>
      </w:r>
    </w:p>
    <w:p>
      <w:pPr>
        <w:spacing w:after="0" w:line="1" w:lineRule="exact"/>
        <w:rPr>
          <w:rFonts w:ascii="Times New Roman" w:cs="Times New Roman" w:eastAsia="Times New Roman" w:hAnsi="Times New Roman"/>
          <w:sz w:val="18"/>
          <w:szCs w:val="18"/>
          <w:color w:val="auto"/>
        </w:rPr>
      </w:pPr>
    </w:p>
    <w:p>
      <w:pPr>
        <w:ind w:left="660" w:right="140" w:hanging="328"/>
        <w:spacing w:after="0" w:line="255"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ended August 31, 2024, working capital was unfavorably impacted by decreased accounts payable, accrued liabilities and other liabilities of $15.0 million, along with increased inventory and prepaid expenses of $4.1 million and $0.8 million, respectively. This was partially offset by decreased accounts receivable of $3.8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investing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August 31, 2025 and 2024:</w:t>
      </w:r>
    </w:p>
    <w:p>
      <w:pPr>
        <w:spacing w:after="0" w:line="17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and $1.1 million, respectively, of cash was used for fixed asset additions;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and $1.3 million, respectively, of cash was used for Auryon placement and evaluation unit additions.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provided by (used in) financing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August 31, 2025 and 2024:</w:t>
      </w:r>
    </w:p>
    <w:p>
      <w:pPr>
        <w:spacing w:after="0" w:line="17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of principal payments on the financing arrangements in the first quarter of fiscal year 2026;</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of proceeds from stock option and ESPP activity in the first quarter of fiscal year 2026;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of cash was used for the repurchase of commons shares in the first quarter of fiscal year 2025.</w:t>
      </w:r>
    </w:p>
    <w:p>
      <w:pPr>
        <w:spacing w:after="0" w:line="153"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We believe that our current cash balance, together with cash generated from operations and the Revolving Facility will provide sufficient liquidity to meet our anticipated needs for capital for at least the next 12 months. If we seek to make acquisitions of other businesses or technologies in the future for cash, we may require external financing.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75"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Information regarding new accounting pronouncements is included in Note 16 to our consolidated financial statements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75"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currency exchange rates and investments that could impact our results of operations and financial position.</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transact sales in currencies other than the U.S. Dollar, particularly the Euro, British Pound and Canadian Dollar. For the three months ended August 31, 2025, approximately 3.2% of our sales were denominated in foreign currencies. We do not have expenses denominated in foreign currencies at the level of our sales and as a result, our profitability is exposed to currency fluctuations. When the U.S. Dollar strengthens, our sales and gross margin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risk associated with fluctuating interest rates is primarily limited to indebtedness. As of August 31, 2025, the Company did not have any outstanding debt (see Note 6, "Long-Term Debt" set forth in the Notes in the consolidated financial statements included in this Annual Report on Form 10-K).</w:t>
      </w:r>
    </w:p>
    <w:p>
      <w:pPr>
        <w:spacing w:after="0" w:line="122" w:lineRule="exact"/>
        <w:rPr>
          <w:sz w:val="20"/>
          <w:szCs w:val="20"/>
          <w:color w:val="auto"/>
        </w:rPr>
      </w:pPr>
    </w:p>
    <w:p>
      <w:pPr>
        <w:ind w:right="60" w:firstLine="405"/>
        <w:spacing w:after="0" w:line="276" w:lineRule="auto"/>
        <w:rPr>
          <w:sz w:val="20"/>
          <w:szCs w:val="20"/>
          <w:color w:val="auto"/>
        </w:rPr>
      </w:pPr>
      <w:r>
        <w:rPr>
          <w:rFonts w:ascii="Times New Roman" w:cs="Times New Roman" w:eastAsia="Times New Roman" w:hAnsi="Times New Roman"/>
          <w:sz w:val="17"/>
          <w:szCs w:val="17"/>
          <w:color w:val="auto"/>
        </w:rPr>
        <w:t>The Credit Agreement provides for a $25.0 million secured revolving credit facility. Interest on the Revolving Facility will be based, at the Company's option, on a rate equal to (i) the Secured Overnight Financing Rate ("SOFR") plus 0.1% (subject to a floor of 0%) ("Adjusted Term SOFR"), or</w:t>
      </w:r>
    </w:p>
    <w:p>
      <w:pPr>
        <w:spacing w:after="0" w:line="1" w:lineRule="exact"/>
        <w:rPr>
          <w:sz w:val="20"/>
          <w:szCs w:val="20"/>
          <w:color w:val="auto"/>
        </w:rPr>
      </w:pPr>
    </w:p>
    <w:p>
      <w:pPr>
        <w:ind w:right="40" w:firstLine="8"/>
        <w:spacing w:after="0" w:line="255" w:lineRule="auto"/>
        <w:tabs>
          <w:tab w:leader="none" w:pos="2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alternate base rate (subject to a floor of 0%) ("ABR"), and in each case with a margin for Adjusted Term SOFR loans of 2.0% and for ABR loans of 1.0%. The Revolving Facility will also carry a commitment fee of 0.2% per annum. As of August 31, 2025 there were no amounts outstanding on the Revolving Facility.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ind w:right="760" w:firstLine="405"/>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concentrations of credit risk, consist primarily of cash and cash equivalents and trade accounts receivable.</w:t>
      </w:r>
    </w:p>
    <w:p>
      <w:pPr>
        <w:spacing w:after="0" w:line="108"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Company maintains cash and cash equivalents at various institutions and performs periodic evaluations of the relative credit standings of these financial institutions to ensure their credit worthiness.</w:t>
      </w:r>
    </w:p>
    <w:p>
      <w:pPr>
        <w:spacing w:after="0" w:line="10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for the fiscal quarter ended August 31, 2025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640" w:firstLine="389"/>
        <w:spacing w:after="0" w:line="282" w:lineRule="auto"/>
        <w:rPr>
          <w:sz w:val="20"/>
          <w:szCs w:val="20"/>
          <w:color w:val="auto"/>
        </w:rPr>
      </w:pPr>
      <w:r>
        <w:rPr>
          <w:rFonts w:ascii="Times New Roman" w:cs="Times New Roman" w:eastAsia="Times New Roman" w:hAnsi="Times New Roman"/>
          <w:sz w:val="18"/>
          <w:szCs w:val="18"/>
          <w:color w:val="auto"/>
        </w:rPr>
        <w:t>See Note 14 "Commitments and Contingencies" set forth in the notes to our consolidated financial statements included in Part I, Item I of this Quarterly Report on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In addition to information set forth in this report, you should carefully consider the factors discussed in “Part I, Item 1A. Risk Factors” of our annual report on Form 10-K for our fiscal year ended May 31, 2025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the Company’s common stock repurchased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31,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Issuer Purchases of Equity Securities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4"/>
              </w:rPr>
              <w:t>Total</w:t>
            </w:r>
          </w:p>
        </w:tc>
        <w:tc>
          <w:tcPr>
            <w:tcW w:w="160" w:type="dxa"/>
            <w:vAlign w:val="bottom"/>
          </w:tcPr>
          <w:p>
            <w:pPr>
              <w:spacing w:after="0"/>
              <w:rPr>
                <w:sz w:val="11"/>
                <w:szCs w:val="11"/>
                <w:color w:val="auto"/>
              </w:rPr>
            </w:pPr>
          </w:p>
        </w:tc>
        <w:tc>
          <w:tcPr>
            <w:tcW w:w="1160" w:type="dxa"/>
            <w:vAlign w:val="bottom"/>
          </w:tcPr>
          <w:p>
            <w:pPr>
              <w:jc w:val="center"/>
              <w:ind w:right="82"/>
              <w:spacing w:after="0" w:line="133" w:lineRule="exact"/>
              <w:rPr>
                <w:sz w:val="20"/>
                <w:szCs w:val="20"/>
                <w:color w:val="auto"/>
              </w:rPr>
            </w:pPr>
            <w:r>
              <w:rPr>
                <w:rFonts w:ascii="Times New Roman" w:cs="Times New Roman" w:eastAsia="Times New Roman" w:hAnsi="Times New Roman"/>
                <w:sz w:val="14"/>
                <w:szCs w:val="14"/>
                <w:color w:val="auto"/>
              </w:rPr>
              <w:t>Maximum</w:t>
            </w: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2"/>
              <w:spacing w:after="0" w:line="145" w:lineRule="exact"/>
              <w:rPr>
                <w:sz w:val="20"/>
                <w:szCs w:val="20"/>
                <w:color w:val="auto"/>
              </w:rPr>
            </w:pPr>
            <w:r>
              <w:rPr>
                <w:rFonts w:ascii="Times New Roman" w:cs="Times New Roman" w:eastAsia="Times New Roman" w:hAnsi="Times New Roman"/>
                <w:sz w:val="14"/>
                <w:szCs w:val="14"/>
                <w:color w:val="auto"/>
              </w:rPr>
              <w:t>Approximate</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w w:val="98"/>
              </w:rPr>
              <w:t>Dollar Value</w:t>
            </w:r>
          </w:p>
        </w:tc>
        <w:tc>
          <w:tcPr>
            <w:tcW w:w="0" w:type="dxa"/>
            <w:vAlign w:val="bottom"/>
          </w:tcPr>
          <w:p>
            <w:pPr>
              <w:spacing w:after="0"/>
              <w:rPr>
                <w:sz w:val="1"/>
                <w:szCs w:val="1"/>
                <w:color w:val="auto"/>
              </w:rPr>
            </w:pPr>
          </w:p>
        </w:tc>
      </w:tr>
      <w:tr>
        <w:trPr>
          <w:trHeight w:val="139"/>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1160" w:type="dxa"/>
            <w:vAlign w:val="bottom"/>
          </w:tcPr>
          <w:p>
            <w:pPr>
              <w:jc w:val="center"/>
              <w:ind w:right="102"/>
              <w:spacing w:after="0" w:line="139" w:lineRule="exact"/>
              <w:rPr>
                <w:sz w:val="20"/>
                <w:szCs w:val="20"/>
                <w:color w:val="auto"/>
              </w:rPr>
            </w:pPr>
            <w:r>
              <w:rPr>
                <w:rFonts w:ascii="Times New Roman" w:cs="Times New Roman" w:eastAsia="Times New Roman" w:hAnsi="Times New Roman"/>
                <w:sz w:val="14"/>
                <w:szCs w:val="14"/>
                <w:color w:val="auto"/>
              </w:rPr>
              <w:t>of Shares</w:t>
            </w: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rPr>
              <w:t>Purchased</w:t>
            </w:r>
          </w:p>
        </w:tc>
        <w:tc>
          <w:tcPr>
            <w:tcW w:w="160" w:type="dxa"/>
            <w:vAlign w:val="bottom"/>
          </w:tcPr>
          <w:p>
            <w:pPr>
              <w:spacing w:after="0"/>
              <w:rPr>
                <w:sz w:val="12"/>
                <w:szCs w:val="12"/>
                <w:color w:val="auto"/>
              </w:rPr>
            </w:pPr>
          </w:p>
        </w:tc>
        <w:tc>
          <w:tcPr>
            <w:tcW w:w="1160" w:type="dxa"/>
            <w:vAlign w:val="bottom"/>
          </w:tcPr>
          <w:p>
            <w:pPr>
              <w:jc w:val="center"/>
              <w:ind w:right="82"/>
              <w:spacing w:after="0" w:line="145" w:lineRule="exact"/>
              <w:rPr>
                <w:sz w:val="20"/>
                <w:szCs w:val="20"/>
                <w:color w:val="auto"/>
              </w:rPr>
            </w:pPr>
            <w:r>
              <w:rPr>
                <w:rFonts w:ascii="Times New Roman" w:cs="Times New Roman" w:eastAsia="Times New Roman" w:hAnsi="Times New Roman"/>
                <w:sz w:val="14"/>
                <w:szCs w:val="14"/>
                <w:color w:val="auto"/>
              </w:rPr>
              <w:t>that May Yet</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Average</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as Part of</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Be</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Number of</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Publicly</w:t>
            </w:r>
          </w:p>
        </w:tc>
        <w:tc>
          <w:tcPr>
            <w:tcW w:w="160" w:type="dxa"/>
            <w:vAlign w:val="bottom"/>
          </w:tcPr>
          <w:p>
            <w:pPr>
              <w:spacing w:after="0"/>
              <w:rPr>
                <w:sz w:val="11"/>
                <w:szCs w:val="11"/>
                <w:color w:val="auto"/>
              </w:rPr>
            </w:pPr>
          </w:p>
        </w:tc>
        <w:tc>
          <w:tcPr>
            <w:tcW w:w="116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4"/>
                <w:szCs w:val="14"/>
                <w:color w:val="auto"/>
              </w:rPr>
              <w:t>Purchased</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Price Paid</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Announced</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Under Plans</w:t>
            </w:r>
          </w:p>
        </w:tc>
        <w:tc>
          <w:tcPr>
            <w:tcW w:w="0" w:type="dxa"/>
            <w:vAlign w:val="bottom"/>
          </w:tcPr>
          <w:p>
            <w:pPr>
              <w:spacing w:after="0"/>
              <w:rPr>
                <w:sz w:val="1"/>
                <w:szCs w:val="1"/>
                <w:color w:val="auto"/>
              </w:rPr>
            </w:pPr>
          </w:p>
        </w:tc>
      </w:tr>
      <w:tr>
        <w:trPr>
          <w:trHeight w:val="198"/>
        </w:trPr>
        <w:tc>
          <w:tcPr>
            <w:tcW w:w="64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Purchased (1)</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 Share</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Programs (2)</w:t>
            </w:r>
          </w:p>
        </w:tc>
        <w:tc>
          <w:tcPr>
            <w:tcW w:w="160" w:type="dxa"/>
            <w:vAlign w:val="bottom"/>
          </w:tcPr>
          <w:p>
            <w:pPr>
              <w:spacing w:after="0"/>
              <w:rPr>
                <w:sz w:val="17"/>
                <w:szCs w:val="17"/>
                <w:color w:val="auto"/>
              </w:rPr>
            </w:pPr>
          </w:p>
        </w:tc>
        <w:tc>
          <w:tcPr>
            <w:tcW w:w="1160" w:type="dxa"/>
            <w:vAlign w:val="bottom"/>
          </w:tcPr>
          <w:p>
            <w:pPr>
              <w:jc w:val="center"/>
              <w:ind w:right="82"/>
              <w:spacing w:after="0"/>
              <w:rPr>
                <w:sz w:val="20"/>
                <w:szCs w:val="20"/>
                <w:color w:val="auto"/>
              </w:rPr>
            </w:pPr>
            <w:r>
              <w:rPr>
                <w:rFonts w:ascii="Times New Roman" w:cs="Times New Roman" w:eastAsia="Times New Roman" w:hAnsi="Times New Roman"/>
                <w:sz w:val="14"/>
                <w:szCs w:val="14"/>
                <w:color w:val="auto"/>
              </w:rPr>
              <w:t>or Programs (2)</w:t>
            </w:r>
          </w:p>
        </w:tc>
        <w:tc>
          <w:tcPr>
            <w:tcW w:w="0" w:type="dxa"/>
            <w:vAlign w:val="bottom"/>
          </w:tcPr>
          <w:p>
            <w:pPr>
              <w:spacing w:after="0"/>
              <w:rPr>
                <w:sz w:val="1"/>
                <w:szCs w:val="1"/>
                <w:color w:val="auto"/>
              </w:rPr>
            </w:pPr>
          </w:p>
        </w:tc>
      </w:tr>
      <w:tr>
        <w:trPr>
          <w:trHeight w:val="228"/>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2025 - June 30, 2025</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1, 2025 - July 31, 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2025 - August 31, 2025</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54,406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580" w:hanging="329"/>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were purchased from employees to satisfy tax withholding requirements on the vesting of restricted shares/units from equity-based awards.</w:t>
      </w:r>
    </w:p>
    <w:p>
      <w:pPr>
        <w:spacing w:after="0" w:line="23" w:lineRule="exact"/>
        <w:rPr>
          <w:rFonts w:ascii="Times New Roman" w:cs="Times New Roman" w:eastAsia="Times New Roman" w:hAnsi="Times New Roman"/>
          <w:sz w:val="16"/>
          <w:szCs w:val="16"/>
          <w:color w:val="auto"/>
        </w:rPr>
      </w:pPr>
    </w:p>
    <w:p>
      <w:pPr>
        <w:ind w:left="580" w:right="160" w:hanging="329"/>
        <w:spacing w:after="0" w:line="260" w:lineRule="auto"/>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Repurchase Program that was approved by the Board of Directors and announced on July 16, 2024 permits the Company to repurchase up to $15.0 million of its outstanding common stock. The timing and amount of any share repurchases under the authorization will be determined by management within certain parameters and based on market conditions and other considerations.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on Senior Securities.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Insider Trading Arrangements</w:t>
      </w:r>
    </w:p>
    <w:p>
      <w:pPr>
        <w:spacing w:after="0" w:line="117" w:lineRule="exact"/>
        <w:rPr>
          <w:sz w:val="20"/>
          <w:szCs w:val="20"/>
          <w:color w:val="auto"/>
        </w:rPr>
      </w:pPr>
    </w:p>
    <w:p>
      <w:pPr>
        <w:jc w:val="both"/>
        <w:ind w:right="360" w:firstLine="445"/>
        <w:spacing w:after="0" w:line="266" w:lineRule="auto"/>
        <w:rPr>
          <w:sz w:val="20"/>
          <w:szCs w:val="20"/>
          <w:color w:val="auto"/>
        </w:rPr>
      </w:pPr>
      <w:r>
        <w:rPr>
          <w:rFonts w:ascii="Times New Roman" w:cs="Times New Roman" w:eastAsia="Times New Roman" w:hAnsi="Times New Roman"/>
          <w:sz w:val="18"/>
          <w:szCs w:val="18"/>
          <w:color w:val="auto"/>
        </w:rPr>
        <w:t>During the quarter ended August 31, 2025, none of our directors or officers (as defined in Section 16 of the Securities Exchange Act of 1934, as amended) or the Company adopted or terminated a "Rule 10b5-1 trading arrangement" or a "non-Rule 10b5-1 trading arrangement" (each as defined in Item 408(a) and (c), respectively, of Regulation S-K).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6"/>
        </w:trPr>
        <w:tc>
          <w:tcPr>
            <w:tcW w:w="1060" w:type="dxa"/>
            <w:vAlign w:val="bottom"/>
          </w:tcPr>
          <w:p>
            <w:pPr>
              <w:spacing w:after="0"/>
              <w:rPr>
                <w:sz w:val="22"/>
                <w:szCs w:val="22"/>
                <w:color w:val="auto"/>
              </w:rPr>
            </w:pPr>
          </w:p>
        </w:tc>
        <w:tc>
          <w:tcPr>
            <w:tcW w:w="4600" w:type="dxa"/>
            <w:vAlign w:val="bottom"/>
            <w:gridSpan w:val="7"/>
          </w:tcPr>
          <w:p>
            <w:pPr>
              <w:ind w:left="15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48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580" w:type="dxa"/>
            <w:vAlign w:val="bottom"/>
            <w:tcBorders>
              <w:bottom w:val="single" w:sz="8" w:color="auto"/>
            </w:tcBorders>
          </w:tcPr>
          <w:p>
            <w:pPr>
              <w:spacing w:after="0"/>
              <w:rPr>
                <w:sz w:val="22"/>
                <w:szCs w:val="22"/>
                <w:color w:val="auto"/>
              </w:rPr>
            </w:pPr>
          </w:p>
        </w:tc>
      </w:tr>
      <w:tr>
        <w:trPr>
          <w:trHeight w:val="223"/>
        </w:trPr>
        <w:tc>
          <w:tcPr>
            <w:tcW w:w="10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No.</w:t>
            </w:r>
          </w:p>
        </w:tc>
        <w:tc>
          <w:tcPr>
            <w:tcW w:w="4600" w:type="dxa"/>
            <w:vAlign w:val="bottom"/>
            <w:tcBorders>
              <w:bottom w:val="single" w:sz="8" w:color="auto"/>
            </w:tcBorders>
            <w:gridSpan w:val="7"/>
          </w:tcPr>
          <w:p>
            <w:pPr>
              <w:ind w:left="18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Form</w:t>
            </w:r>
          </w:p>
        </w:tc>
        <w:tc>
          <w:tcPr>
            <w:tcW w:w="25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Exhibit</w:t>
            </w:r>
          </w:p>
        </w:tc>
        <w:tc>
          <w:tcPr>
            <w:tcW w:w="1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Filing Date</w:t>
            </w:r>
          </w:p>
        </w:tc>
      </w:tr>
      <w:tr>
        <w:trPr>
          <w:trHeight w:val="43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15d-14 under the</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5"/>
        </w:trPr>
        <w:tc>
          <w:tcPr>
            <w:tcW w:w="1060" w:type="dxa"/>
            <w:vAlign w:val="bottom"/>
          </w:tcPr>
          <w:p>
            <w:pPr>
              <w:spacing w:after="0"/>
              <w:rPr>
                <w:sz w:val="13"/>
                <w:szCs w:val="13"/>
                <w:color w:val="auto"/>
              </w:rPr>
            </w:pPr>
          </w:p>
        </w:tc>
        <w:tc>
          <w:tcPr>
            <w:tcW w:w="43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9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15d-14 under the</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3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9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Title 18,</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36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Section 1350, as adopted pursuant to</w:t>
            </w: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12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200" w:type="dxa"/>
            <w:vAlign w:val="bottom"/>
          </w:tcPr>
          <w:p>
            <w:pPr>
              <w:spacing w:after="0"/>
              <w:rPr>
                <w:sz w:val="14"/>
                <w:szCs w:val="14"/>
                <w:color w:val="auto"/>
              </w:rPr>
            </w:pPr>
          </w:p>
        </w:tc>
        <w:tc>
          <w:tcPr>
            <w:tcW w:w="280" w:type="dxa"/>
            <w:vAlign w:val="bottom"/>
            <w:gridSpan w:val="3"/>
          </w:tcPr>
          <w:p>
            <w:pPr>
              <w:spacing w:after="0"/>
              <w:rPr>
                <w:sz w:val="14"/>
                <w:szCs w:val="14"/>
                <w:color w:val="auto"/>
              </w:rPr>
            </w:pPr>
          </w:p>
        </w:tc>
        <w:tc>
          <w:tcPr>
            <w:tcW w:w="14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7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Title 18,</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32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Section 1350, as adopted pursuant to</w:t>
            </w:r>
          </w:p>
        </w:tc>
        <w:tc>
          <w:tcPr>
            <w:tcW w:w="280" w:type="dxa"/>
            <w:vAlign w:val="bottom"/>
            <w:gridSpan w:val="3"/>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12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80" w:type="dxa"/>
            <w:vAlign w:val="bottom"/>
            <w:gridSpan w:val="4"/>
          </w:tcPr>
          <w:p>
            <w:pPr>
              <w:spacing w:after="0"/>
              <w:rPr>
                <w:sz w:val="14"/>
                <w:szCs w:val="14"/>
                <w:color w:val="auto"/>
              </w:rPr>
            </w:pPr>
          </w:p>
        </w:tc>
        <w:tc>
          <w:tcPr>
            <w:tcW w:w="14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6"/>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4"/>
        </w:trPr>
        <w:tc>
          <w:tcPr>
            <w:tcW w:w="1060" w:type="dxa"/>
            <w:vAlign w:val="bottom"/>
          </w:tcPr>
          <w:p>
            <w:pPr>
              <w:spacing w:after="0"/>
              <w:rPr>
                <w:sz w:val="16"/>
                <w:szCs w:val="16"/>
                <w:color w:val="auto"/>
              </w:rPr>
            </w:pPr>
          </w:p>
        </w:tc>
        <w:tc>
          <w:tcPr>
            <w:tcW w:w="46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file because its XBRL tags are embedded within the inline</w:t>
            </w:r>
          </w:p>
        </w:tc>
        <w:tc>
          <w:tcPr>
            <w:tcW w:w="1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4"/>
        </w:trPr>
        <w:tc>
          <w:tcPr>
            <w:tcW w:w="1060" w:type="dxa"/>
            <w:vAlign w:val="bottom"/>
          </w:tcPr>
          <w:p>
            <w:pPr>
              <w:spacing w:after="0"/>
              <w:rPr>
                <w:sz w:val="20"/>
                <w:szCs w:val="20"/>
                <w:color w:val="auto"/>
              </w:rPr>
            </w:pP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9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Schema Document</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9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Calculation Linkbase Documents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Labels Linkbase Documents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Presentation Linkbase Documents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ANGIODYNAMICS, INC.</w:t>
            </w:r>
          </w:p>
        </w:tc>
      </w:tr>
      <w:tr>
        <w:trPr>
          <w:trHeight w:val="234"/>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October 2, 2025</w:t>
            </w:r>
          </w:p>
        </w:tc>
        <w:tc>
          <w:tcPr>
            <w:tcW w:w="798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 S /  JAMES C. CLEMMER</w:t>
            </w:r>
          </w:p>
        </w:tc>
      </w:tr>
      <w:tr>
        <w:trPr>
          <w:trHeight w:val="176"/>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James C. Clemmer, President,</w:t>
            </w:r>
          </w:p>
        </w:tc>
      </w:tr>
      <w:tr>
        <w:trPr>
          <w:trHeight w:val="180"/>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8"/>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49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October 2, 2025</w:t>
            </w:r>
          </w:p>
        </w:tc>
        <w:tc>
          <w:tcPr>
            <w:tcW w:w="7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S /  STEPHEN A. TROWBRIDGE</w:t>
            </w:r>
          </w:p>
        </w:tc>
      </w:tr>
      <w:tr>
        <w:trPr>
          <w:trHeight w:val="169"/>
        </w:trPr>
        <w:tc>
          <w:tcPr>
            <w:tcW w:w="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9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Stephen A. Trowbridge, Executive Vice President,</w:t>
            </w:r>
          </w:p>
        </w:tc>
      </w:tr>
      <w:tr>
        <w:trPr>
          <w:trHeight w:val="180"/>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118" w:right="49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Clemmer, certify that:</w:t>
      </w:r>
    </w:p>
    <w:p>
      <w:pPr>
        <w:spacing w:after="0" w:line="50" w:lineRule="exact"/>
        <w:rPr>
          <w:sz w:val="20"/>
          <w:szCs w:val="20"/>
          <w:color w:val="auto"/>
        </w:rPr>
      </w:pPr>
    </w:p>
    <w:p>
      <w:pPr>
        <w:ind w:left="540" w:hanging="49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27" w:lineRule="exact"/>
        <w:rPr>
          <w:rFonts w:ascii="Times New Roman" w:cs="Times New Roman" w:eastAsia="Times New Roman" w:hAnsi="Times New Roman"/>
          <w:sz w:val="18"/>
          <w:szCs w:val="18"/>
          <w:color w:val="auto"/>
        </w:rPr>
      </w:pPr>
    </w:p>
    <w:p>
      <w:pPr>
        <w:jc w:val="both"/>
        <w:ind w:left="540" w:right="220" w:hanging="494"/>
        <w:spacing w:after="0" w:line="229"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40" w:right="200" w:hanging="494"/>
        <w:spacing w:after="0" w:line="234"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ind w:left="540" w:right="220" w:hanging="494"/>
        <w:spacing w:after="0" w:line="231"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40" w:right="480" w:hanging="494"/>
        <w:spacing w:after="0" w:line="229"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540" w:right="180" w:hanging="494"/>
        <w:spacing w:after="0" w:line="229"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540" w:right="960" w:hanging="494"/>
        <w:spacing w:after="0" w:line="234"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ind w:left="540" w:right="80" w:hanging="494"/>
        <w:spacing w:after="0" w:line="231"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40" w:right="140" w:hanging="494"/>
        <w:spacing w:after="0" w:line="234"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sz w:val="20"/>
          <w:szCs w:val="20"/>
          <w:color w:val="auto"/>
        </w:rPr>
      </w:pPr>
    </w:p>
    <w:p>
      <w:pPr>
        <w:ind w:left="540" w:right="380" w:hanging="494"/>
        <w:spacing w:after="0" w:line="237"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540" w:right="360" w:hanging="494"/>
        <w:spacing w:after="0" w:line="237"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 2025</w:t>
      </w:r>
    </w:p>
    <w:p>
      <w:pPr>
        <w:spacing w:after="0" w:line="252" w:lineRule="exact"/>
        <w:rPr>
          <w:sz w:val="20"/>
          <w:szCs w:val="20"/>
          <w:color w:val="auto"/>
        </w:rPr>
      </w:pPr>
    </w:p>
    <w:p>
      <w:pPr>
        <w:ind w:right="9080" w:firstLine="8"/>
        <w:spacing w:after="0" w:line="289" w:lineRule="auto"/>
        <w:tabs>
          <w:tab w:leader="none" w:pos="95" w:val="left"/>
        </w:tabs>
        <w:numPr>
          <w:ilvl w:val="0"/>
          <w:numId w:val="33"/>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 xml:space="preserve">S / JAMES C. CLEMMER </w:t>
      </w:r>
      <w:r>
        <w:rPr>
          <w:rFonts w:ascii="Times New Roman" w:cs="Times New Roman" w:eastAsia="Times New Roman" w:hAnsi="Times New Roman"/>
          <w:sz w:val="17"/>
          <w:szCs w:val="17"/>
          <w:color w:val="auto"/>
        </w:rPr>
        <w:t>James C. Clemmer, President, Chief Executive Officer</w:t>
      </w:r>
    </w:p>
    <w:p>
      <w:pPr>
        <w:sectPr>
          <w:pgSz w:w="11900" w:h="16838" w:orient="portrait"/>
          <w:cols w:equalWidth="0" w:num="1">
            <w:col w:w="11240"/>
          </w:cols>
          <w:pgMar w:left="320" w:top="88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Trowbridge, certify that:</w:t>
      </w:r>
    </w:p>
    <w:p>
      <w:pPr>
        <w:spacing w:after="0" w:line="50" w:lineRule="exact"/>
        <w:rPr>
          <w:sz w:val="20"/>
          <w:szCs w:val="20"/>
          <w:color w:val="auto"/>
        </w:rPr>
      </w:pPr>
    </w:p>
    <w:p>
      <w:pPr>
        <w:ind w:left="520" w:hanging="494"/>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27" w:lineRule="exact"/>
        <w:rPr>
          <w:rFonts w:ascii="Times New Roman" w:cs="Times New Roman" w:eastAsia="Times New Roman" w:hAnsi="Times New Roman"/>
          <w:sz w:val="18"/>
          <w:szCs w:val="18"/>
          <w:color w:val="auto"/>
        </w:rPr>
      </w:pPr>
    </w:p>
    <w:p>
      <w:pPr>
        <w:jc w:val="both"/>
        <w:ind w:left="520" w:right="240" w:hanging="494"/>
        <w:spacing w:after="0" w:line="229"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20" w:right="220" w:hanging="494"/>
        <w:spacing w:after="0" w:line="234"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ind w:left="520" w:right="240" w:hanging="494"/>
        <w:spacing w:after="0" w:line="231"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20" w:right="500" w:hanging="494"/>
        <w:spacing w:after="0" w:line="229"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520" w:right="200" w:hanging="494"/>
        <w:spacing w:after="0" w:line="229"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520" w:right="980" w:hanging="494"/>
        <w:spacing w:after="0" w:line="234"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ind w:left="520" w:right="100" w:hanging="494"/>
        <w:spacing w:after="0" w:line="23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20" w:right="160" w:hanging="494"/>
        <w:spacing w:after="0" w:line="234"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sz w:val="20"/>
          <w:szCs w:val="20"/>
          <w:color w:val="auto"/>
        </w:rPr>
      </w:pPr>
    </w:p>
    <w:p>
      <w:pPr>
        <w:ind w:left="520" w:right="400" w:hanging="494"/>
        <w:spacing w:after="0" w:line="237"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520" w:right="380" w:hanging="494"/>
        <w:spacing w:after="0" w:line="237"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S / STEPHEN A. TROWBRIDGE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6" w:lineRule="exact"/>
        <w:rPr>
          <w:sz w:val="20"/>
          <w:szCs w:val="20"/>
          <w:color w:val="auto"/>
        </w:rPr>
      </w:pPr>
    </w:p>
    <w:p>
      <w:pPr>
        <w:jc w:val="center"/>
        <w:ind w:left="340" w:right="2560"/>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TITLE 18, UNITED STATES CODE, SECTION 1350, AS ADOPTED PURSUANT TO SECTION 906 OF THE SARBANES-OXLEY ACT OF 2002</w:t>
      </w:r>
    </w:p>
    <w:p>
      <w:pPr>
        <w:spacing w:after="0" w:line="2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 James C. Clemmer, President, Chief Executive Officer and Director of ANGIODYNAMICS, Inc. (the "Company"), certify, pursuant to Section 906 of the Sarbanes-Oxley Act of 2002, 18 U.S.C. Section 1350, that, to the best of my knowledge:</w:t>
      </w:r>
    </w:p>
    <w:p>
      <w:pPr>
        <w:spacing w:after="0" w:line="229" w:lineRule="exact"/>
        <w:rPr>
          <w:sz w:val="20"/>
          <w:szCs w:val="20"/>
          <w:color w:val="auto"/>
        </w:rPr>
      </w:pPr>
    </w:p>
    <w:p>
      <w:pPr>
        <w:ind w:left="540" w:right="40" w:hanging="494"/>
        <w:spacing w:after="0" w:line="237"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August 31, 2025 (the "Report") fully complies with the requirements of Section 13(a) or 15(d) of the Securities Exchange Act of 1934 (15 U.S.C. 78m or 78o(d)); and</w:t>
      </w:r>
    </w:p>
    <w:p>
      <w:pPr>
        <w:spacing w:after="0" w:line="9" w:lineRule="exact"/>
        <w:rPr>
          <w:rFonts w:ascii="Times New Roman" w:cs="Times New Roman" w:eastAsia="Times New Roman" w:hAnsi="Times New Roman"/>
          <w:sz w:val="18"/>
          <w:szCs w:val="18"/>
          <w:color w:val="auto"/>
        </w:rPr>
      </w:pPr>
    </w:p>
    <w:p>
      <w:pPr>
        <w:ind w:left="540" w:hanging="494"/>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 2025</w:t>
      </w:r>
    </w:p>
    <w:p>
      <w:pPr>
        <w:spacing w:after="0" w:line="29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James C. Clemmer, President,</w:t>
      </w:r>
    </w:p>
    <w:p>
      <w:pPr>
        <w:ind w:left="19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6" w:lineRule="exact"/>
        <w:rPr>
          <w:sz w:val="20"/>
          <w:szCs w:val="20"/>
          <w:color w:val="auto"/>
        </w:rPr>
      </w:pPr>
    </w:p>
    <w:p>
      <w:pPr>
        <w:jc w:val="center"/>
        <w:ind w:left="340" w:right="2580"/>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TITLE 18, UNITED STATES CODE, SECTION 1350, AS ADOPTED PURSUANT TO SECTION 906 OF THE SARBANES-OXLEY ACT OF 2002</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Stephen A. Trowbridge, Executive Vice President and Chief Financial Officer of ANGIODYNAMICS, Inc. (the "Company"), certify, pursuant to Section 906 of the Sarbanes-Oxley Act of 2002, 18 U.S.C. Section 1350, that, to the best of my knowledge:</w:t>
      </w:r>
    </w:p>
    <w:p>
      <w:pPr>
        <w:spacing w:after="0" w:line="229" w:lineRule="exact"/>
        <w:rPr>
          <w:sz w:val="20"/>
          <w:szCs w:val="20"/>
          <w:color w:val="auto"/>
        </w:rPr>
      </w:pPr>
    </w:p>
    <w:p>
      <w:pPr>
        <w:ind w:left="540" w:right="40" w:hanging="494"/>
        <w:spacing w:after="0" w:line="237"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August 31, 2025 (the "Report") fully complies with the requirements of Section 13(a) or 15(d) of the Securities Exchange Act of 1934 (15 U.S.C. 78m or 78o(d)); and</w:t>
      </w:r>
    </w:p>
    <w:p>
      <w:pPr>
        <w:spacing w:after="0" w:line="9" w:lineRule="exact"/>
        <w:rPr>
          <w:rFonts w:ascii="Times New Roman" w:cs="Times New Roman" w:eastAsia="Times New Roman" w:hAnsi="Times New Roman"/>
          <w:sz w:val="18"/>
          <w:szCs w:val="18"/>
          <w:color w:val="auto"/>
        </w:rPr>
      </w:pPr>
    </w:p>
    <w:p>
      <w:pPr>
        <w:ind w:left="540" w:hanging="494"/>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 2025</w:t>
      </w:r>
    </w:p>
    <w:p>
      <w:pPr>
        <w:spacing w:after="0" w:line="2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ind w:left="19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2"/>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6"/>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lowerRoman"/>
      <w:start w:val="2"/>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decimal"/>
      <w:start w:val="5"/>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2025-10-02T15:13:15Z</dcterms:created>
  <dcterms:modified xsi:type="dcterms:W3CDTF">2025-10-02T15:13:15Z</dcterms:modified>
</cp:coreProperties>
</file>