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614045</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580390</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5"/>
          <w:szCs w:val="35"/>
          <w:b w:val="1"/>
          <w:bCs w:val="1"/>
          <w:color w:val="auto"/>
        </w:rPr>
        <w:t>UNITED STATES</w:t>
      </w:r>
    </w:p>
    <w:p>
      <w:pPr>
        <w:spacing w:after="0" w:line="6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1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1657985</wp:posOffset>
            </wp:positionH>
            <wp:positionV relativeFrom="paragraph">
              <wp:posOffset>48260</wp:posOffset>
            </wp:positionV>
            <wp:extent cx="3827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7145" cy="8255"/>
                    </a:xfrm>
                    <a:prstGeom prst="rect">
                      <a:avLst/>
                    </a:prstGeom>
                    <a:noFill/>
                  </pic:spPr>
                </pic:pic>
              </a:graphicData>
            </a:graphic>
          </wp:anchor>
        </w:drawing>
      </w:r>
    </w:p>
    <w:p>
      <w:pPr>
        <w:spacing w:after="0" w:line="34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5"/>
          <w:szCs w:val="3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1657985</wp:posOffset>
            </wp:positionH>
            <wp:positionV relativeFrom="paragraph">
              <wp:posOffset>80645</wp:posOffset>
            </wp:positionV>
            <wp:extent cx="3827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7145" cy="8255"/>
                    </a:xfrm>
                    <a:prstGeom prst="rect">
                      <a:avLst/>
                    </a:prstGeom>
                    <a:noFill/>
                  </pic:spPr>
                </pic:pic>
              </a:graphicData>
            </a:graphic>
          </wp:anchor>
        </w:drawing>
      </w:r>
    </w:p>
    <w:p>
      <w:pPr>
        <w:spacing w:after="0" w:line="221" w:lineRule="exact"/>
        <w:rPr>
          <w:sz w:val="24"/>
          <w:szCs w:val="24"/>
          <w:color w:val="auto"/>
        </w:rPr>
      </w:pPr>
    </w:p>
    <w:p>
      <w:pPr>
        <w:ind w:left="680" w:right="40" w:hanging="657"/>
        <w:spacing w:after="0" w:line="247" w:lineRule="auto"/>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6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28, 2022</w:t>
      </w:r>
    </w:p>
    <w:p>
      <w:pPr>
        <w:spacing w:after="0" w:line="21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2" w:lineRule="exact"/>
        <w:rPr>
          <w:sz w:val="24"/>
          <w:szCs w:val="24"/>
          <w:color w:val="auto"/>
        </w:rPr>
      </w:pPr>
    </w:p>
    <w:p>
      <w:pPr>
        <w:ind w:left="700" w:hanging="664"/>
        <w:spacing w:after="0" w:line="247" w:lineRule="auto"/>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77" w:lineRule="exact"/>
        <w:rPr>
          <w:sz w:val="24"/>
          <w:szCs w:val="24"/>
          <w:color w:val="auto"/>
        </w:rPr>
      </w:pPr>
    </w:p>
    <w:p>
      <w:pPr>
        <w:ind w:left="366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-9525</wp:posOffset>
            </wp:positionV>
            <wp:extent cx="1039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1657985</wp:posOffset>
            </wp:positionH>
            <wp:positionV relativeFrom="paragraph">
              <wp:posOffset>86360</wp:posOffset>
            </wp:positionV>
            <wp:extent cx="382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7145" cy="8255"/>
                    </a:xfrm>
                    <a:prstGeom prst="rect">
                      <a:avLst/>
                    </a:prstGeom>
                    <a:noFill/>
                  </pic:spPr>
                </pic:pic>
              </a:graphicData>
            </a:graphic>
          </wp:anchor>
        </w:drawing>
      </w:r>
    </w:p>
    <w:p>
      <w:pPr>
        <w:spacing w:after="0" w:line="23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42"/>
          <w:szCs w:val="42"/>
          <w:b w:val="1"/>
          <w:bCs w:val="1"/>
          <w:color w:val="auto"/>
        </w:rPr>
        <w:t>AngioDynamics, Inc.</w:t>
      </w:r>
    </w:p>
    <w:p>
      <w:pPr>
        <w:spacing w:after="0" w:line="5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1808480</wp:posOffset>
            </wp:positionH>
            <wp:positionV relativeFrom="paragraph">
              <wp:posOffset>1270</wp:posOffset>
            </wp:positionV>
            <wp:extent cx="3526155" cy="534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26155" cy="53467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636270</wp:posOffset>
            </wp:positionV>
            <wp:extent cx="3827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71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3980" w:type="dxa"/>
            <w:vAlign w:val="bottom"/>
          </w:tcPr>
          <w:p>
            <w:pPr>
              <w:jc w:val="center"/>
              <w:ind w:right="2084"/>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240" w:type="dxa"/>
            <w:vAlign w:val="bottom"/>
          </w:tcPr>
          <w:p>
            <w:pPr>
              <w:jc w:val="center"/>
              <w:ind w:left="2084"/>
              <w:spacing w:after="0"/>
              <w:rPr>
                <w:sz w:val="20"/>
                <w:szCs w:val="20"/>
                <w:color w:val="auto"/>
              </w:rPr>
            </w:pPr>
            <w:r>
              <w:rPr>
                <w:rFonts w:ascii="Times New Roman" w:cs="Times New Roman" w:eastAsia="Times New Roman" w:hAnsi="Times New Roman"/>
                <w:sz w:val="18"/>
                <w:szCs w:val="18"/>
                <w:b w:val="1"/>
                <w:bCs w:val="1"/>
                <w:color w:val="auto"/>
                <w:w w:val="96"/>
              </w:rPr>
              <w:t>11-3146460</w:t>
            </w:r>
          </w:p>
        </w:tc>
      </w:tr>
      <w:tr>
        <w:trPr>
          <w:trHeight w:val="143"/>
        </w:trPr>
        <w:tc>
          <w:tcPr>
            <w:tcW w:w="3980" w:type="dxa"/>
            <w:vAlign w:val="bottom"/>
          </w:tcPr>
          <w:p>
            <w:pPr>
              <w:jc w:val="center"/>
              <w:ind w:right="2084"/>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3240" w:type="dxa"/>
            <w:vAlign w:val="bottom"/>
          </w:tcPr>
          <w:p>
            <w:pPr>
              <w:jc w:val="center"/>
              <w:ind w:left="2084"/>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398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3240" w:type="dxa"/>
            <w:vAlign w:val="bottom"/>
          </w:tcPr>
          <w:p>
            <w:pPr>
              <w:jc w:val="center"/>
              <w:ind w:left="20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0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14 Plaza Drive, Latham, New York 12110</w:t>
      </w:r>
    </w:p>
    <w:p>
      <w:pPr>
        <w:spacing w:after="0" w:line="1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9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1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9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9" w:lineRule="exact"/>
        <w:rPr>
          <w:sz w:val="24"/>
          <w:szCs w:val="24"/>
          <w:color w:val="auto"/>
        </w:rPr>
      </w:pPr>
    </w:p>
    <w:tbl>
      <w:tblPr>
        <w:tblLayout w:type="fixed"/>
        <w:tblInd w:w="1060" w:type="dxa"/>
        <w:tblCellMar>
          <w:top w:w="0" w:type="dxa"/>
          <w:left w:w="0" w:type="dxa"/>
          <w:bottom w:w="0" w:type="dxa"/>
          <w:right w:w="0" w:type="dxa"/>
        </w:tblCellMar>
      </w:tblPr>
      <w:tr>
        <w:trPr>
          <w:trHeight w:val="185"/>
        </w:trPr>
        <w:tc>
          <w:tcPr>
            <w:tcW w:w="3260" w:type="dxa"/>
            <w:vAlign w:val="bottom"/>
          </w:tcPr>
          <w:p>
            <w:pPr>
              <w:jc w:val="center"/>
              <w:ind w:right="71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380" w:type="dxa"/>
            <w:vAlign w:val="bottom"/>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27"/>
        </w:trPr>
        <w:tc>
          <w:tcPr>
            <w:tcW w:w="3260" w:type="dxa"/>
            <w:vAlign w:val="bottom"/>
          </w:tcPr>
          <w:p>
            <w:pPr>
              <w:jc w:val="center"/>
              <w:ind w:right="698"/>
              <w:spacing w:after="0"/>
              <w:rPr>
                <w:sz w:val="20"/>
                <w:szCs w:val="20"/>
                <w:color w:val="auto"/>
              </w:rPr>
            </w:pPr>
            <w:r>
              <w:rPr>
                <w:rFonts w:ascii="Times New Roman" w:cs="Times New Roman" w:eastAsia="Times New Roman" w:hAnsi="Times New Roman"/>
                <w:sz w:val="18"/>
                <w:szCs w:val="18"/>
                <w:b w:val="1"/>
                <w:bCs w:val="1"/>
                <w:color w:val="auto"/>
                <w:w w:val="97"/>
              </w:rPr>
              <w:t>Common stock, par value $.01</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ANGO</w:t>
            </w:r>
          </w:p>
        </w:tc>
        <w:tc>
          <w:tcPr>
            <w:tcW w:w="3380" w:type="dxa"/>
            <w:vAlign w:val="bottom"/>
          </w:tcPr>
          <w:p>
            <w:pPr>
              <w:jc w:val="center"/>
              <w:ind w:left="698"/>
              <w:spacing w:after="0"/>
              <w:rPr>
                <w:sz w:val="20"/>
                <w:szCs w:val="20"/>
                <w:color w:val="auto"/>
              </w:rPr>
            </w:pPr>
            <w:r>
              <w:rPr>
                <w:rFonts w:ascii="Times New Roman" w:cs="Times New Roman" w:eastAsia="Times New Roman" w:hAnsi="Times New Roman"/>
                <w:sz w:val="18"/>
                <w:szCs w:val="18"/>
                <w:b w:val="1"/>
                <w:bCs w:val="1"/>
                <w:color w:val="auto"/>
                <w:w w:val="98"/>
              </w:rPr>
              <w:t>NASDAQ Global Select Market</w:t>
            </w:r>
          </w:p>
        </w:tc>
      </w:tr>
      <w:tr>
        <w:trPr>
          <w:trHeight w:val="230"/>
        </w:trPr>
        <w:tc>
          <w:tcPr>
            <w:tcW w:w="3260" w:type="dxa"/>
            <w:vAlign w:val="bottom"/>
          </w:tcPr>
          <w:p>
            <w:pPr>
              <w:jc w:val="center"/>
              <w:ind w:right="718"/>
              <w:spacing w:after="0"/>
              <w:rPr>
                <w:sz w:val="20"/>
                <w:szCs w:val="20"/>
                <w:color w:val="auto"/>
              </w:rPr>
            </w:pPr>
            <w:r>
              <w:rPr>
                <w:rFonts w:ascii="Times New Roman" w:cs="Times New Roman" w:eastAsia="Times New Roman" w:hAnsi="Times New Roman"/>
                <w:sz w:val="18"/>
                <w:szCs w:val="18"/>
                <w:b w:val="1"/>
                <w:bCs w:val="1"/>
                <w:color w:val="auto"/>
                <w:w w:val="97"/>
              </w:rPr>
              <w:t>Preferred Stock Purchase Rights</w:t>
            </w:r>
          </w:p>
        </w:tc>
        <w:tc>
          <w:tcPr>
            <w:tcW w:w="2540" w:type="dxa"/>
            <w:vAlign w:val="bottom"/>
          </w:tcPr>
          <w:p>
            <w:pPr>
              <w:spacing w:after="0"/>
              <w:rPr>
                <w:sz w:val="20"/>
                <w:szCs w:val="20"/>
                <w:color w:val="auto"/>
              </w:rPr>
            </w:pPr>
          </w:p>
        </w:tc>
        <w:tc>
          <w:tcPr>
            <w:tcW w:w="3380" w:type="dxa"/>
            <w:vAlign w:val="bottom"/>
          </w:tcPr>
          <w:p>
            <w:pPr>
              <w:jc w:val="center"/>
              <w:ind w:left="698"/>
              <w:spacing w:after="0"/>
              <w:rPr>
                <w:sz w:val="20"/>
                <w:szCs w:val="20"/>
                <w:color w:val="auto"/>
              </w:rPr>
            </w:pPr>
            <w:r>
              <w:rPr>
                <w:rFonts w:ascii="Times New Roman" w:cs="Times New Roman" w:eastAsia="Times New Roman" w:hAnsi="Times New Roman"/>
                <w:sz w:val="18"/>
                <w:szCs w:val="18"/>
                <w:b w:val="1"/>
                <w:bCs w:val="1"/>
                <w:color w:val="auto"/>
                <w:w w:val="98"/>
              </w:rPr>
              <w:t>NASDAQ Global Select Market</w:t>
            </w:r>
          </w:p>
        </w:tc>
      </w:tr>
    </w:tbl>
    <w:p>
      <w:pPr>
        <w:spacing w:after="0" w:line="200" w:lineRule="exact"/>
        <w:rPr>
          <w:sz w:val="24"/>
          <w:szCs w:val="24"/>
          <w:color w:val="auto"/>
        </w:rPr>
      </w:pPr>
    </w:p>
    <w:p>
      <w:pPr>
        <w:spacing w:after="0" w:line="30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1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532765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320" w:top="222" w:right="639" w:bottom="1440" w:gutter="0" w:footer="0" w:header="0"/>
        </w:sectPr>
      </w:pPr>
    </w:p>
    <w:bookmarkStart w:id="1" w:name="page2"/>
    <w:bookmarkEnd w:id="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604520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03" w:lineRule="exact"/>
        <w:rPr>
          <w:sz w:val="20"/>
          <w:szCs w:val="20"/>
          <w:color w:val="auto"/>
        </w:rPr>
      </w:pPr>
    </w:p>
    <w:p>
      <w:pPr>
        <w:sectPr>
          <w:pgSz w:w="11900" w:h="16838" w:orient="portrait"/>
          <w:cols w:equalWidth="0" w:num="4">
            <w:col w:w="8680" w:space="160"/>
            <w:col w:w="260" w:space="80"/>
            <w:col w:w="160" w:space="180"/>
            <w:col w:w="1720"/>
          </w:cols>
          <w:pgMar w:left="320" w:top="118" w:right="339" w:bottom="1440" w:gutter="0" w:footer="0" w:header="0"/>
          <w:type w:val="continuous"/>
        </w:sectPr>
      </w:pP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273" w:lineRule="exact"/>
        <w:rPr>
          <w:sz w:val="20"/>
          <w:szCs w:val="20"/>
          <w:color w:val="auto"/>
        </w:rPr>
      </w:pPr>
    </w:p>
    <w:p>
      <w:pPr>
        <w:sectPr>
          <w:pgSz w:w="11900" w:h="16838" w:orient="portrait"/>
          <w:cols w:equalWidth="0" w:num="5">
            <w:col w:w="8260" w:space="180"/>
            <w:col w:w="240" w:space="100"/>
            <w:col w:w="140" w:space="180"/>
            <w:col w:w="220" w:space="80"/>
            <w:col w:w="1840"/>
          </w:cols>
          <w:pgMar w:left="320" w:top="118" w:right="339" w:bottom="1440" w:gutter="0" w:footer="0" w:header="0"/>
          <w:type w:val="continuous"/>
        </w:sectPr>
      </w:pPr>
    </w:p>
    <w:p>
      <w:pPr>
        <w:spacing w:after="0" w:line="14" w:lineRule="exact"/>
        <w:rPr>
          <w:sz w:val="20"/>
          <w:szCs w:val="20"/>
          <w:color w:val="auto"/>
        </w:rPr>
      </w:pPr>
    </w:p>
    <w:p>
      <w:pPr>
        <w:ind w:right="100" w:firstLine="434"/>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5" w:lineRule="exact"/>
        <w:rPr>
          <w:sz w:val="20"/>
          <w:szCs w:val="20"/>
          <w:color w:val="auto"/>
        </w:rPr>
      </w:pPr>
    </w:p>
    <w:p>
      <w:pPr>
        <w:ind w:right="200" w:firstLine="434"/>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3" w:lineRule="exact"/>
        <w:rPr>
          <w:sz w:val="20"/>
          <w:szCs w:val="20"/>
          <w:color w:val="auto"/>
        </w:rPr>
      </w:pPr>
    </w:p>
    <w:p>
      <w:pPr>
        <w:ind w:right="100" w:firstLine="434"/>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9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560"/>
              <w:spacing w:after="0" w:line="211" w:lineRule="exact"/>
              <w:rPr>
                <w:sz w:val="20"/>
                <w:szCs w:val="20"/>
                <w:color w:val="auto"/>
              </w:rPr>
            </w:pPr>
            <w:r>
              <w:rPr>
                <w:rFonts w:ascii="MS PGothic" w:cs="MS PGothic" w:eastAsia="MS PGothic" w:hAnsi="MS PGothic"/>
                <w:sz w:val="21"/>
                <w:szCs w:val="21"/>
                <w:color w:val="auto"/>
              </w:rPr>
              <w:t>☐</w:t>
            </w:r>
          </w:p>
        </w:tc>
        <w:tc>
          <w:tcPr>
            <w:tcW w:w="46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4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560"/>
              <w:spacing w:after="0" w:line="211" w:lineRule="exact"/>
              <w:rPr>
                <w:sz w:val="20"/>
                <w:szCs w:val="20"/>
                <w:color w:val="auto"/>
              </w:rPr>
            </w:pPr>
            <w:r>
              <w:rPr>
                <w:rFonts w:ascii="MS PGothic" w:cs="MS PGothic" w:eastAsia="MS PGothic" w:hAnsi="MS PGothic"/>
                <w:sz w:val="21"/>
                <w:szCs w:val="21"/>
                <w:color w:val="auto"/>
              </w:rPr>
              <w:t>☐</w:t>
            </w:r>
          </w:p>
        </w:tc>
        <w:tc>
          <w:tcPr>
            <w:tcW w:w="46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4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3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560"/>
              <w:spacing w:after="0" w:line="211" w:lineRule="exact"/>
              <w:rPr>
                <w:sz w:val="20"/>
                <w:szCs w:val="20"/>
                <w:color w:val="auto"/>
              </w:rPr>
            </w:pPr>
            <w:r>
              <w:rPr>
                <w:rFonts w:ascii="MS PGothic" w:cs="MS PGothic" w:eastAsia="MS PGothic" w:hAnsi="MS PGothic"/>
                <w:sz w:val="21"/>
                <w:szCs w:val="21"/>
                <w:color w:val="auto"/>
              </w:rPr>
              <w:t>☐</w:t>
            </w:r>
          </w:p>
        </w:tc>
        <w:tc>
          <w:tcPr>
            <w:tcW w:w="46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24" w:lineRule="exact"/>
        <w:rPr>
          <w:sz w:val="20"/>
          <w:szCs w:val="20"/>
          <w:color w:val="auto"/>
        </w:rPr>
      </w:pPr>
    </w:p>
    <w:p>
      <w:pPr>
        <w:ind w:left="440"/>
        <w:spacing w:after="0" w:line="207" w:lineRule="exact"/>
        <w:tabs>
          <w:tab w:leader="none" w:pos="8560" w:val="left"/>
          <w:tab w:leader="none" w:pos="92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0" w:type="dxa"/>
            <w:vAlign w:val="bottom"/>
            <w:gridSpan w:val="2"/>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26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Outstanding as of April 6, 2022</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Common Stock, par value $.01</w:t>
            </w:r>
          </w:p>
        </w:tc>
        <w:tc>
          <w:tcPr>
            <w:tcW w:w="3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38,780,101</w:t>
            </w: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22"/>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76"/>
        </w:trPr>
        <w:tc>
          <w:tcPr>
            <w:tcW w:w="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1"/>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Borders>
              <w:bottom w:val="single" w:sz="8" w:color="0000FF"/>
            </w:tcBorders>
            <w:gridSpan w:val="8"/>
          </w:tcPr>
          <w:p>
            <w:pPr>
              <w:jc w:val="center"/>
              <w:spacing w:after="0" w:line="171" w:lineRule="exact"/>
              <w:rPr>
                <w:rFonts w:ascii="Times New Roman" w:cs="Times New Roman" w:eastAsia="Times New Roman" w:hAnsi="Times New Roman"/>
                <w:sz w:val="18"/>
                <w:szCs w:val="18"/>
                <w:b w:val="1"/>
                <w:bCs w:val="1"/>
                <w:color w:val="0000FF"/>
                <w:w w:val="95"/>
              </w:rPr>
            </w:pPr>
            <w:hyperlink w:anchor="page3">
              <w:r>
                <w:rPr>
                  <w:rFonts w:ascii="Times New Roman" w:cs="Times New Roman" w:eastAsia="Times New Roman" w:hAnsi="Times New Roman"/>
                  <w:sz w:val="18"/>
                  <w:szCs w:val="18"/>
                  <w:b w:val="1"/>
                  <w:bCs w:val="1"/>
                  <w:color w:val="0000FF"/>
                  <w:w w:val="95"/>
                </w:rPr>
                <w:t>Part I: Financial Information</w:t>
              </w:r>
            </w:hyperlink>
          </w:p>
        </w:tc>
        <w:tc>
          <w:tcPr>
            <w:tcW w:w="356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580" w:type="dxa"/>
            <w:vAlign w:val="bottom"/>
            <w:tcBorders>
              <w:bottom w:val="single" w:sz="8" w:color="0000FF"/>
            </w:tcBorders>
            <w:gridSpan w:val="5"/>
          </w:tcPr>
          <w:p>
            <w:pPr>
              <w:spacing w:after="0"/>
              <w:rPr>
                <w:rFonts w:ascii="Times New Roman" w:cs="Times New Roman" w:eastAsia="Times New Roman" w:hAnsi="Times New Roman"/>
                <w:sz w:val="18"/>
                <w:szCs w:val="18"/>
                <w:b w:val="1"/>
                <w:bCs w:val="1"/>
                <w:color w:val="0000FF"/>
                <w:w w:val="96"/>
              </w:rPr>
            </w:pPr>
            <w:hyperlink w:anchor="page4">
              <w:r>
                <w:rPr>
                  <w:rFonts w:ascii="Times New Roman" w:cs="Times New Roman" w:eastAsia="Times New Roman" w:hAnsi="Times New Roman"/>
                  <w:sz w:val="18"/>
                  <w:szCs w:val="18"/>
                  <w:b w:val="1"/>
                  <w:bCs w:val="1"/>
                  <w:color w:val="0000FF"/>
                  <w:w w:val="96"/>
                </w:rPr>
                <w:t>Financial Statements</w:t>
              </w:r>
            </w:hyperlink>
          </w:p>
        </w:tc>
        <w:tc>
          <w:tcPr>
            <w:tcW w:w="7740" w:type="dxa"/>
            <w:vAlign w:val="bottom"/>
            <w:gridSpan w:val="15"/>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2"/>
                <w:szCs w:val="22"/>
                <w:color w:val="auto"/>
              </w:rPr>
            </w:pPr>
          </w:p>
        </w:tc>
        <w:tc>
          <w:tcPr>
            <w:tcW w:w="3600" w:type="dxa"/>
            <w:vAlign w:val="bottom"/>
            <w:gridSpan w:val="10"/>
          </w:tcPr>
          <w:p>
            <w:pPr>
              <w:spacing w:after="0"/>
              <w:rPr>
                <w:rFonts w:ascii="Times New Roman" w:cs="Times New Roman" w:eastAsia="Times New Roman" w:hAnsi="Times New Roman"/>
                <w:sz w:val="18"/>
                <w:szCs w:val="18"/>
                <w:color w:val="0000FF"/>
                <w:w w:val="96"/>
              </w:rPr>
            </w:pPr>
            <w:hyperlink w:anchor="page4">
              <w:r>
                <w:rPr>
                  <w:rFonts w:ascii="Times New Roman" w:cs="Times New Roman" w:eastAsia="Times New Roman" w:hAnsi="Times New Roman"/>
                  <w:sz w:val="18"/>
                  <w:szCs w:val="18"/>
                  <w:color w:val="0000FF"/>
                  <w:w w:val="96"/>
                </w:rPr>
                <w:t>Consolidated Statements of Operations (unaudited)</w:t>
              </w:r>
            </w:hyperlink>
          </w:p>
        </w:tc>
        <w:tc>
          <w:tcPr>
            <w:tcW w:w="5720" w:type="dxa"/>
            <w:vAlign w:val="bottom"/>
            <w:gridSpan w:val="10"/>
          </w:tcPr>
          <w:p>
            <w:pPr>
              <w:spacing w:after="0"/>
              <w:rPr>
                <w:sz w:val="22"/>
                <w:szCs w:val="22"/>
                <w:color w:val="auto"/>
              </w:rPr>
            </w:pPr>
          </w:p>
        </w:tc>
        <w:tc>
          <w:tcPr>
            <w:tcW w:w="9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3</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2"/>
                <w:szCs w:val="22"/>
                <w:color w:val="auto"/>
              </w:rPr>
            </w:pPr>
          </w:p>
        </w:tc>
        <w:tc>
          <w:tcPr>
            <w:tcW w:w="9320" w:type="dxa"/>
            <w:vAlign w:val="bottom"/>
            <w:gridSpan w:val="20"/>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Consolidated Statements of Comprehensive Loss (unaudited)</w:t>
              </w:r>
            </w:hyperlink>
          </w:p>
        </w:tc>
        <w:tc>
          <w:tcPr>
            <w:tcW w:w="9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2"/>
                <w:szCs w:val="22"/>
                <w:color w:val="auto"/>
              </w:rPr>
            </w:pPr>
          </w:p>
        </w:tc>
        <w:tc>
          <w:tcPr>
            <w:tcW w:w="2900" w:type="dxa"/>
            <w:vAlign w:val="bottom"/>
            <w:gridSpan w:val="9"/>
          </w:tcPr>
          <w:p>
            <w:pPr>
              <w:spacing w:after="0"/>
              <w:rPr>
                <w:rFonts w:ascii="Times New Roman" w:cs="Times New Roman" w:eastAsia="Times New Roman" w:hAnsi="Times New Roman"/>
                <w:sz w:val="18"/>
                <w:szCs w:val="18"/>
                <w:color w:val="0000FF"/>
                <w:w w:val="97"/>
              </w:rPr>
            </w:pPr>
            <w:hyperlink w:anchor="page5">
              <w:r>
                <w:rPr>
                  <w:rFonts w:ascii="Times New Roman" w:cs="Times New Roman" w:eastAsia="Times New Roman" w:hAnsi="Times New Roman"/>
                  <w:sz w:val="18"/>
                  <w:szCs w:val="18"/>
                  <w:color w:val="0000FF"/>
                  <w:w w:val="97"/>
                </w:rPr>
                <w:t>Consolidated Balance Sheets (unaudited)</w:t>
              </w:r>
            </w:hyperlink>
          </w:p>
        </w:tc>
        <w:tc>
          <w:tcPr>
            <w:tcW w:w="1400" w:type="dxa"/>
            <w:vAlign w:val="bottom"/>
            <w:gridSpan w:val="4"/>
          </w:tcPr>
          <w:p>
            <w:pPr>
              <w:spacing w:after="0"/>
              <w:rPr>
                <w:sz w:val="22"/>
                <w:szCs w:val="22"/>
                <w:color w:val="auto"/>
              </w:rPr>
            </w:pPr>
          </w:p>
        </w:tc>
        <w:tc>
          <w:tcPr>
            <w:tcW w:w="5020" w:type="dxa"/>
            <w:vAlign w:val="bottom"/>
            <w:gridSpan w:val="7"/>
          </w:tcPr>
          <w:p>
            <w:pPr>
              <w:spacing w:after="0"/>
              <w:rPr>
                <w:sz w:val="22"/>
                <w:szCs w:val="22"/>
                <w:color w:val="auto"/>
              </w:rPr>
            </w:pPr>
          </w:p>
        </w:tc>
        <w:tc>
          <w:tcPr>
            <w:tcW w:w="9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5</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2"/>
                <w:szCs w:val="22"/>
                <w:color w:val="auto"/>
              </w:rPr>
            </w:pPr>
          </w:p>
        </w:tc>
        <w:tc>
          <w:tcPr>
            <w:tcW w:w="3660" w:type="dxa"/>
            <w:vAlign w:val="bottom"/>
            <w:gridSpan w:val="11"/>
          </w:tcPr>
          <w:p>
            <w:pPr>
              <w:spacing w:after="0"/>
              <w:rPr>
                <w:rFonts w:ascii="Times New Roman" w:cs="Times New Roman" w:eastAsia="Times New Roman" w:hAnsi="Times New Roman"/>
                <w:sz w:val="18"/>
                <w:szCs w:val="18"/>
                <w:color w:val="0000FF"/>
                <w:w w:val="96"/>
              </w:rPr>
            </w:pPr>
            <w:hyperlink w:anchor="page6">
              <w:r>
                <w:rPr>
                  <w:rFonts w:ascii="Times New Roman" w:cs="Times New Roman" w:eastAsia="Times New Roman" w:hAnsi="Times New Roman"/>
                  <w:sz w:val="18"/>
                  <w:szCs w:val="18"/>
                  <w:color w:val="0000FF"/>
                  <w:w w:val="96"/>
                </w:rPr>
                <w:t>Consolidated Statements of Cash Flows (unaudited)</w:t>
              </w:r>
            </w:hyperlink>
          </w:p>
        </w:tc>
        <w:tc>
          <w:tcPr>
            <w:tcW w:w="5660" w:type="dxa"/>
            <w:vAlign w:val="bottom"/>
            <w:gridSpan w:val="9"/>
          </w:tcPr>
          <w:p>
            <w:pPr>
              <w:spacing w:after="0"/>
              <w:rPr>
                <w:sz w:val="22"/>
                <w:szCs w:val="22"/>
                <w:color w:val="auto"/>
              </w:rPr>
            </w:pPr>
          </w:p>
        </w:tc>
        <w:tc>
          <w:tcPr>
            <w:tcW w:w="9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2"/>
                <w:szCs w:val="22"/>
                <w:color w:val="auto"/>
              </w:rPr>
            </w:pPr>
          </w:p>
        </w:tc>
        <w:tc>
          <w:tcPr>
            <w:tcW w:w="4320" w:type="dxa"/>
            <w:vAlign w:val="bottom"/>
            <w:gridSpan w:val="14"/>
          </w:tcPr>
          <w:p>
            <w:pPr>
              <w:spacing w:after="0"/>
              <w:rPr>
                <w:rFonts w:ascii="Times New Roman" w:cs="Times New Roman" w:eastAsia="Times New Roman" w:hAnsi="Times New Roman"/>
                <w:sz w:val="18"/>
                <w:szCs w:val="18"/>
                <w:color w:val="0000FF"/>
                <w:w w:val="97"/>
              </w:rPr>
            </w:pPr>
            <w:hyperlink w:anchor="page7">
              <w:r>
                <w:rPr>
                  <w:rFonts w:ascii="Times New Roman" w:cs="Times New Roman" w:eastAsia="Times New Roman" w:hAnsi="Times New Roman"/>
                  <w:sz w:val="18"/>
                  <w:szCs w:val="18"/>
                  <w:color w:val="0000FF"/>
                  <w:w w:val="97"/>
                </w:rPr>
                <w:t>Consolidated Statements of Stockholders’ Equity (unaudited)</w:t>
              </w:r>
            </w:hyperlink>
          </w:p>
        </w:tc>
        <w:tc>
          <w:tcPr>
            <w:tcW w:w="5000" w:type="dxa"/>
            <w:vAlign w:val="bottom"/>
            <w:gridSpan w:val="6"/>
          </w:tcPr>
          <w:p>
            <w:pPr>
              <w:spacing w:after="0"/>
              <w:rPr>
                <w:sz w:val="22"/>
                <w:szCs w:val="22"/>
                <w:color w:val="auto"/>
              </w:rPr>
            </w:pPr>
          </w:p>
        </w:tc>
        <w:tc>
          <w:tcPr>
            <w:tcW w:w="9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7</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2"/>
                <w:szCs w:val="22"/>
                <w:color w:val="auto"/>
              </w:rPr>
            </w:pPr>
          </w:p>
        </w:tc>
        <w:tc>
          <w:tcPr>
            <w:tcW w:w="4320" w:type="dxa"/>
            <w:vAlign w:val="bottom"/>
            <w:gridSpan w:val="14"/>
          </w:tcPr>
          <w:p>
            <w:pPr>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Notes to Consolidated Financial Statements (unaudited)</w:t>
              </w:r>
            </w:hyperlink>
          </w:p>
        </w:tc>
        <w:tc>
          <w:tcPr>
            <w:tcW w:w="5000" w:type="dxa"/>
            <w:vAlign w:val="bottom"/>
            <w:gridSpan w:val="6"/>
          </w:tcPr>
          <w:p>
            <w:pPr>
              <w:spacing w:after="0"/>
              <w:rPr>
                <w:sz w:val="22"/>
                <w:szCs w:val="22"/>
                <w:color w:val="auto"/>
              </w:rPr>
            </w:pPr>
          </w:p>
        </w:tc>
        <w:tc>
          <w:tcPr>
            <w:tcW w:w="9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9</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320" w:type="dxa"/>
            <w:vAlign w:val="bottom"/>
            <w:gridSpan w:val="20"/>
          </w:tcPr>
          <w:p>
            <w:pPr>
              <w:spacing w:after="0"/>
              <w:rPr>
                <w:rFonts w:ascii="Times New Roman" w:cs="Times New Roman" w:eastAsia="Times New Roman" w:hAnsi="Times New Roman"/>
                <w:sz w:val="18"/>
                <w:szCs w:val="18"/>
                <w:b w:val="1"/>
                <w:bCs w:val="1"/>
                <w:color w:val="0000FF"/>
              </w:rPr>
            </w:pPr>
            <w:hyperlink w:anchor="page23">
              <w:r>
                <w:rPr>
                  <w:rFonts w:ascii="Times New Roman" w:cs="Times New Roman" w:eastAsia="Times New Roman" w:hAnsi="Times New Roman"/>
                  <w:sz w:val="18"/>
                  <w:szCs w:val="18"/>
                  <w:b w:val="1"/>
                  <w:bCs w:val="1"/>
                  <w:color w:val="0000FF"/>
                </w:rPr>
                <w:t>Management’s Discussion and Analysis of Financial Condition and Results of Operations</w:t>
              </w:r>
            </w:hyperlink>
          </w:p>
        </w:tc>
        <w:tc>
          <w:tcPr>
            <w:tcW w:w="9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23</w:t>
              </w:r>
            </w:hyperlink>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b w:val="1"/>
                <w:bCs w:val="1"/>
                <w:color w:val="0000FF"/>
                <w:w w:val="97"/>
              </w:rPr>
            </w:pPr>
            <w:hyperlink w:anchor="page31">
              <w:r>
                <w:rPr>
                  <w:rFonts w:ascii="Times New Roman" w:cs="Times New Roman" w:eastAsia="Times New Roman" w:hAnsi="Times New Roman"/>
                  <w:sz w:val="18"/>
                  <w:szCs w:val="18"/>
                  <w:b w:val="1"/>
                  <w:bCs w:val="1"/>
                  <w:color w:val="0000FF"/>
                  <w:w w:val="97"/>
                </w:rPr>
                <w:t>Quantitative and Qualitative Disclosures About Market Risk</w:t>
              </w:r>
            </w:hyperlink>
          </w:p>
        </w:tc>
        <w:tc>
          <w:tcPr>
            <w:tcW w:w="2100" w:type="dxa"/>
            <w:vAlign w:val="bottom"/>
            <w:tcBorders>
              <w:top w:val="single" w:sz="8" w:color="0000FF"/>
            </w:tcBorders>
            <w:gridSpan w:val="3"/>
          </w:tcPr>
          <w:p>
            <w:pPr>
              <w:spacing w:after="0"/>
              <w:rPr>
                <w:sz w:val="22"/>
                <w:szCs w:val="22"/>
                <w:color w:val="auto"/>
              </w:rPr>
            </w:pPr>
          </w:p>
        </w:tc>
        <w:tc>
          <w:tcPr>
            <w:tcW w:w="2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1">
              <w:r>
                <w:rPr>
                  <w:rFonts w:ascii="Times New Roman" w:cs="Times New Roman" w:eastAsia="Times New Roman" w:hAnsi="Times New Roman"/>
                  <w:sz w:val="18"/>
                  <w:szCs w:val="18"/>
                  <w:color w:val="0000FF"/>
                  <w:w w:val="88"/>
                </w:rPr>
                <w:t>31</w:t>
              </w:r>
            </w:hyperlink>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320" w:type="dxa"/>
            <w:vAlign w:val="bottom"/>
            <w:gridSpan w:val="20"/>
          </w:tcPr>
          <w:p>
            <w:pPr>
              <w:spacing w:after="0"/>
              <w:rPr>
                <w:rFonts w:ascii="Times New Roman" w:cs="Times New Roman" w:eastAsia="Times New Roman" w:hAnsi="Times New Roman"/>
                <w:sz w:val="18"/>
                <w:szCs w:val="18"/>
                <w:b w:val="1"/>
                <w:bCs w:val="1"/>
                <w:color w:val="0000FF"/>
              </w:rPr>
            </w:pPr>
            <w:hyperlink w:anchor="page32">
              <w:r>
                <w:rPr>
                  <w:rFonts w:ascii="Times New Roman" w:cs="Times New Roman" w:eastAsia="Times New Roman" w:hAnsi="Times New Roman"/>
                  <w:sz w:val="18"/>
                  <w:szCs w:val="18"/>
                  <w:b w:val="1"/>
                  <w:bCs w:val="1"/>
                  <w:color w:val="0000FF"/>
                </w:rPr>
                <w:t>Controls and Procedures</w:t>
              </w:r>
            </w:hyperlink>
          </w:p>
        </w:tc>
        <w:tc>
          <w:tcPr>
            <w:tcW w:w="9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32</w:t>
              </w:r>
            </w:hyperlink>
          </w:p>
        </w:tc>
      </w:tr>
      <w:tr>
        <w:trPr>
          <w:trHeight w:val="256"/>
        </w:trPr>
        <w:tc>
          <w:tcPr>
            <w:tcW w:w="96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Borders>
              <w:bottom w:val="single" w:sz="8" w:color="0000FF"/>
            </w:tcBorders>
            <w:gridSpan w:val="6"/>
          </w:tcPr>
          <w:p>
            <w:pPr>
              <w:jc w:val="center"/>
              <w:spacing w:after="0"/>
              <w:rPr>
                <w:rFonts w:ascii="Times New Roman" w:cs="Times New Roman" w:eastAsia="Times New Roman" w:hAnsi="Times New Roman"/>
                <w:sz w:val="18"/>
                <w:szCs w:val="18"/>
                <w:b w:val="1"/>
                <w:bCs w:val="1"/>
                <w:color w:val="0000FF"/>
                <w:w w:val="96"/>
              </w:rPr>
            </w:pPr>
            <w:hyperlink w:anchor="page33">
              <w:r>
                <w:rPr>
                  <w:rFonts w:ascii="Times New Roman" w:cs="Times New Roman" w:eastAsia="Times New Roman" w:hAnsi="Times New Roman"/>
                  <w:sz w:val="18"/>
                  <w:szCs w:val="18"/>
                  <w:b w:val="1"/>
                  <w:bCs w:val="1"/>
                  <w:color w:val="0000FF"/>
                  <w:w w:val="96"/>
                </w:rPr>
                <w:t>Part II: Other Information</w:t>
              </w:r>
            </w:hyperlink>
          </w:p>
        </w:tc>
        <w:tc>
          <w:tcPr>
            <w:tcW w:w="3660" w:type="dxa"/>
            <w:vAlign w:val="bottom"/>
            <w:gridSpan w:val="3"/>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320" w:type="dxa"/>
            <w:vAlign w:val="bottom"/>
            <w:gridSpan w:val="20"/>
          </w:tcPr>
          <w:p>
            <w:pPr>
              <w:spacing w:after="0"/>
              <w:rPr>
                <w:rFonts w:ascii="Times New Roman" w:cs="Times New Roman" w:eastAsia="Times New Roman" w:hAnsi="Times New Roman"/>
                <w:sz w:val="18"/>
                <w:szCs w:val="18"/>
                <w:b w:val="1"/>
                <w:bCs w:val="1"/>
                <w:color w:val="0000FF"/>
              </w:rPr>
            </w:pPr>
            <w:hyperlink w:anchor="page34">
              <w:r>
                <w:rPr>
                  <w:rFonts w:ascii="Times New Roman" w:cs="Times New Roman" w:eastAsia="Times New Roman" w:hAnsi="Times New Roman"/>
                  <w:sz w:val="18"/>
                  <w:szCs w:val="18"/>
                  <w:b w:val="1"/>
                  <w:bCs w:val="1"/>
                  <w:color w:val="0000FF"/>
                </w:rPr>
                <w:t>Legal Proceedings</w:t>
              </w:r>
            </w:hyperlink>
          </w:p>
        </w:tc>
        <w:tc>
          <w:tcPr>
            <w:tcW w:w="9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33</w:t>
              </w:r>
            </w:hyperlink>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b w:val="1"/>
                <w:bCs w:val="1"/>
                <w:color w:val="0000FF"/>
                <w:w w:val="96"/>
              </w:rPr>
            </w:pPr>
            <w:hyperlink w:anchor="page34">
              <w:r>
                <w:rPr>
                  <w:rFonts w:ascii="Times New Roman" w:cs="Times New Roman" w:eastAsia="Times New Roman" w:hAnsi="Times New Roman"/>
                  <w:sz w:val="18"/>
                  <w:szCs w:val="18"/>
                  <w:b w:val="1"/>
                  <w:bCs w:val="1"/>
                  <w:color w:val="0000FF"/>
                  <w:w w:val="96"/>
                </w:rPr>
                <w:t>Risk Factors</w:t>
              </w:r>
            </w:hyperlink>
          </w:p>
        </w:tc>
        <w:tc>
          <w:tcPr>
            <w:tcW w:w="400" w:type="dxa"/>
            <w:vAlign w:val="bottom"/>
            <w:tcBorders>
              <w:top w:val="single" w:sz="8" w:color="0000FF"/>
            </w:tcBorders>
          </w:tcPr>
          <w:p>
            <w:pPr>
              <w:spacing w:after="0"/>
              <w:rPr>
                <w:sz w:val="22"/>
                <w:szCs w:val="22"/>
                <w:color w:val="auto"/>
              </w:rPr>
            </w:pPr>
          </w:p>
        </w:tc>
        <w:tc>
          <w:tcPr>
            <w:tcW w:w="7960" w:type="dxa"/>
            <w:vAlign w:val="bottom"/>
            <w:gridSpan w:val="17"/>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4">
              <w:r>
                <w:rPr>
                  <w:rFonts w:ascii="Times New Roman" w:cs="Times New Roman" w:eastAsia="Times New Roman" w:hAnsi="Times New Roman"/>
                  <w:sz w:val="18"/>
                  <w:szCs w:val="18"/>
                  <w:color w:val="0000FF"/>
                  <w:w w:val="88"/>
                </w:rPr>
                <w:t>33</w:t>
              </w:r>
            </w:hyperlink>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460" w:type="dxa"/>
            <w:vAlign w:val="bottom"/>
            <w:tcBorders>
              <w:bottom w:val="single" w:sz="8" w:color="0000FF"/>
            </w:tcBorders>
            <w:gridSpan w:val="15"/>
          </w:tcPr>
          <w:p>
            <w:pPr>
              <w:spacing w:after="0"/>
              <w:rPr>
                <w:rFonts w:ascii="Times New Roman" w:cs="Times New Roman" w:eastAsia="Times New Roman" w:hAnsi="Times New Roman"/>
                <w:sz w:val="18"/>
                <w:szCs w:val="18"/>
                <w:b w:val="1"/>
                <w:bCs w:val="1"/>
                <w:color w:val="0000FF"/>
                <w:w w:val="96"/>
              </w:rPr>
            </w:pPr>
            <w:hyperlink w:anchor="page34">
              <w:r>
                <w:rPr>
                  <w:rFonts w:ascii="Times New Roman" w:cs="Times New Roman" w:eastAsia="Times New Roman" w:hAnsi="Times New Roman"/>
                  <w:sz w:val="18"/>
                  <w:szCs w:val="18"/>
                  <w:b w:val="1"/>
                  <w:bCs w:val="1"/>
                  <w:color w:val="0000FF"/>
                  <w:w w:val="96"/>
                </w:rPr>
                <w:t>Unregistered Sales of Equity Securities and Use of Proceeds</w:t>
              </w:r>
            </w:hyperlink>
          </w:p>
        </w:tc>
        <w:tc>
          <w:tcPr>
            <w:tcW w:w="4860" w:type="dxa"/>
            <w:vAlign w:val="bottom"/>
            <w:gridSpan w:val="5"/>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4">
              <w:r>
                <w:rPr>
                  <w:rFonts w:ascii="Times New Roman" w:cs="Times New Roman" w:eastAsia="Times New Roman" w:hAnsi="Times New Roman"/>
                  <w:sz w:val="18"/>
                  <w:szCs w:val="18"/>
                  <w:color w:val="0000FF"/>
                  <w:w w:val="88"/>
                </w:rPr>
                <w:t>33</w:t>
              </w:r>
            </w:hyperlink>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320" w:type="dxa"/>
            <w:vAlign w:val="bottom"/>
            <w:gridSpan w:val="20"/>
          </w:tcPr>
          <w:p>
            <w:pPr>
              <w:spacing w:after="0"/>
              <w:rPr>
                <w:rFonts w:ascii="Times New Roman" w:cs="Times New Roman" w:eastAsia="Times New Roman" w:hAnsi="Times New Roman"/>
                <w:sz w:val="18"/>
                <w:szCs w:val="18"/>
                <w:b w:val="1"/>
                <w:bCs w:val="1"/>
                <w:color w:val="0000FF"/>
              </w:rPr>
            </w:pPr>
            <w:hyperlink w:anchor="page34">
              <w:r>
                <w:rPr>
                  <w:rFonts w:ascii="Times New Roman" w:cs="Times New Roman" w:eastAsia="Times New Roman" w:hAnsi="Times New Roman"/>
                  <w:sz w:val="18"/>
                  <w:szCs w:val="18"/>
                  <w:b w:val="1"/>
                  <w:bCs w:val="1"/>
                  <w:color w:val="0000FF"/>
                </w:rPr>
                <w:t>Defaults on Senior Securities</w:t>
              </w:r>
            </w:hyperlink>
          </w:p>
        </w:tc>
        <w:tc>
          <w:tcPr>
            <w:tcW w:w="9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33</w:t>
              </w:r>
            </w:hyperlink>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80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b w:val="1"/>
                <w:bCs w:val="1"/>
                <w:color w:val="0000FF"/>
                <w:w w:val="96"/>
              </w:rPr>
            </w:pPr>
            <w:hyperlink w:anchor="page34">
              <w:r>
                <w:rPr>
                  <w:rFonts w:ascii="Times New Roman" w:cs="Times New Roman" w:eastAsia="Times New Roman" w:hAnsi="Times New Roman"/>
                  <w:sz w:val="18"/>
                  <w:szCs w:val="18"/>
                  <w:b w:val="1"/>
                  <w:bCs w:val="1"/>
                  <w:color w:val="0000FF"/>
                  <w:w w:val="96"/>
                </w:rPr>
                <w:t>Mine Safety Disclosures</w:t>
              </w:r>
            </w:hyperlink>
          </w:p>
        </w:tc>
        <w:tc>
          <w:tcPr>
            <w:tcW w:w="360" w:type="dxa"/>
            <w:vAlign w:val="bottom"/>
            <w:tcBorders>
              <w:top w:val="single" w:sz="8" w:color="0000FF"/>
            </w:tcBorders>
            <w:gridSpan w:val="2"/>
          </w:tcPr>
          <w:p>
            <w:pPr>
              <w:spacing w:after="0"/>
              <w:rPr>
                <w:sz w:val="22"/>
                <w:szCs w:val="22"/>
                <w:color w:val="auto"/>
              </w:rPr>
            </w:pPr>
          </w:p>
        </w:tc>
        <w:tc>
          <w:tcPr>
            <w:tcW w:w="7160" w:type="dxa"/>
            <w:vAlign w:val="bottom"/>
            <w:gridSpan w:val="12"/>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4">
              <w:r>
                <w:rPr>
                  <w:rFonts w:ascii="Times New Roman" w:cs="Times New Roman" w:eastAsia="Times New Roman" w:hAnsi="Times New Roman"/>
                  <w:sz w:val="18"/>
                  <w:szCs w:val="18"/>
                  <w:color w:val="0000FF"/>
                  <w:w w:val="88"/>
                </w:rPr>
                <w:t>33</w:t>
              </w:r>
            </w:hyperlink>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420" w:type="dxa"/>
            <w:vAlign w:val="bottom"/>
            <w:tcBorders>
              <w:bottom w:val="single" w:sz="8" w:color="0000FF"/>
            </w:tcBorders>
            <w:gridSpan w:val="4"/>
          </w:tcPr>
          <w:p>
            <w:pPr>
              <w:spacing w:after="0"/>
              <w:rPr>
                <w:rFonts w:ascii="Times New Roman" w:cs="Times New Roman" w:eastAsia="Times New Roman" w:hAnsi="Times New Roman"/>
                <w:sz w:val="18"/>
                <w:szCs w:val="18"/>
                <w:b w:val="1"/>
                <w:bCs w:val="1"/>
                <w:color w:val="0000FF"/>
                <w:w w:val="96"/>
              </w:rPr>
            </w:pPr>
            <w:hyperlink w:anchor="page34">
              <w:r>
                <w:rPr>
                  <w:rFonts w:ascii="Times New Roman" w:cs="Times New Roman" w:eastAsia="Times New Roman" w:hAnsi="Times New Roman"/>
                  <w:sz w:val="18"/>
                  <w:szCs w:val="18"/>
                  <w:b w:val="1"/>
                  <w:bCs w:val="1"/>
                  <w:color w:val="0000FF"/>
                  <w:w w:val="96"/>
                </w:rPr>
                <w:t>Other Information</w:t>
              </w:r>
            </w:hyperlink>
          </w:p>
        </w:tc>
        <w:tc>
          <w:tcPr>
            <w:tcW w:w="7900" w:type="dxa"/>
            <w:vAlign w:val="bottom"/>
            <w:gridSpan w:val="16"/>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4">
              <w:r>
                <w:rPr>
                  <w:rFonts w:ascii="Times New Roman" w:cs="Times New Roman" w:eastAsia="Times New Roman" w:hAnsi="Times New Roman"/>
                  <w:sz w:val="18"/>
                  <w:szCs w:val="18"/>
                  <w:color w:val="0000FF"/>
                  <w:w w:val="88"/>
                </w:rPr>
                <w:t>33</w:t>
              </w:r>
            </w:hyperlink>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320" w:type="dxa"/>
            <w:vAlign w:val="bottom"/>
            <w:gridSpan w:val="20"/>
          </w:tcPr>
          <w:p>
            <w:pPr>
              <w:spacing w:after="0"/>
              <w:rPr>
                <w:rFonts w:ascii="Times New Roman" w:cs="Times New Roman" w:eastAsia="Times New Roman" w:hAnsi="Times New Roman"/>
                <w:sz w:val="18"/>
                <w:szCs w:val="18"/>
                <w:b w:val="1"/>
                <w:bCs w:val="1"/>
                <w:color w:val="0000FF"/>
              </w:rPr>
            </w:pPr>
            <w:hyperlink w:anchor="page34">
              <w:r>
                <w:rPr>
                  <w:rFonts w:ascii="Times New Roman" w:cs="Times New Roman" w:eastAsia="Times New Roman" w:hAnsi="Times New Roman"/>
                  <w:sz w:val="18"/>
                  <w:szCs w:val="18"/>
                  <w:b w:val="1"/>
                  <w:bCs w:val="1"/>
                  <w:color w:val="0000FF"/>
                </w:rPr>
                <w:t>Exhibits</w:t>
              </w:r>
            </w:hyperlink>
          </w:p>
        </w:tc>
        <w:tc>
          <w:tcPr>
            <w:tcW w:w="9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34</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1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66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2022</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Feb 28, 2021</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2022</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Feb 28, 2021</w:t>
            </w:r>
          </w:p>
        </w:tc>
        <w:tc>
          <w:tcPr>
            <w:tcW w:w="0" w:type="dxa"/>
            <w:vAlign w:val="bottom"/>
          </w:tcPr>
          <w:p>
            <w:pPr>
              <w:spacing w:after="0"/>
              <w:rPr>
                <w:sz w:val="1"/>
                <w:szCs w:val="1"/>
                <w:color w:val="auto"/>
              </w:rPr>
            </w:pPr>
          </w:p>
        </w:tc>
      </w:tr>
      <w:tr>
        <w:trPr>
          <w:trHeight w:val="217"/>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214,168</w:t>
            </w:r>
          </w:p>
        </w:tc>
        <w:tc>
          <w:tcPr>
            <w:tcW w:w="0" w:type="dxa"/>
            <w:vAlign w:val="bottom"/>
          </w:tcPr>
          <w:p>
            <w:pPr>
              <w:spacing w:after="0"/>
              <w:rPr>
                <w:sz w:val="1"/>
                <w:szCs w:val="1"/>
                <w:color w:val="auto"/>
              </w:rPr>
            </w:pPr>
          </w:p>
        </w:tc>
      </w:tr>
      <w:tr>
        <w:trPr>
          <w:trHeight w:val="224"/>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99,700</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114,468</w:t>
            </w:r>
          </w:p>
        </w:tc>
        <w:tc>
          <w:tcPr>
            <w:tcW w:w="0" w:type="dxa"/>
            <w:vAlign w:val="bottom"/>
          </w:tcPr>
          <w:p>
            <w:pPr>
              <w:spacing w:after="0"/>
              <w:rPr>
                <w:sz w:val="1"/>
                <w:szCs w:val="1"/>
                <w:color w:val="auto"/>
              </w:rPr>
            </w:pPr>
          </w:p>
        </w:tc>
      </w:tr>
      <w:tr>
        <w:trPr>
          <w:trHeight w:val="204"/>
        </w:trPr>
        <w:tc>
          <w:tcPr>
            <w:tcW w:w="48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27,286</w:t>
            </w:r>
          </w:p>
        </w:tc>
        <w:tc>
          <w:tcPr>
            <w:tcW w:w="0" w:type="dxa"/>
            <w:vAlign w:val="bottom"/>
          </w:tcPr>
          <w:p>
            <w:pPr>
              <w:spacing w:after="0"/>
              <w:rPr>
                <w:sz w:val="1"/>
                <w:szCs w:val="1"/>
                <w:color w:val="auto"/>
              </w:rPr>
            </w:pPr>
          </w:p>
        </w:tc>
      </w:tr>
      <w:tr>
        <w:trPr>
          <w:trHeight w:val="224"/>
        </w:trPr>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57,486</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26,787</w:t>
            </w:r>
          </w:p>
        </w:tc>
        <w:tc>
          <w:tcPr>
            <w:tcW w:w="0" w:type="dxa"/>
            <w:vAlign w:val="bottom"/>
          </w:tcPr>
          <w:p>
            <w:pPr>
              <w:spacing w:after="0"/>
              <w:rPr>
                <w:sz w:val="1"/>
                <w:szCs w:val="1"/>
                <w:color w:val="auto"/>
              </w:rPr>
            </w:pPr>
          </w:p>
        </w:tc>
      </w:tr>
      <w:tr>
        <w:trPr>
          <w:trHeight w:val="224"/>
        </w:trPr>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4"/>
        </w:trPr>
        <w:tc>
          <w:tcPr>
            <w:tcW w:w="4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141,351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128,164</w:t>
            </w: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0" w:type="dxa"/>
            <w:vAlign w:val="bottom"/>
          </w:tcPr>
          <w:p>
            <w:pPr>
              <w:spacing w:after="0"/>
              <w:rPr>
                <w:sz w:val="1"/>
                <w:szCs w:val="1"/>
                <w:color w:val="auto"/>
              </w:rPr>
            </w:pPr>
          </w:p>
        </w:tc>
      </w:tr>
      <w:tr>
        <w:trPr>
          <w:trHeight w:val="224"/>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shd w:val="clear" w:color="auto" w:fill="CCEEFF"/>
          </w:tcPr>
          <w:p>
            <w:pPr>
              <w:ind w:left="640"/>
              <w:spacing w:after="0" w:line="190"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(4,958)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(3,544)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(20,281)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(12,080)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32"/>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32"/>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32"/>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32"/>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68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82"/>
        </w:trPr>
        <w:tc>
          <w:tcPr>
            <w:tcW w:w="53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Feb 28, 2021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Feb 28, 2021</w:t>
            </w:r>
          </w:p>
        </w:tc>
        <w:tc>
          <w:tcPr>
            <w:tcW w:w="0" w:type="dxa"/>
            <w:vAlign w:val="bottom"/>
          </w:tcPr>
          <w:p>
            <w:pPr>
              <w:spacing w:after="0"/>
              <w:rPr>
                <w:sz w:val="1"/>
                <w:szCs w:val="1"/>
                <w:color w:val="auto"/>
              </w:rPr>
            </w:pPr>
          </w:p>
        </w:tc>
      </w:tr>
      <w:tr>
        <w:trPr>
          <w:trHeight w:val="217"/>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(4,958)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0" w:type="dxa"/>
            <w:vAlign w:val="bottom"/>
          </w:tcPr>
          <w:p>
            <w:pPr>
              <w:spacing w:after="0"/>
              <w:rPr>
                <w:sz w:val="1"/>
                <w:szCs w:val="1"/>
                <w:color w:val="auto"/>
              </w:rPr>
            </w:pPr>
          </w:p>
        </w:tc>
      </w:tr>
      <w:tr>
        <w:trPr>
          <w:trHeight w:val="224"/>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(1,036)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7"/>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00" w:type="dxa"/>
            <w:vAlign w:val="bottom"/>
          </w:tcPr>
          <w:p>
            <w:pPr>
              <w:spacing w:after="0"/>
              <w:rPr>
                <w:sz w:val="18"/>
                <w:szCs w:val="18"/>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(1,036)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171"/>
        </w:trPr>
        <w:tc>
          <w:tcPr>
            <w:tcW w:w="5380" w:type="dxa"/>
            <w:vAlign w:val="bottom"/>
            <w:shd w:val="clear" w:color="auto" w:fill="CCEEFF"/>
          </w:tcPr>
          <w:p>
            <w:pPr>
              <w:ind w:left="660"/>
              <w:spacing w:after="0" w:line="171" w:lineRule="exact"/>
              <w:rPr>
                <w:sz w:val="20"/>
                <w:szCs w:val="20"/>
                <w:color w:val="auto"/>
              </w:rPr>
            </w:pPr>
            <w:r>
              <w:rPr>
                <w:rFonts w:ascii="Times New Roman" w:cs="Times New Roman" w:eastAsia="Times New Roman" w:hAnsi="Times New Roman"/>
                <w:sz w:val="18"/>
                <w:szCs w:val="18"/>
                <w:color w:val="auto"/>
              </w:rPr>
              <w:t>Income tax expense related to items of other comprehensive</w:t>
            </w:r>
          </w:p>
        </w:tc>
        <w:tc>
          <w:tcPr>
            <w:tcW w:w="20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8"/>
              </w:rPr>
              <w:t>(1,036)</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42"/>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(5,994)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220" w:type="dxa"/>
            <w:vAlign w:val="bottom"/>
          </w:tcPr>
          <w:p>
            <w:pPr>
              <w:spacing w:after="0"/>
              <w:rPr>
                <w:sz w:val="16"/>
                <w:szCs w:val="16"/>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May 31, 2021</w:t>
            </w:r>
          </w:p>
        </w:tc>
        <w:tc>
          <w:tcPr>
            <w:tcW w:w="0" w:type="dxa"/>
            <w:vAlign w:val="bottom"/>
          </w:tcPr>
          <w:p>
            <w:pPr>
              <w:spacing w:after="0"/>
              <w:rPr>
                <w:sz w:val="1"/>
                <w:szCs w:val="1"/>
                <w:color w:val="auto"/>
              </w:rPr>
            </w:pPr>
          </w:p>
        </w:tc>
      </w:tr>
      <w:tr>
        <w:trPr>
          <w:trHeight w:val="209"/>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0" w:type="dxa"/>
            <w:vAlign w:val="bottom"/>
          </w:tcPr>
          <w:p>
            <w:pPr>
              <w:spacing w:after="0"/>
              <w:rPr>
                <w:sz w:val="1"/>
                <w:szCs w:val="1"/>
                <w:color w:val="auto"/>
              </w:rPr>
            </w:pPr>
          </w:p>
        </w:tc>
      </w:tr>
      <w:tr>
        <w:trPr>
          <w:trHeight w:val="2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$1,780 and $1,919 respectively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35,405</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48,614</w:t>
            </w: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140,879</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37,073</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168,977</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201,316</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0" w:type="dxa"/>
            <w:vAlign w:val="bottom"/>
          </w:tcPr>
          <w:p>
            <w:pPr>
              <w:spacing w:after="0"/>
              <w:rPr>
                <w:sz w:val="1"/>
                <w:szCs w:val="1"/>
                <w:color w:val="auto"/>
              </w:rPr>
            </w:pPr>
          </w:p>
        </w:tc>
      </w:tr>
      <w:tr>
        <w:trPr>
          <w:trHeight w:val="217"/>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543,178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561,438</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0" w:type="dxa"/>
            <w:vAlign w:val="bottom"/>
          </w:tcPr>
          <w:p>
            <w:pPr>
              <w:spacing w:after="0"/>
              <w:rPr>
                <w:sz w:val="1"/>
                <w:szCs w:val="1"/>
                <w:color w:val="auto"/>
              </w:rPr>
            </w:pPr>
          </w:p>
        </w:tc>
      </w:tr>
      <w:tr>
        <w:trPr>
          <w:trHeight w:val="2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35,459</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17"/>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57,584</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121,981</w:t>
            </w:r>
          </w:p>
        </w:tc>
        <w:tc>
          <w:tcPr>
            <w:tcW w:w="0" w:type="dxa"/>
            <w:vAlign w:val="bottom"/>
          </w:tcPr>
          <w:p>
            <w:pPr>
              <w:spacing w:after="0"/>
              <w:rPr>
                <w:sz w:val="1"/>
                <w:szCs w:val="1"/>
                <w:color w:val="auto"/>
              </w:rPr>
            </w:pPr>
          </w:p>
        </w:tc>
      </w:tr>
      <w:tr>
        <w:trPr>
          <w:trHeight w:val="204"/>
        </w:trPr>
        <w:tc>
          <w:tcPr>
            <w:tcW w:w="83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83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39,520,101 and 38,920,951 shares</w:t>
            </w: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issued and 39,150,101 and 38,550,951 shares outstanding at February 28, 2022 and May 31, 2021, respectively</w:t>
            </w: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573,507</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(131,866)</w:t>
            </w:r>
          </w:p>
        </w:tc>
        <w:tc>
          <w:tcPr>
            <w:tcW w:w="0" w:type="dxa"/>
            <w:vAlign w:val="bottom"/>
          </w:tcPr>
          <w:p>
            <w:pPr>
              <w:spacing w:after="0"/>
              <w:rPr>
                <w:sz w:val="1"/>
                <w:szCs w:val="1"/>
                <w:color w:val="auto"/>
              </w:rPr>
            </w:pPr>
          </w:p>
        </w:tc>
      </w:tr>
      <w:tr>
        <w:trPr>
          <w:trHeight w:val="2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370,000 shares at February 28, 2022 and May 31, 2021, respectively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439,457</w:t>
            </w: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561,438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82"/>
        </w:trPr>
        <w:tc>
          <w:tcPr>
            <w:tcW w:w="8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220" w:type="dxa"/>
            <w:vAlign w:val="bottom"/>
          </w:tcPr>
          <w:p>
            <w:pPr>
              <w:spacing w:after="0"/>
              <w:rPr>
                <w:sz w:val="15"/>
                <w:szCs w:val="15"/>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Feb 28, 2021</w:t>
            </w:r>
          </w:p>
        </w:tc>
      </w:tr>
      <w:tr>
        <w:trPr>
          <w:trHeight w:val="204"/>
        </w:trPr>
        <w:tc>
          <w:tcPr>
            <w:tcW w:w="834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(12,080)</w:t>
            </w: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w:t>
            </w:r>
          </w:p>
        </w:tc>
      </w:tr>
      <w:tr>
        <w:trPr>
          <w:trHeight w:val="224"/>
        </w:trPr>
        <w:tc>
          <w:tcPr>
            <w:tcW w:w="8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24"/>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r>
      <w:tr>
        <w:trPr>
          <w:trHeight w:val="224"/>
        </w:trPr>
        <w:tc>
          <w:tcPr>
            <w:tcW w:w="8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4"/>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24"/>
        </w:trPr>
        <w:tc>
          <w:tcPr>
            <w:tcW w:w="8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accounts receivable allowances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4"/>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Fixed and intangible asset impairments and disposals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4"/>
        </w:trPr>
        <w:tc>
          <w:tcPr>
            <w:tcW w:w="8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4"/>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8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24"/>
        </w:trPr>
        <w:tc>
          <w:tcPr>
            <w:tcW w:w="8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w:t>
            </w:r>
          </w:p>
        </w:tc>
      </w:tr>
      <w:tr>
        <w:trPr>
          <w:trHeight w:val="224"/>
        </w:trPr>
        <w:tc>
          <w:tcPr>
            <w:tcW w:w="8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r>
      <w:tr>
        <w:trPr>
          <w:trHeight w:val="224"/>
        </w:trPr>
        <w:tc>
          <w:tcPr>
            <w:tcW w:w="834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17"/>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w:t>
            </w:r>
          </w:p>
        </w:tc>
      </w:tr>
      <w:tr>
        <w:trPr>
          <w:trHeight w:val="204"/>
        </w:trPr>
        <w:tc>
          <w:tcPr>
            <w:tcW w:w="83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04"/>
        </w:trPr>
        <w:tc>
          <w:tcPr>
            <w:tcW w:w="83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borrowings on long-term debt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4"/>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17"/>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r>
      <w:tr>
        <w:trPr>
          <w:trHeight w:val="217"/>
        </w:trPr>
        <w:tc>
          <w:tcPr>
            <w:tcW w:w="834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7"/>
        </w:trPr>
        <w:tc>
          <w:tcPr>
            <w:tcW w:w="8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4"/>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54,435</w:t>
            </w:r>
          </w:p>
        </w:tc>
      </w:tr>
      <w:tr>
        <w:trPr>
          <w:trHeight w:val="242"/>
        </w:trPr>
        <w:tc>
          <w:tcPr>
            <w:tcW w:w="8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1"/>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 for capital expenditures incurred during the period</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040" w:type="dxa"/>
            <w:vAlign w:val="bottom"/>
            <w:gridSpan w:val="5"/>
          </w:tcPr>
          <w:p>
            <w:pPr>
              <w:ind w:left="54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7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restart"/>
          </w:tcPr>
          <w:p>
            <w:pPr>
              <w:jc w:val="center"/>
              <w:ind w:right="240"/>
              <w:spacing w:after="0" w:line="132" w:lineRule="exact"/>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3"/>
                <w:szCs w:val="3"/>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3"/>
                <w:szCs w:val="3"/>
                <w:color w:val="auto"/>
              </w:rPr>
            </w:pPr>
          </w:p>
        </w:tc>
        <w:tc>
          <w:tcPr>
            <w:tcW w:w="1160" w:type="dxa"/>
            <w:vAlign w:val="bottom"/>
            <w:gridSpan w:val="2"/>
            <w:vMerge w:val="restart"/>
          </w:tcPr>
          <w:p>
            <w:pPr>
              <w:jc w:val="center"/>
              <w:ind w:right="240"/>
              <w:spacing w:after="0" w:line="132" w:lineRule="exact"/>
              <w:rPr>
                <w:sz w:val="20"/>
                <w:szCs w:val="20"/>
                <w:color w:val="auto"/>
              </w:rPr>
            </w:pPr>
            <w:r>
              <w:rPr>
                <w:rFonts w:ascii="Times New Roman" w:cs="Times New Roman" w:eastAsia="Times New Roman" w:hAnsi="Times New Roman"/>
                <w:sz w:val="14"/>
                <w:szCs w:val="14"/>
                <w:color w:val="auto"/>
                <w:w w:val="97"/>
              </w:rPr>
              <w:t>other</w:t>
            </w: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2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74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color w:val="auto"/>
              </w:rPr>
              <w:t>paid in</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color w:val="auto"/>
                <w:w w:val="99"/>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1"/>
                <w:szCs w:val="11"/>
                <w:color w:val="auto"/>
              </w:rPr>
            </w:pPr>
          </w:p>
        </w:tc>
        <w:tc>
          <w:tcPr>
            <w:tcW w:w="76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income</w:t>
            </w: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38,920,951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439,457</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0" w:type="dxa"/>
            <w:vAlign w:val="bottom"/>
          </w:tcPr>
          <w:p>
            <w:pPr>
              <w:spacing w:after="0"/>
              <w:rPr>
                <w:sz w:val="1"/>
                <w:szCs w:val="1"/>
                <w:color w:val="auto"/>
              </w:rPr>
            </w:pPr>
          </w:p>
        </w:tc>
      </w:tr>
      <w:tr>
        <w:trPr>
          <w:trHeight w:val="158"/>
        </w:trPr>
        <w:tc>
          <w:tcPr>
            <w:tcW w:w="2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279,495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7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39,390,241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576,380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435,950</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0" w:type="dxa"/>
            <w:vAlign w:val="bottom"/>
          </w:tcPr>
          <w:p>
            <w:pPr>
              <w:spacing w:after="0"/>
              <w:rPr>
                <w:sz w:val="1"/>
                <w:szCs w:val="1"/>
                <w:color w:val="auto"/>
              </w:rPr>
            </w:pPr>
          </w:p>
        </w:tc>
      </w:tr>
      <w:tr>
        <w:trPr>
          <w:trHeight w:val="158"/>
        </w:trPr>
        <w:tc>
          <w:tcPr>
            <w:tcW w:w="2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202"/>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39,455,193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580,330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432,368</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60"/>
        </w:trPr>
        <w:tc>
          <w:tcPr>
            <w:tcW w:w="27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28,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39,520,101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583,647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(152,147)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429,692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740" w:type="dxa"/>
            <w:vAlign w:val="bottom"/>
            <w:gridSpan w:val="2"/>
          </w:tcPr>
          <w:p>
            <w:pPr>
              <w:spacing w:after="0"/>
              <w:rPr>
                <w:rFonts w:ascii="Times New Roman" w:cs="Times New Roman" w:eastAsia="Times New Roman" w:hAnsi="Times New Roman"/>
                <w:sz w:val="14"/>
                <w:szCs w:val="14"/>
                <w:color w:val="0000FF"/>
              </w:rPr>
            </w:pPr>
            <w:hyperlink w:anchor="page2">
              <w:r>
                <w:rPr>
                  <w:rFonts w:ascii="Times New Roman" w:cs="Times New Roman" w:eastAsia="Times New Roman" w:hAnsi="Times New Roman"/>
                  <w:sz w:val="14"/>
                  <w:szCs w:val="14"/>
                  <w:color w:val="0000FF"/>
                </w:rPr>
                <w:t>Table of Contents</w:t>
              </w:r>
            </w:hyperlink>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8"/>
        </w:trPr>
        <w:tc>
          <w:tcPr>
            <w:tcW w:w="1000" w:type="dxa"/>
            <w:vAlign w:val="bottom"/>
            <w:tcBorders>
              <w:top w:val="single" w:sz="8" w:color="0000FF"/>
            </w:tcBorders>
          </w:tcPr>
          <w:p>
            <w:pPr>
              <w:spacing w:after="0"/>
              <w:rPr>
                <w:sz w:val="24"/>
                <w:szCs w:val="24"/>
                <w:color w:val="auto"/>
              </w:rPr>
            </w:pPr>
          </w:p>
        </w:tc>
        <w:tc>
          <w:tcPr>
            <w:tcW w:w="1740" w:type="dxa"/>
            <w:vAlign w:val="bottom"/>
          </w:tcPr>
          <w:p>
            <w:pPr>
              <w:spacing w:after="0"/>
              <w:rPr>
                <w:sz w:val="24"/>
                <w:szCs w:val="24"/>
                <w:color w:val="auto"/>
              </w:rPr>
            </w:pPr>
          </w:p>
        </w:tc>
        <w:tc>
          <w:tcPr>
            <w:tcW w:w="2040" w:type="dxa"/>
            <w:vAlign w:val="bottom"/>
            <w:gridSpan w:val="5"/>
          </w:tcPr>
          <w:p>
            <w:pPr>
              <w:ind w:left="54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restart"/>
          </w:tcPr>
          <w:p>
            <w:pPr>
              <w:jc w:val="center"/>
              <w:ind w:right="240"/>
              <w:spacing w:after="0" w:line="132" w:lineRule="exact"/>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3"/>
                <w:szCs w:val="3"/>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3"/>
                <w:szCs w:val="3"/>
                <w:color w:val="auto"/>
              </w:rPr>
            </w:pPr>
          </w:p>
        </w:tc>
        <w:tc>
          <w:tcPr>
            <w:tcW w:w="1160" w:type="dxa"/>
            <w:vAlign w:val="bottom"/>
            <w:gridSpan w:val="2"/>
            <w:vMerge w:val="restart"/>
          </w:tcPr>
          <w:p>
            <w:pPr>
              <w:jc w:val="center"/>
              <w:ind w:right="240"/>
              <w:spacing w:after="0" w:line="132" w:lineRule="exact"/>
              <w:rPr>
                <w:sz w:val="20"/>
                <w:szCs w:val="20"/>
                <w:color w:val="auto"/>
              </w:rPr>
            </w:pPr>
            <w:r>
              <w:rPr>
                <w:rFonts w:ascii="Times New Roman" w:cs="Times New Roman" w:eastAsia="Times New Roman" w:hAnsi="Times New Roman"/>
                <w:sz w:val="14"/>
                <w:szCs w:val="14"/>
                <w:color w:val="auto"/>
                <w:w w:val="97"/>
              </w:rPr>
              <w:t>other</w:t>
            </w: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10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color w:val="auto"/>
              </w:rPr>
              <w:t>paid in</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color w:val="auto"/>
                <w:w w:val="99"/>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1"/>
                <w:szCs w:val="11"/>
                <w:color w:val="auto"/>
              </w:rPr>
            </w:pPr>
          </w:p>
        </w:tc>
        <w:tc>
          <w:tcPr>
            <w:tcW w:w="76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income (loss)</w:t>
            </w: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38,448,536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561,871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454,872</w:t>
            </w:r>
          </w:p>
        </w:tc>
        <w:tc>
          <w:tcPr>
            <w:tcW w:w="0" w:type="dxa"/>
            <w:vAlign w:val="bottom"/>
          </w:tcPr>
          <w:p>
            <w:pPr>
              <w:spacing w:after="0"/>
              <w:rPr>
                <w:sz w:val="1"/>
                <w:szCs w:val="1"/>
                <w:color w:val="auto"/>
              </w:rPr>
            </w:pPr>
          </w:p>
        </w:tc>
      </w:tr>
      <w:tr>
        <w:trPr>
          <w:trHeight w:val="20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0" w:type="dxa"/>
            <w:vAlign w:val="bottom"/>
          </w:tcPr>
          <w:p>
            <w:pPr>
              <w:spacing w:after="0"/>
              <w:rPr>
                <w:sz w:val="1"/>
                <w:szCs w:val="1"/>
                <w:color w:val="auto"/>
              </w:rPr>
            </w:pPr>
          </w:p>
        </w:tc>
      </w:tr>
      <w:tr>
        <w:trPr>
          <w:trHeight w:val="160"/>
        </w:trPr>
        <w:tc>
          <w:tcPr>
            <w:tcW w:w="274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164,946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1"/>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2"/>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0" w:type="dxa"/>
            <w:vAlign w:val="bottom"/>
          </w:tcPr>
          <w:p>
            <w:pPr>
              <w:spacing w:after="0"/>
              <w:rPr>
                <w:sz w:val="1"/>
                <w:szCs w:val="1"/>
                <w:color w:val="auto"/>
              </w:rPr>
            </w:pPr>
          </w:p>
        </w:tc>
      </w:tr>
      <w:tr>
        <w:trPr>
          <w:trHeight w:val="206"/>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38,693,078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455,054</w:t>
            </w:r>
          </w:p>
        </w:tc>
        <w:tc>
          <w:tcPr>
            <w:tcW w:w="0" w:type="dxa"/>
            <w:vAlign w:val="bottom"/>
          </w:tcPr>
          <w:p>
            <w:pPr>
              <w:spacing w:after="0"/>
              <w:rPr>
                <w:sz w:val="1"/>
                <w:szCs w:val="1"/>
                <w:color w:val="auto"/>
              </w:rPr>
            </w:pPr>
          </w:p>
        </w:tc>
      </w:tr>
      <w:tr>
        <w:trPr>
          <w:trHeight w:val="20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0" w:type="dxa"/>
            <w:vAlign w:val="bottom"/>
          </w:tcPr>
          <w:p>
            <w:pPr>
              <w:spacing w:after="0"/>
              <w:rPr>
                <w:sz w:val="1"/>
                <w:szCs w:val="1"/>
                <w:color w:val="auto"/>
              </w:rPr>
            </w:pPr>
          </w:p>
        </w:tc>
      </w:tr>
      <w:tr>
        <w:trPr>
          <w:trHeight w:val="160"/>
        </w:trPr>
        <w:tc>
          <w:tcPr>
            <w:tcW w:w="274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1"/>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0" w:type="dxa"/>
            <w:vAlign w:val="bottom"/>
          </w:tcPr>
          <w:p>
            <w:pPr>
              <w:spacing w:after="0"/>
              <w:rPr>
                <w:sz w:val="1"/>
                <w:szCs w:val="1"/>
                <w:color w:val="auto"/>
              </w:rPr>
            </w:pPr>
          </w:p>
        </w:tc>
      </w:tr>
      <w:tr>
        <w:trPr>
          <w:trHeight w:val="212"/>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02"/>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38,702,030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566,602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454,343</w:t>
            </w:r>
          </w:p>
        </w:tc>
        <w:tc>
          <w:tcPr>
            <w:tcW w:w="0" w:type="dxa"/>
            <w:vAlign w:val="bottom"/>
          </w:tcPr>
          <w:p>
            <w:pPr>
              <w:spacing w:after="0"/>
              <w:rPr>
                <w:sz w:val="1"/>
                <w:szCs w:val="1"/>
                <w:color w:val="auto"/>
              </w:rPr>
            </w:pPr>
          </w:p>
        </w:tc>
      </w:tr>
      <w:tr>
        <w:trPr>
          <w:trHeight w:val="212"/>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0" w:type="dxa"/>
            <w:vAlign w:val="bottom"/>
          </w:tcPr>
          <w:p>
            <w:pPr>
              <w:spacing w:after="0"/>
              <w:rPr>
                <w:sz w:val="1"/>
                <w:szCs w:val="1"/>
                <w:color w:val="auto"/>
              </w:rPr>
            </w:pPr>
          </w:p>
        </w:tc>
      </w:tr>
      <w:tr>
        <w:trPr>
          <w:trHeight w:val="20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160"/>
        </w:trPr>
        <w:tc>
          <w:tcPr>
            <w:tcW w:w="274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1"/>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12"/>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28,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38,877,367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454,936</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44" w:lineRule="exact"/>
        <w:rPr>
          <w:sz w:val="20"/>
          <w:szCs w:val="20"/>
          <w:color w:val="auto"/>
        </w:rPr>
      </w:pPr>
    </w:p>
    <w:p>
      <w:pPr>
        <w:ind w:right="80" w:firstLine="395"/>
        <w:spacing w:after="0" w:line="284" w:lineRule="auto"/>
        <w:rPr>
          <w:sz w:val="20"/>
          <w:szCs w:val="20"/>
          <w:color w:val="auto"/>
        </w:rPr>
      </w:pPr>
      <w:r>
        <w:rPr>
          <w:rFonts w:ascii="Times New Roman" w:cs="Times New Roman" w:eastAsia="Times New Roman" w:hAnsi="Times New Roman"/>
          <w:sz w:val="16"/>
          <w:szCs w:val="16"/>
          <w:color w:val="auto"/>
        </w:rPr>
        <w:t>The Consolidated Statements of Operations and the Consolidated Statements of Comprehensive Loss for the three and nine months ended February 28, 2022 and 2021, the Consolidated Balance Sheet as of February 28, 2022, the Consolidated Statements of Cash Flows for the nine months ended February 28, 2022 and 2021, and the Consolidated Statements of Stockholders’ Equity for the nine months ended February 28, 2022 and 2021 have been prepared by the Company and are unaudited. The Consolidated Balance Sheet as of May 31, 2021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February 28, 2022 (and for all periods presented) have been made.</w:t>
      </w:r>
    </w:p>
    <w:p>
      <w:pPr>
        <w:spacing w:after="0" w:line="108" w:lineRule="exact"/>
        <w:rPr>
          <w:sz w:val="20"/>
          <w:szCs w:val="20"/>
          <w:color w:val="auto"/>
        </w:rPr>
      </w:pPr>
    </w:p>
    <w:p>
      <w:pPr>
        <w:ind w:right="360" w:firstLine="395"/>
        <w:spacing w:after="0" w:line="256" w:lineRule="auto"/>
        <w:rPr>
          <w:sz w:val="20"/>
          <w:szCs w:val="20"/>
          <w:color w:val="auto"/>
        </w:rPr>
      </w:pPr>
      <w:r>
        <w:rPr>
          <w:rFonts w:ascii="Times New Roman" w:cs="Times New Roman" w:eastAsia="Times New Roman" w:hAnsi="Times New Roman"/>
          <w:sz w:val="18"/>
          <w:szCs w:val="18"/>
          <w:color w:val="auto"/>
        </w:rPr>
        <w:t>The unaudited interim consolidated financial statements for the three and nine months ended February 28, 2022 and 2021 include the accounts of AngioDynamics, Inc. and its wholly owned subsidiaries, collectively, "us", "we" or the “Company”. All intercompany balances and transactions have been eliminated.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Camaro Support Catheter Asset Acquisition</w:t>
      </w:r>
    </w:p>
    <w:p>
      <w:pPr>
        <w:spacing w:after="0" w:line="163"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On July 27, 2021, the Company acquired the Camaro support catheter (rebranded as Syntrax) from QX Medical, LLC for an aggregate purchase price of $4.0 million, which included an upfront payment of $3.6 million and $0.4 million in purchase price holdbacks, along with $1.0 million of potential future contingent consideration related to revenue milestones. This acquisition supports the Auryon product family and the Company's strategic plan. The Company accounted for this acquisition as an asset purchase. The Company recorded the amount paid at closing as inventory and fixed assets of $0.1 million and an intangible asset product technology of $3.9 million. The intangible asset will be amortized over 15 years. The contingent consideration is comprised of revenue milestones and will be accounted for when the contingency is resolved or becomes probable and reasonably estimable.</w:t>
      </w:r>
    </w:p>
    <w:p>
      <w:pPr>
        <w:spacing w:after="0" w:line="183" w:lineRule="exact"/>
        <w:rPr>
          <w:sz w:val="20"/>
          <w:szCs w:val="20"/>
          <w:color w:val="auto"/>
        </w:rPr>
      </w:pPr>
    </w:p>
    <w:p>
      <w:pPr>
        <w:ind w:right="6780" w:firstLine="5"/>
        <w:spacing w:after="0" w:line="427" w:lineRule="auto"/>
        <w:tabs>
          <w:tab w:leader="none" w:pos="17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ind w:right="260" w:firstLine="395"/>
        <w:spacing w:after="0" w:line="250"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net sales by Global Business Unit ("GBU") and geography: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518"/>
              <w:spacing w:after="0"/>
              <w:rPr>
                <w:sz w:val="20"/>
                <w:szCs w:val="20"/>
                <w:color w:val="auto"/>
              </w:rPr>
            </w:pPr>
            <w:r>
              <w:rPr>
                <w:rFonts w:ascii="Times New Roman" w:cs="Times New Roman" w:eastAsia="Times New Roman" w:hAnsi="Times New Roman"/>
                <w:sz w:val="14"/>
                <w:szCs w:val="14"/>
                <w:color w:val="auto"/>
              </w:rPr>
              <w:t>Three Months Ended Feb 28, 2022</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518"/>
              <w:spacing w:after="0"/>
              <w:rPr>
                <w:sz w:val="20"/>
                <w:szCs w:val="20"/>
                <w:color w:val="auto"/>
              </w:rPr>
            </w:pPr>
            <w:r>
              <w:rPr>
                <w:rFonts w:ascii="Times New Roman" w:cs="Times New Roman" w:eastAsia="Times New Roman" w:hAnsi="Times New Roman"/>
                <w:sz w:val="14"/>
                <w:szCs w:val="14"/>
                <w:color w:val="auto"/>
              </w:rPr>
              <w:t>Three Months Ended Feb 28, 2021</w:t>
            </w:r>
          </w:p>
        </w:tc>
        <w:tc>
          <w:tcPr>
            <w:tcW w:w="740" w:type="dxa"/>
            <w:vAlign w:val="bottom"/>
            <w:tcBorders>
              <w:bottom w:val="single" w:sz="8" w:color="auto"/>
            </w:tcBorders>
          </w:tcPr>
          <w:p>
            <w:pPr>
              <w:spacing w:after="0"/>
              <w:rPr>
                <w:sz w:val="16"/>
                <w:szCs w:val="16"/>
                <w:color w:val="auto"/>
              </w:rPr>
            </w:pPr>
          </w:p>
        </w:tc>
      </w:tr>
      <w:tr>
        <w:trPr>
          <w:trHeight w:val="184"/>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International</w:t>
            </w:r>
          </w:p>
        </w:tc>
        <w:tc>
          <w:tcPr>
            <w:tcW w:w="360" w:type="dxa"/>
            <w:vAlign w:val="bottom"/>
          </w:tcPr>
          <w:p>
            <w:pPr>
              <w:spacing w:after="0"/>
              <w:rPr>
                <w:sz w:val="15"/>
                <w:szCs w:val="15"/>
                <w:color w:val="auto"/>
              </w:rPr>
            </w:pPr>
          </w:p>
        </w:tc>
        <w:tc>
          <w:tcPr>
            <w:tcW w:w="72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International</w:t>
            </w:r>
          </w:p>
        </w:tc>
        <w:tc>
          <w:tcPr>
            <w:tcW w:w="360" w:type="dxa"/>
            <w:vAlign w:val="bottom"/>
          </w:tcPr>
          <w:p>
            <w:pPr>
              <w:spacing w:after="0"/>
              <w:rPr>
                <w:sz w:val="15"/>
                <w:szCs w:val="15"/>
                <w:color w:val="auto"/>
              </w:rPr>
            </w:pPr>
          </w:p>
        </w:tc>
        <w:tc>
          <w:tcPr>
            <w:tcW w:w="7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Total</w:t>
            </w:r>
          </w:p>
        </w:tc>
      </w:tr>
      <w:tr>
        <w:trPr>
          <w:trHeight w:val="204"/>
        </w:trPr>
        <w:tc>
          <w:tcPr>
            <w:tcW w:w="412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24"/>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Endovascular Therapies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33,251</w:t>
            </w:r>
          </w:p>
        </w:tc>
      </w:tr>
      <w:tr>
        <w:trPr>
          <w:trHeight w:val="224"/>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24,813</w:t>
            </w:r>
          </w:p>
        </w:tc>
      </w:tr>
      <w:tr>
        <w:trPr>
          <w:trHeight w:val="224"/>
        </w:trPr>
        <w:tc>
          <w:tcPr>
            <w:tcW w:w="4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Oncology</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13,118</w:t>
            </w:r>
          </w:p>
        </w:tc>
      </w:tr>
      <w:tr>
        <w:trPr>
          <w:trHeight w:val="242"/>
        </w:trPr>
        <w:tc>
          <w:tcPr>
            <w:tcW w:w="4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4100" w:type="dxa"/>
            <w:vAlign w:val="bottom"/>
            <w:gridSpan w:val="2"/>
          </w:tcPr>
          <w:p>
            <w:pPr>
              <w:spacing w:after="0"/>
              <w:rPr>
                <w:rFonts w:ascii="Times New Roman" w:cs="Times New Roman" w:eastAsia="Times New Roman" w:hAnsi="Times New Roman"/>
                <w:sz w:val="14"/>
                <w:szCs w:val="14"/>
                <w:color w:val="0000FF"/>
              </w:rPr>
            </w:pPr>
            <w:hyperlink w:anchor="page2">
              <w:r>
                <w:rPr>
                  <w:rFonts w:ascii="Times New Roman" w:cs="Times New Roman" w:eastAsia="Times New Roman" w:hAnsi="Times New Roman"/>
                  <w:sz w:val="14"/>
                  <w:szCs w:val="14"/>
                  <w:color w:val="0000FF"/>
                </w:rPr>
                <w:t>Table of Contents</w:t>
              </w:r>
            </w:hyperlink>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802"/>
        </w:trPr>
        <w:tc>
          <w:tcPr>
            <w:tcW w:w="1000" w:type="dxa"/>
            <w:vAlign w:val="bottom"/>
            <w:tcBorders>
              <w:top w:val="single" w:sz="8" w:color="0000FF"/>
            </w:tcBorders>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18"/>
              <w:spacing w:after="0"/>
              <w:rPr>
                <w:sz w:val="20"/>
                <w:szCs w:val="20"/>
                <w:color w:val="auto"/>
              </w:rPr>
            </w:pPr>
            <w:r>
              <w:rPr>
                <w:rFonts w:ascii="Times New Roman" w:cs="Times New Roman" w:eastAsia="Times New Roman" w:hAnsi="Times New Roman"/>
                <w:sz w:val="14"/>
                <w:szCs w:val="14"/>
                <w:color w:val="auto"/>
              </w:rPr>
              <w:t>Nine Months Ended Feb 28, 2022</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18"/>
              <w:spacing w:after="0"/>
              <w:rPr>
                <w:sz w:val="20"/>
                <w:szCs w:val="20"/>
                <w:color w:val="auto"/>
              </w:rPr>
            </w:pPr>
            <w:r>
              <w:rPr>
                <w:rFonts w:ascii="Times New Roman" w:cs="Times New Roman" w:eastAsia="Times New Roman" w:hAnsi="Times New Roman"/>
                <w:sz w:val="14"/>
                <w:szCs w:val="14"/>
                <w:color w:val="auto"/>
              </w:rPr>
              <w:t>Nine Months Ended Feb 28, 2021</w:t>
            </w:r>
          </w:p>
        </w:tc>
        <w:tc>
          <w:tcPr>
            <w:tcW w:w="760" w:type="dxa"/>
            <w:vAlign w:val="bottom"/>
            <w:tcBorders>
              <w:bottom w:val="single" w:sz="8" w:color="auto"/>
            </w:tcBorders>
          </w:tcPr>
          <w:p>
            <w:pPr>
              <w:spacing w:after="0"/>
              <w:rPr>
                <w:sz w:val="24"/>
                <w:szCs w:val="24"/>
                <w:color w:val="auto"/>
              </w:rPr>
            </w:pPr>
          </w:p>
        </w:tc>
      </w:tr>
      <w:tr>
        <w:trPr>
          <w:trHeight w:val="184"/>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International</w:t>
            </w:r>
          </w:p>
        </w:tc>
        <w:tc>
          <w:tcPr>
            <w:tcW w:w="360" w:type="dxa"/>
            <w:vAlign w:val="bottom"/>
          </w:tcPr>
          <w:p>
            <w:pPr>
              <w:spacing w:after="0"/>
              <w:rPr>
                <w:sz w:val="15"/>
                <w:szCs w:val="15"/>
                <w:color w:val="auto"/>
              </w:rPr>
            </w:pPr>
          </w:p>
        </w:tc>
        <w:tc>
          <w:tcPr>
            <w:tcW w:w="760" w:type="dxa"/>
            <w:vAlign w:val="bottom"/>
          </w:tcPr>
          <w:p>
            <w:pPr>
              <w:jc w:val="right"/>
              <w:ind w:right="336"/>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International</w:t>
            </w:r>
          </w:p>
        </w:tc>
        <w:tc>
          <w:tcPr>
            <w:tcW w:w="340" w:type="dxa"/>
            <w:vAlign w:val="bottom"/>
          </w:tcPr>
          <w:p>
            <w:pPr>
              <w:spacing w:after="0"/>
              <w:rPr>
                <w:sz w:val="15"/>
                <w:szCs w:val="15"/>
                <w:color w:val="auto"/>
              </w:rPr>
            </w:pPr>
          </w:p>
        </w:tc>
        <w:tc>
          <w:tcPr>
            <w:tcW w:w="76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Total</w:t>
            </w:r>
          </w:p>
        </w:tc>
      </w:tr>
      <w:tr>
        <w:trPr>
          <w:trHeight w:val="204"/>
        </w:trPr>
        <w:tc>
          <w:tcPr>
            <w:tcW w:w="410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24"/>
        </w:trPr>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Endovascular Therapies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97,008</w:t>
            </w:r>
          </w:p>
        </w:tc>
      </w:tr>
      <w:tr>
        <w:trPr>
          <w:trHeight w:val="224"/>
        </w:trPr>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76,848</w:t>
            </w:r>
          </w:p>
        </w:tc>
      </w:tr>
      <w:tr>
        <w:trPr>
          <w:trHeight w:val="224"/>
        </w:trPr>
        <w:tc>
          <w:tcPr>
            <w:tcW w:w="41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Oncology</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40,312</w:t>
            </w:r>
          </w:p>
        </w:tc>
      </w:tr>
      <w:tr>
        <w:trPr>
          <w:trHeight w:val="242"/>
        </w:trPr>
        <w:tc>
          <w:tcPr>
            <w:tcW w:w="41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214,168</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As the Company has previously announced, the Company is focused on its ongoing transformation from a company with a broad portfolio of largely undifferentiated products to a more focused medical technology company that delivers unique and 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we believe the growth in the near to mid-term will be driven by our high technology products including Auryon, Thrombectomy (which includes AngioVac, AlphaVac and thrombolytics) and NanoKnife. We will refer to these high technology products as our Med Tech business and we will refer to the remainder of the portfolio as our Med Device business.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net sales by Med Tech and Med Device: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8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740" w:type="dxa"/>
            <w:vAlign w:val="bottom"/>
            <w:gridSpan w:val="4"/>
          </w:tcPr>
          <w:p>
            <w:pPr>
              <w:jc w:val="right"/>
              <w:ind w:right="837"/>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84"/>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color w:val="auto"/>
              </w:rPr>
              <w:t>Feb 28, 2021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color w:val="auto"/>
              </w:rPr>
              <w:t>Feb 28, 2021</w:t>
            </w:r>
          </w:p>
        </w:tc>
      </w:tr>
      <w:tr>
        <w:trPr>
          <w:trHeight w:val="204"/>
        </w:trPr>
        <w:tc>
          <w:tcPr>
            <w:tcW w:w="52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4"/>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19,612</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56,117</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39,581</w:t>
            </w:r>
          </w:p>
        </w:tc>
      </w:tr>
      <w:tr>
        <w:trPr>
          <w:trHeight w:val="224"/>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54,358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174,587</w:t>
            </w:r>
          </w:p>
        </w:tc>
      </w:tr>
      <w:tr>
        <w:trPr>
          <w:trHeight w:val="217"/>
        </w:trPr>
        <w:tc>
          <w:tcPr>
            <w:tcW w:w="5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73,970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214,168</w:t>
            </w: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6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63"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63"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17"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3"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27"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7"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7"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63" w:lineRule="exact"/>
        <w:rPr>
          <w:sz w:val="20"/>
          <w:szCs w:val="20"/>
          <w:color w:val="auto"/>
        </w:rPr>
      </w:pPr>
    </w:p>
    <w:p>
      <w:pPr>
        <w:jc w:val="both"/>
        <w:ind w:right="60" w:firstLine="395"/>
        <w:spacing w:after="0" w:line="256" w:lineRule="auto"/>
        <w:rPr>
          <w:sz w:val="20"/>
          <w:szCs w:val="20"/>
          <w:color w:val="auto"/>
        </w:rPr>
      </w:pPr>
      <w:r>
        <w:rPr>
          <w:rFonts w:ascii="Times New Roman" w:cs="Times New Roman" w:eastAsia="Times New Roman" w:hAnsi="Times New Roman"/>
          <w:sz w:val="18"/>
          <w:szCs w:val="18"/>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27" w:lineRule="exact"/>
        <w:rPr>
          <w:sz w:val="20"/>
          <w:szCs w:val="20"/>
          <w:color w:val="auto"/>
        </w:rPr>
      </w:pPr>
    </w:p>
    <w:p>
      <w:pPr>
        <w:ind w:right="80" w:firstLine="395"/>
        <w:spacing w:after="0" w:line="293" w:lineRule="auto"/>
        <w:rPr>
          <w:sz w:val="20"/>
          <w:szCs w:val="20"/>
          <w:color w:val="auto"/>
        </w:rPr>
      </w:pPr>
      <w:r>
        <w:rPr>
          <w:rFonts w:ascii="Times New Roman" w:cs="Times New Roman" w:eastAsia="Times New Roman" w:hAnsi="Times New Roman"/>
          <w:sz w:val="16"/>
          <w:szCs w:val="16"/>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02"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nine months ended February 28, 2022, such product returns were not 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63"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220" w:type="dxa"/>
            <w:vAlign w:val="bottom"/>
          </w:tcPr>
          <w:p>
            <w:pPr>
              <w:spacing w:after="0"/>
              <w:rPr>
                <w:sz w:val="16"/>
                <w:szCs w:val="16"/>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May 31, 2021</w:t>
            </w:r>
          </w:p>
        </w:tc>
      </w:tr>
      <w:tr>
        <w:trPr>
          <w:trHeight w:val="222"/>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35,405</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February 28, 2022, the Company had additions to contract liabilities of $1.6 million. This was offset by $1.6 million in revenue that was recognized during the nine months ended February 28,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or Fulfill a Customer Contract</w:t>
      </w:r>
    </w:p>
    <w:p>
      <w:pPr>
        <w:spacing w:after="0" w:line="163"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1" w:lineRule="exact"/>
        <w:rPr>
          <w:sz w:val="20"/>
          <w:szCs w:val="20"/>
          <w:color w:val="auto"/>
        </w:rPr>
      </w:pPr>
    </w:p>
    <w:p>
      <w:pPr>
        <w:ind w:right="20" w:firstLine="395"/>
        <w:spacing w:after="0" w:line="303" w:lineRule="auto"/>
        <w:rPr>
          <w:sz w:val="20"/>
          <w:szCs w:val="20"/>
          <w:color w:val="auto"/>
        </w:rPr>
      </w:pPr>
      <w:r>
        <w:rPr>
          <w:rFonts w:ascii="Times New Roman" w:cs="Times New Roman" w:eastAsia="Times New Roman" w:hAnsi="Times New Roman"/>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2022</w:t>
            </w:r>
          </w:p>
        </w:tc>
        <w:tc>
          <w:tcPr>
            <w:tcW w:w="600" w:type="dxa"/>
            <w:vAlign w:val="bottom"/>
          </w:tcPr>
          <w:p>
            <w:pPr>
              <w:spacing w:after="0"/>
              <w:rPr>
                <w:sz w:val="16"/>
                <w:szCs w:val="16"/>
                <w:color w:val="auto"/>
              </w:rPr>
            </w:pPr>
          </w:p>
        </w:tc>
        <w:tc>
          <w:tcPr>
            <w:tcW w:w="120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May 31, 2021</w:t>
            </w:r>
          </w:p>
        </w:tc>
      </w:tr>
      <w:tr>
        <w:trPr>
          <w:trHeight w:val="222"/>
        </w:trPr>
        <w:tc>
          <w:tcPr>
            <w:tcW w:w="752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Raw materials</w:t>
            </w:r>
          </w:p>
        </w:tc>
        <w:tc>
          <w:tcPr>
            <w:tcW w:w="6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22,925</w:t>
            </w:r>
          </w:p>
        </w:tc>
      </w:tr>
      <w:tr>
        <w:trPr>
          <w:trHeight w:val="224"/>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Work in process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r>
      <w:tr>
        <w:trPr>
          <w:trHeight w:val="224"/>
        </w:trPr>
        <w:tc>
          <w:tcPr>
            <w:tcW w:w="7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Finished goods</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17,667</w:t>
            </w:r>
          </w:p>
        </w:tc>
      </w:tr>
      <w:tr>
        <w:trPr>
          <w:trHeight w:val="217"/>
        </w:trPr>
        <w:tc>
          <w:tcPr>
            <w:tcW w:w="7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48,039</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48,614</w:t>
            </w:r>
          </w:p>
        </w:tc>
      </w:tr>
      <w:tr>
        <w:trPr>
          <w:trHeight w:val="20"/>
        </w:trPr>
        <w:tc>
          <w:tcPr>
            <w:tcW w:w="7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February 28, 2022 and May 31, 2021 was $4.1 million and $3.8 million, respectively.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5"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17"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Company's annual testing for impairment of goodwill was completed as of December 31, 2021.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3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Even though the Company determined that there was no goodwill impairment as of December 31, 2021,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2022.</w:t>
      </w:r>
    </w:p>
    <w:p>
      <w:pPr>
        <w:spacing w:after="0" w:line="131" w:lineRule="exact"/>
        <w:rPr>
          <w:sz w:val="20"/>
          <w:szCs w:val="20"/>
          <w:color w:val="auto"/>
        </w:rPr>
      </w:pPr>
    </w:p>
    <w:p>
      <w:pPr>
        <w:ind w:right="1220" w:firstLine="395"/>
        <w:spacing w:after="0" w:line="427" w:lineRule="auto"/>
        <w:rPr>
          <w:sz w:val="20"/>
          <w:szCs w:val="20"/>
          <w:color w:val="auto"/>
        </w:rPr>
      </w:pPr>
      <w:r>
        <w:rPr>
          <w:rFonts w:ascii="Times New Roman" w:cs="Times New Roman" w:eastAsia="Times New Roman" w:hAnsi="Times New Roman"/>
          <w:sz w:val="18"/>
          <w:szCs w:val="18"/>
          <w:color w:val="auto"/>
        </w:rPr>
        <w:t xml:space="preserve">There were no adjustments to goodwill for the nine months ended February 28, 2022 other than foreign currency translation adjustments. </w:t>
      </w:r>
      <w:r>
        <w:rPr>
          <w:rFonts w:ascii="Times New Roman" w:cs="Times New Roman" w:eastAsia="Times New Roman" w:hAnsi="Times New Roman"/>
          <w:sz w:val="18"/>
          <w:szCs w:val="18"/>
          <w:b w:val="1"/>
          <w:bCs w:val="1"/>
          <w:i w:val="1"/>
          <w:iCs w:val="1"/>
          <w:color w:val="auto"/>
        </w:rPr>
        <w:t>Definite Lived Intangible Assets</w:t>
      </w: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Intangible assets other than goodwill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Feb 28, 2022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520" w:type="dxa"/>
            <w:vAlign w:val="bottom"/>
          </w:tcPr>
          <w:p>
            <w:pPr>
              <w:spacing w:after="0"/>
              <w:rPr>
                <w:sz w:val="11"/>
                <w:szCs w:val="11"/>
                <w:color w:val="auto"/>
              </w:rPr>
            </w:pPr>
          </w:p>
        </w:tc>
        <w:tc>
          <w:tcPr>
            <w:tcW w:w="126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4"/>
                <w:szCs w:val="14"/>
                <w:color w:val="auto"/>
                <w:w w:val="97"/>
              </w:rPr>
              <w:t>Gross carrying value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5"/>
          </w:tcPr>
          <w:p>
            <w:pPr>
              <w:ind w:left="20"/>
              <w:spacing w:after="0" w:line="130" w:lineRule="exact"/>
              <w:rPr>
                <w:sz w:val="20"/>
                <w:szCs w:val="20"/>
                <w:color w:val="auto"/>
              </w:rPr>
            </w:pPr>
            <w:r>
              <w:rPr>
                <w:rFonts w:ascii="Times New Roman" w:cs="Times New Roman" w:eastAsia="Times New Roman" w:hAnsi="Times New Roman"/>
                <w:sz w:val="14"/>
                <w:szCs w:val="14"/>
                <w:color w:val="auto"/>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84"/>
        </w:trPr>
        <w:tc>
          <w:tcPr>
            <w:tcW w:w="56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6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 technologies</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241,719</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132,962</w:t>
            </w:r>
          </w:p>
        </w:tc>
        <w:tc>
          <w:tcPr>
            <w:tcW w:w="0" w:type="dxa"/>
            <w:vAlign w:val="bottom"/>
          </w:tcPr>
          <w:p>
            <w:pPr>
              <w:spacing w:after="0"/>
              <w:rPr>
                <w:sz w:val="1"/>
                <w:szCs w:val="1"/>
                <w:color w:val="auto"/>
              </w:rPr>
            </w:pPr>
          </w:p>
        </w:tc>
      </w:tr>
      <w:tr>
        <w:trPr>
          <w:trHeight w:val="224"/>
        </w:trPr>
        <w:tc>
          <w:tcPr>
            <w:tcW w:w="5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Customer relationships</w:t>
            </w:r>
          </w:p>
        </w:tc>
        <w:tc>
          <w:tcPr>
            <w:tcW w:w="5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60,172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23,115</w:t>
            </w:r>
          </w:p>
        </w:tc>
        <w:tc>
          <w:tcPr>
            <w:tcW w:w="0" w:type="dxa"/>
            <w:vAlign w:val="bottom"/>
          </w:tcPr>
          <w:p>
            <w:pPr>
              <w:spacing w:after="0"/>
              <w:rPr>
                <w:sz w:val="1"/>
                <w:szCs w:val="1"/>
                <w:color w:val="auto"/>
              </w:rPr>
            </w:pPr>
          </w:p>
        </w:tc>
      </w:tr>
      <w:tr>
        <w:trPr>
          <w:trHeight w:val="224"/>
        </w:trPr>
        <w:tc>
          <w:tcPr>
            <w:tcW w:w="5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Trademarks</w:t>
            </w:r>
          </w:p>
        </w:tc>
        <w:tc>
          <w:tcPr>
            <w:tcW w:w="5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0" w:type="dxa"/>
            <w:vAlign w:val="bottom"/>
          </w:tcPr>
          <w:p>
            <w:pPr>
              <w:spacing w:after="0"/>
              <w:rPr>
                <w:sz w:val="1"/>
                <w:szCs w:val="1"/>
                <w:color w:val="auto"/>
              </w:rPr>
            </w:pPr>
          </w:p>
        </w:tc>
      </w:tr>
      <w:tr>
        <w:trPr>
          <w:trHeight w:val="224"/>
        </w:trPr>
        <w:tc>
          <w:tcPr>
            <w:tcW w:w="56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Licenses</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2"/>
        </w:trPr>
        <w:tc>
          <w:tcPr>
            <w:tcW w:w="56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color w:val="auto"/>
                <w:w w:val="99"/>
              </w:rPr>
              <w:t>May 31, 2021</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Gross carrying value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4"/>
          </w:tcPr>
          <w:p>
            <w:pPr>
              <w:jc w:val="center"/>
              <w:ind w:right="300"/>
              <w:spacing w:after="0" w:line="130" w:lineRule="exact"/>
              <w:rPr>
                <w:sz w:val="20"/>
                <w:szCs w:val="20"/>
                <w:color w:val="auto"/>
              </w:rPr>
            </w:pPr>
            <w:r>
              <w:rPr>
                <w:rFonts w:ascii="Times New Roman" w:cs="Times New Roman" w:eastAsia="Times New Roman" w:hAnsi="Times New Roman"/>
                <w:sz w:val="14"/>
                <w:szCs w:val="14"/>
                <w:color w:val="auto"/>
                <w:w w:val="99"/>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w w:val="99"/>
              </w:rPr>
              <w:t>Net carrying value</w:t>
            </w:r>
          </w:p>
        </w:tc>
        <w:tc>
          <w:tcPr>
            <w:tcW w:w="0" w:type="dxa"/>
            <w:vAlign w:val="bottom"/>
          </w:tcPr>
          <w:p>
            <w:pPr>
              <w:spacing w:after="0"/>
              <w:rPr>
                <w:sz w:val="1"/>
                <w:szCs w:val="1"/>
                <w:color w:val="auto"/>
              </w:rPr>
            </w:pPr>
          </w:p>
        </w:tc>
      </w:tr>
      <w:tr>
        <w:trPr>
          <w:trHeight w:val="184"/>
        </w:trPr>
        <w:tc>
          <w:tcPr>
            <w:tcW w:w="56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color w:val="auto"/>
                <w:w w:val="98"/>
              </w:rPr>
              <w:t>amortization</w:t>
            </w: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236,907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(97,343)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139,564</w:t>
            </w:r>
          </w:p>
        </w:tc>
        <w:tc>
          <w:tcPr>
            <w:tcW w:w="0" w:type="dxa"/>
            <w:vAlign w:val="bottom"/>
          </w:tcPr>
          <w:p>
            <w:pPr>
              <w:spacing w:after="0"/>
              <w:rPr>
                <w:sz w:val="1"/>
                <w:szCs w:val="1"/>
                <w:color w:val="auto"/>
              </w:rPr>
            </w:pPr>
          </w:p>
        </w:tc>
      </w:tr>
      <w:tr>
        <w:trPr>
          <w:trHeight w:val="22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0" w:type="dxa"/>
            <w:vAlign w:val="bottom"/>
          </w:tcPr>
          <w:p>
            <w:pPr>
              <w:spacing w:after="0"/>
              <w:rPr>
                <w:sz w:val="1"/>
                <w:szCs w:val="1"/>
                <w:color w:val="auto"/>
              </w:rPr>
            </w:pPr>
          </w:p>
        </w:tc>
      </w:tr>
      <w:tr>
        <w:trPr>
          <w:trHeight w:val="224"/>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24"/>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5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2"/>
        </w:trPr>
        <w:tc>
          <w:tcPr>
            <w:tcW w:w="56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313,235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(144,258)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Amortization expense for the three months ended February 28, 2022 and 2021 was $4.9 million and $4.3 million, respectively. Amortization expense for the nine months ended February 28, 2022 and 2021 was $14.6 million and $13.8 million, respectively.</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Remainder of 2022</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0" w:type="dxa"/>
            <w:vAlign w:val="bottom"/>
          </w:tcPr>
          <w:p>
            <w:pPr>
              <w:spacing w:after="0"/>
              <w:rPr>
                <w:sz w:val="1"/>
                <w:szCs w:val="1"/>
                <w:color w:val="auto"/>
              </w:rPr>
            </w:pPr>
          </w:p>
        </w:tc>
      </w:tr>
      <w:tr>
        <w:trPr>
          <w:trHeight w:val="224"/>
        </w:trPr>
        <w:tc>
          <w:tcPr>
            <w:tcW w:w="7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0" w:type="dxa"/>
            <w:vAlign w:val="bottom"/>
          </w:tcPr>
          <w:p>
            <w:pPr>
              <w:spacing w:after="0"/>
              <w:rPr>
                <w:sz w:val="1"/>
                <w:szCs w:val="1"/>
                <w:color w:val="auto"/>
              </w:rPr>
            </w:pPr>
          </w:p>
        </w:tc>
      </w:tr>
      <w:tr>
        <w:trPr>
          <w:trHeight w:val="224"/>
        </w:trPr>
        <w:tc>
          <w:tcPr>
            <w:tcW w:w="7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0" w:type="dxa"/>
            <w:vAlign w:val="bottom"/>
          </w:tcPr>
          <w:p>
            <w:pPr>
              <w:spacing w:after="0"/>
              <w:rPr>
                <w:sz w:val="1"/>
                <w:szCs w:val="1"/>
                <w:color w:val="auto"/>
              </w:rPr>
            </w:pPr>
          </w:p>
        </w:tc>
      </w:tr>
      <w:tr>
        <w:trPr>
          <w:trHeight w:val="224"/>
        </w:trPr>
        <w:tc>
          <w:tcPr>
            <w:tcW w:w="75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2027 and thereafter</w:t>
            </w:r>
          </w:p>
        </w:tc>
        <w:tc>
          <w:tcPr>
            <w:tcW w:w="6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84,944</w:t>
            </w:r>
          </w:p>
        </w:tc>
        <w:tc>
          <w:tcPr>
            <w:tcW w:w="0" w:type="dxa"/>
            <w:vAlign w:val="bottom"/>
          </w:tcPr>
          <w:p>
            <w:pPr>
              <w:spacing w:after="0"/>
              <w:rPr>
                <w:sz w:val="1"/>
                <w:szCs w:val="1"/>
                <w:color w:val="auto"/>
              </w:rPr>
            </w:pPr>
          </w:p>
        </w:tc>
      </w:tr>
      <w:tr>
        <w:trPr>
          <w:trHeight w:val="242"/>
        </w:trPr>
        <w:tc>
          <w:tcPr>
            <w:tcW w:w="75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7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5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2022</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May 31, 2021</w:t>
            </w:r>
          </w:p>
        </w:tc>
        <w:tc>
          <w:tcPr>
            <w:tcW w:w="0" w:type="dxa"/>
            <w:vAlign w:val="bottom"/>
          </w:tcPr>
          <w:p>
            <w:pPr>
              <w:spacing w:after="0"/>
              <w:rPr>
                <w:sz w:val="1"/>
                <w:szCs w:val="1"/>
                <w:color w:val="auto"/>
              </w:rPr>
            </w:pPr>
          </w:p>
        </w:tc>
      </w:tr>
      <w:tr>
        <w:trPr>
          <w:trHeight w:val="222"/>
        </w:trPr>
        <w:tc>
          <w:tcPr>
            <w:tcW w:w="756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6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0" w:type="dxa"/>
            <w:vAlign w:val="bottom"/>
          </w:tcPr>
          <w:p>
            <w:pPr>
              <w:spacing w:after="0"/>
              <w:rPr>
                <w:sz w:val="1"/>
                <w:szCs w:val="1"/>
                <w:color w:val="auto"/>
              </w:rPr>
            </w:pPr>
          </w:p>
        </w:tc>
      </w:tr>
      <w:tr>
        <w:trPr>
          <w:trHeight w:val="224"/>
        </w:trPr>
        <w:tc>
          <w:tcPr>
            <w:tcW w:w="7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Royalties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Outside services</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224"/>
        </w:trPr>
        <w:tc>
          <w:tcPr>
            <w:tcW w:w="7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24"/>
        </w:trPr>
        <w:tc>
          <w:tcPr>
            <w:tcW w:w="7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Litigation Matters</w:t>
            </w:r>
          </w:p>
        </w:tc>
        <w:tc>
          <w:tcPr>
            <w:tcW w:w="6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Rebates</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4"/>
        </w:trPr>
        <w:tc>
          <w:tcPr>
            <w:tcW w:w="75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0" w:type="dxa"/>
            <w:vAlign w:val="bottom"/>
          </w:tcPr>
          <w:p>
            <w:pPr>
              <w:spacing w:after="0"/>
              <w:rPr>
                <w:sz w:val="1"/>
                <w:szCs w:val="1"/>
                <w:color w:val="auto"/>
              </w:rPr>
            </w:pPr>
          </w:p>
        </w:tc>
      </w:tr>
      <w:tr>
        <w:trPr>
          <w:trHeight w:val="242"/>
        </w:trPr>
        <w:tc>
          <w:tcPr>
            <w:tcW w:w="75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63" w:lineRule="exact"/>
        <w:rPr>
          <w:sz w:val="20"/>
          <w:szCs w:val="20"/>
          <w:color w:val="auto"/>
        </w:rPr>
      </w:pPr>
    </w:p>
    <w:p>
      <w:pPr>
        <w:jc w:val="both"/>
        <w:ind w:right="60" w:firstLine="395"/>
        <w:spacing w:after="0" w:line="256" w:lineRule="auto"/>
        <w:rPr>
          <w:sz w:val="20"/>
          <w:szCs w:val="20"/>
          <w:color w:val="auto"/>
        </w:rPr>
      </w:pPr>
      <w:r>
        <w:rPr>
          <w:rFonts w:ascii="Times New Roman" w:cs="Times New Roman" w:eastAsia="Times New Roman" w:hAnsi="Times New Roman"/>
          <w:sz w:val="18"/>
          <w:szCs w:val="18"/>
          <w:color w:val="auto"/>
        </w:rPr>
        <w:t>On June 3, 2019 the Company repaid all amounts outstanding under its then existing credit agreement and entered into a new Credit Agreement with the lender's party thereto, JPMorgan Chase Bank, N.A., as administrative agent, and Bank of America, N.A. and KeyBank National Association, as co-syndication agents.</w:t>
      </w:r>
    </w:p>
    <w:p>
      <w:pPr>
        <w:spacing w:after="0" w:line="127"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3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Credit Agreement has a five-year maturity. Interest on the Revolving Facility is based, at the Company’s option, on either a base rate of LIBOR or alternate base rate, plus an applicable margin tied to the Company’s total leverage ratio and having ranges between 0.25% and 0.75% for base rate loans and between 1.25% and 1.75% for LIBOR loans. After default, the interest rate may be increased by 2.0%. The Revolving Facility also carries a commitment fee of 0.20% to 0.25% per annum on the unused portion.</w:t>
      </w:r>
    </w:p>
    <w:p>
      <w:pPr>
        <w:spacing w:after="0" w:line="131"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27"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17" w:lineRule="exact"/>
        <w:rPr>
          <w:sz w:val="20"/>
          <w:szCs w:val="20"/>
          <w:color w:val="auto"/>
        </w:rPr>
      </w:pPr>
    </w:p>
    <w:p>
      <w:pPr>
        <w:ind w:left="640" w:right="600" w:hanging="240"/>
        <w:spacing w:after="0" w:line="268" w:lineRule="auto"/>
        <w:tabs>
          <w:tab w:leader="none" w:pos="6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leverage ratio of consolidated total indebtedness* to consolidated EBITDA* of not greater than 3.00 to 1.00 (during certain periods following material acquisitions the ratio shall be increased to 3.50 to 1.00).</w:t>
      </w:r>
    </w:p>
    <w:p>
      <w:pPr>
        <w:spacing w:after="0" w:line="116" w:lineRule="exact"/>
        <w:rPr>
          <w:rFonts w:ascii="Times New Roman" w:cs="Times New Roman" w:eastAsia="Times New Roman" w:hAnsi="Times New Roman"/>
          <w:sz w:val="18"/>
          <w:szCs w:val="18"/>
          <w:color w:val="auto"/>
        </w:rPr>
      </w:pPr>
    </w:p>
    <w:p>
      <w:pPr>
        <w:ind w:left="640" w:right="220" w:hanging="240"/>
        <w:spacing w:after="0" w:line="268" w:lineRule="auto"/>
        <w:tabs>
          <w:tab w:leader="none" w:pos="6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12" w:lineRule="exact"/>
        <w:rPr>
          <w:rFonts w:ascii="Times New Roman" w:cs="Times New Roman" w:eastAsia="Times New Roman" w:hAnsi="Times New Roman"/>
          <w:sz w:val="18"/>
          <w:szCs w:val="18"/>
          <w:color w:val="auto"/>
        </w:rPr>
      </w:pPr>
    </w:p>
    <w:p>
      <w:pPr>
        <w:ind w:right="4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definitions of consolidated total indebtedness, consolidated EBITDA, consolidated capital expenditures and consolidated interest expense are specifically defined in the Credit Agreement included as an exhibit to Form 8-K filed on June 6, 2019.</w:t>
      </w:r>
    </w:p>
    <w:p>
      <w:pPr>
        <w:spacing w:after="0" w:line="118"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As of February 28, 2022, there was $25.0 million outstanding on the Revolving Facility. As of February 28, 2022 and May 31, 2021, the carrying value of long-term debt approximated its fair market value.</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interest rate on the Revolving Facility at February 28, 2022 was 1.36%.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63"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12.7% as of the third quarter of fiscal year 2022, as compared to 15.6% for the same period in fiscal year 2021. In fiscal year 2022,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33"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7"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February 28, 2022.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right="60" w:firstLine="395"/>
        <w:spacing w:after="0" w:line="230" w:lineRule="auto"/>
        <w:rPr>
          <w:sz w:val="20"/>
          <w:szCs w:val="20"/>
          <w:color w:val="auto"/>
        </w:rPr>
      </w:pPr>
      <w:r>
        <w:rPr>
          <w:rFonts w:ascii="Times New Roman" w:cs="Times New Roman" w:eastAsia="Times New Roman" w:hAnsi="Times New Roman"/>
          <w:sz w:val="18"/>
          <w:szCs w:val="18"/>
          <w:color w:val="auto"/>
        </w:rPr>
        <w:t>The Company filed for an employee retention credit under the provisions of the CARES Act resulting in a benefit of $4.2 million that was recorded in the third quarter of the fiscal year compared to a benefit of $1.9 million that was recorded in the prior year period. The benefit has been recorded as a receivable and is included in other current assets on the balance sheet.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63"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As of February 28, 2022, there was a maximum of 1.6 million shares of common stock available for future grant under the 2020 Plan.</w:t>
      </w:r>
    </w:p>
    <w:p>
      <w:pPr>
        <w:spacing w:after="0" w:line="131"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7"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The Company also has an employee stock purchase plan. As of February 28, 2022, there was a maximum of 2.3 million shares of common stock available for future grant under the employee stock purchase plan.</w:t>
      </w:r>
    </w:p>
    <w:p>
      <w:pPr>
        <w:spacing w:after="0" w:line="117"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February 28, 2022 and 2021, share-based compensation expense was $2.4 million and $2.1 million, respectively. For the nine months ended February 28, 2022 and 2021, share-based compensation expense was $7.8 million and $6.4 million, respectively.</w:t>
      </w:r>
    </w:p>
    <w:p>
      <w:pPr>
        <w:spacing w:after="0" w:line="11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nine months ended February 28, 2022 and 2021, the Company granted stock options and restricted stock units under the 2020 and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common stock on the date of grant and then amortized on a straight-line basis over the requisite service period of the award.</w:t>
      </w:r>
    </w:p>
    <w:p>
      <w:pPr>
        <w:spacing w:after="0" w:line="131"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During the nine months ended February 28, 2022 and 2021, the Company granted performance share units under the 2020 and 2004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w:t>
      </w:r>
    </w:p>
    <w:p>
      <w:pPr>
        <w:spacing w:after="0" w:line="131"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As of February 28, 2022, there was $19.1 million of unrecognized compensation expense related to share-based payment arrangements. These costs are expected to be recognized over a weighted-average period of approximately three years. The Company has sufficient shares to satisfy expected share-based payment arrangements.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6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weighted-average shares outstanding: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3080" w:type="dxa"/>
            <w:vAlign w:val="bottom"/>
            <w:gridSpan w:val="4"/>
          </w:tcPr>
          <w:p>
            <w:pPr>
              <w:ind w:left="1100"/>
              <w:spacing w:after="0"/>
              <w:rPr>
                <w:sz w:val="20"/>
                <w:szCs w:val="20"/>
                <w:color w:val="auto"/>
              </w:rPr>
            </w:pPr>
            <w:r>
              <w:rPr>
                <w:rFonts w:ascii="Times New Roman" w:cs="Times New Roman" w:eastAsia="Times New Roman" w:hAnsi="Times New Roman"/>
                <w:sz w:val="14"/>
                <w:szCs w:val="14"/>
                <w:color w:val="auto"/>
              </w:rPr>
              <w:t>Three Months Ended</w:t>
            </w:r>
          </w:p>
        </w:tc>
        <w:tc>
          <w:tcPr>
            <w:tcW w:w="298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84"/>
        </w:trPr>
        <w:tc>
          <w:tcPr>
            <w:tcW w:w="5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rPr>
              <w:t>Feb 28, 2022</w:t>
            </w:r>
          </w:p>
        </w:tc>
        <w:tc>
          <w:tcPr>
            <w:tcW w:w="14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Feb 28, 2021</w:t>
            </w:r>
          </w:p>
        </w:tc>
        <w:tc>
          <w:tcPr>
            <w:tcW w:w="100" w:type="dxa"/>
            <w:vAlign w:val="bottom"/>
          </w:tcPr>
          <w:p>
            <w:pPr>
              <w:spacing w:after="0"/>
              <w:rPr>
                <w:sz w:val="15"/>
                <w:szCs w:val="15"/>
                <w:color w:val="auto"/>
              </w:rPr>
            </w:pPr>
          </w:p>
        </w:tc>
        <w:tc>
          <w:tcPr>
            <w:tcW w:w="154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rPr>
              <w:t>Feb 28, 2022</w:t>
            </w:r>
          </w:p>
        </w:tc>
        <w:tc>
          <w:tcPr>
            <w:tcW w:w="14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Feb 28, 2021</w:t>
            </w:r>
          </w:p>
        </w:tc>
      </w:tr>
      <w:tr>
        <w:trPr>
          <w:trHeight w:val="217"/>
        </w:trPr>
        <w:tc>
          <w:tcPr>
            <w:tcW w:w="51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38,959</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38,281</w:t>
            </w:r>
          </w:p>
        </w:tc>
      </w:tr>
      <w:tr>
        <w:trPr>
          <w:trHeight w:val="224"/>
        </w:trPr>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518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5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9"/>
        </w:trPr>
        <w:tc>
          <w:tcPr>
            <w:tcW w:w="5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63"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Company considers the business to be a single operating segment engaged in the development, manufacture and sale of medical devices for vascular access, peripheral vascular disease and oncology on a global basis. The Company's chief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operating decision maker, the President and Chief Executive Officer (CEO), evaluates the various global product portfolios on a net sales basis utilizing various breakouts of the data including Global Business Unit, Med Tech versus Med Device and geography. Executives reporting to the CEO include those responsible for commercial operations, manufacturing operations, regulatory and quality and certain corporate functions. The CEO evaluates profitability, investment and cash flow metrics on a consolidated global basis due to shared infrastructure and resources.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net sales by Global Business Unit: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936"/>
              <w:spacing w:after="0"/>
              <w:rPr>
                <w:sz w:val="20"/>
                <w:szCs w:val="20"/>
                <w:color w:val="auto"/>
              </w:rPr>
            </w:pPr>
            <w:r>
              <w:rPr>
                <w:rFonts w:ascii="Times New Roman" w:cs="Times New Roman" w:eastAsia="Times New Roman" w:hAnsi="Times New Roman"/>
                <w:sz w:val="14"/>
                <w:szCs w:val="14"/>
                <w:color w:val="auto"/>
              </w:rPr>
              <w:t>Nine Months Ended</w:t>
            </w:r>
          </w:p>
        </w:tc>
        <w:tc>
          <w:tcPr>
            <w:tcW w:w="40" w:type="dxa"/>
            <w:vAlign w:val="bottom"/>
          </w:tcPr>
          <w:p>
            <w:pPr>
              <w:spacing w:after="0"/>
              <w:rPr>
                <w:sz w:val="16"/>
                <w:szCs w:val="16"/>
                <w:color w:val="auto"/>
              </w:rPr>
            </w:pPr>
          </w:p>
        </w:tc>
      </w:tr>
      <w:tr>
        <w:trPr>
          <w:trHeight w:val="184"/>
        </w:trPr>
        <w:tc>
          <w:tcPr>
            <w:tcW w:w="40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5"/>
                <w:szCs w:val="15"/>
                <w:color w:val="auto"/>
              </w:rPr>
            </w:pP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1720" w:type="dxa"/>
            <w:vAlign w:val="bottom"/>
            <w:gridSpan w:val="5"/>
          </w:tcPr>
          <w:p>
            <w:pPr>
              <w:ind w:left="700"/>
              <w:spacing w:after="0"/>
              <w:rPr>
                <w:sz w:val="20"/>
                <w:szCs w:val="20"/>
                <w:color w:val="auto"/>
              </w:rPr>
            </w:pPr>
            <w:r>
              <w:rPr>
                <w:rFonts w:ascii="Times New Roman" w:cs="Times New Roman" w:eastAsia="Times New Roman" w:hAnsi="Times New Roman"/>
                <w:sz w:val="14"/>
                <w:szCs w:val="14"/>
                <w:color w:val="auto"/>
              </w:rPr>
              <w:t>Feb 28, 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Feb 28, 2022</w:t>
            </w:r>
          </w:p>
        </w:tc>
        <w:tc>
          <w:tcPr>
            <w:tcW w:w="280" w:type="dxa"/>
            <w:vAlign w:val="bottom"/>
          </w:tcPr>
          <w:p>
            <w:pPr>
              <w:spacing w:after="0"/>
              <w:rPr>
                <w:sz w:val="15"/>
                <w:szCs w:val="15"/>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Feb 28, 2021</w:t>
            </w:r>
          </w:p>
        </w:tc>
        <w:tc>
          <w:tcPr>
            <w:tcW w:w="40" w:type="dxa"/>
            <w:vAlign w:val="bottom"/>
          </w:tcPr>
          <w:p>
            <w:pPr>
              <w:spacing w:after="0"/>
              <w:rPr>
                <w:sz w:val="15"/>
                <w:szCs w:val="15"/>
                <w:color w:val="auto"/>
              </w:rPr>
            </w:pPr>
          </w:p>
        </w:tc>
      </w:tr>
      <w:tr>
        <w:trPr>
          <w:trHeight w:val="204"/>
        </w:trPr>
        <w:tc>
          <w:tcPr>
            <w:tcW w:w="4000" w:type="dxa"/>
            <w:vAlign w:val="bottom"/>
            <w:tcBorders>
              <w:top w:val="single" w:sz="8" w:color="CCEEFF"/>
            </w:tcBorders>
            <w:gridSpan w:val="2"/>
            <w:shd w:val="clear" w:color="auto" w:fill="CCEEFF"/>
          </w:tcPr>
          <w:p>
            <w:pPr>
              <w:ind w:left="420"/>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4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Endovascular Therapies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38,083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33,251</w:t>
            </w: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97,008</w:t>
            </w:r>
          </w:p>
        </w:tc>
        <w:tc>
          <w:tcPr>
            <w:tcW w:w="40" w:type="dxa"/>
            <w:vAlign w:val="bottom"/>
          </w:tcPr>
          <w:p>
            <w:pPr>
              <w:spacing w:after="0"/>
              <w:rPr>
                <w:sz w:val="19"/>
                <w:szCs w:val="19"/>
                <w:color w:val="auto"/>
              </w:rPr>
            </w:pPr>
          </w:p>
        </w:tc>
      </w:tr>
      <w:tr>
        <w:trPr>
          <w:trHeight w:val="224"/>
        </w:trPr>
        <w:tc>
          <w:tcPr>
            <w:tcW w:w="4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Vascular Access</w:t>
            </w:r>
          </w:p>
        </w:tc>
        <w:tc>
          <w:tcPr>
            <w:tcW w:w="5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76,848</w:t>
            </w:r>
          </w:p>
        </w:tc>
        <w:tc>
          <w:tcPr>
            <w:tcW w:w="40" w:type="dxa"/>
            <w:vAlign w:val="bottom"/>
          </w:tcPr>
          <w:p>
            <w:pPr>
              <w:spacing w:after="0"/>
              <w:rPr>
                <w:sz w:val="19"/>
                <w:szCs w:val="19"/>
                <w:color w:val="auto"/>
              </w:rPr>
            </w:pPr>
          </w:p>
        </w:tc>
      </w:tr>
      <w:tr>
        <w:trPr>
          <w:trHeight w:val="224"/>
        </w:trPr>
        <w:tc>
          <w:tcPr>
            <w:tcW w:w="400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8"/>
                <w:szCs w:val="18"/>
                <w:color w:val="auto"/>
              </w:rPr>
              <w:t>Oncology</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12,456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40,312</w:t>
            </w:r>
          </w:p>
        </w:tc>
        <w:tc>
          <w:tcPr>
            <w:tcW w:w="40" w:type="dxa"/>
            <w:vAlign w:val="bottom"/>
          </w:tcPr>
          <w:p>
            <w:pPr>
              <w:spacing w:after="0"/>
              <w:rPr>
                <w:sz w:val="19"/>
                <w:szCs w:val="19"/>
                <w:color w:val="auto"/>
              </w:rPr>
            </w:pPr>
          </w:p>
        </w:tc>
      </w:tr>
      <w:tr>
        <w:trPr>
          <w:trHeight w:val="242"/>
        </w:trPr>
        <w:tc>
          <w:tcPr>
            <w:tcW w:w="40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Times New Roman" w:cs="Times New Roman" w:eastAsia="Times New Roman" w:hAnsi="Times New Roman"/>
                <w:sz w:val="18"/>
                <w:szCs w:val="18"/>
                <w:color w:val="auto"/>
                <w:w w:val="94"/>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73,970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214,168</w:t>
            </w:r>
          </w:p>
        </w:tc>
        <w:tc>
          <w:tcPr>
            <w:tcW w:w="40" w:type="dxa"/>
            <w:vAlign w:val="bottom"/>
          </w:tcPr>
          <w:p>
            <w:pPr>
              <w:spacing w:after="0"/>
              <w:rPr>
                <w:sz w:val="20"/>
                <w:szCs w:val="20"/>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580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rPr>
              <w:t>The table below summarizes net sales by Med Tech and Med Device: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2"/>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796"/>
              <w:spacing w:after="0"/>
              <w:rPr>
                <w:sz w:val="20"/>
                <w:szCs w:val="20"/>
                <w:color w:val="auto"/>
              </w:rPr>
            </w:pPr>
            <w:r>
              <w:rPr>
                <w:rFonts w:ascii="Times New Roman" w:cs="Times New Roman" w:eastAsia="Times New Roman" w:hAnsi="Times New Roman"/>
                <w:sz w:val="14"/>
                <w:szCs w:val="14"/>
                <w:color w:val="auto"/>
              </w:rPr>
              <w:t>Nine Months Ended</w:t>
            </w:r>
          </w:p>
        </w:tc>
        <w:tc>
          <w:tcPr>
            <w:tcW w:w="40" w:type="dxa"/>
            <w:vAlign w:val="bottom"/>
            <w:tcBorders>
              <w:bottom w:val="single" w:sz="8" w:color="auto"/>
            </w:tcBorders>
          </w:tcPr>
          <w:p>
            <w:pPr>
              <w:spacing w:after="0"/>
              <w:rPr>
                <w:sz w:val="24"/>
                <w:szCs w:val="24"/>
                <w:color w:val="auto"/>
              </w:rPr>
            </w:pPr>
          </w:p>
        </w:tc>
      </w:tr>
      <w:tr>
        <w:trPr>
          <w:trHeight w:val="18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Feb 28, 2022</w:t>
            </w:r>
          </w:p>
        </w:tc>
        <w:tc>
          <w:tcPr>
            <w:tcW w:w="160" w:type="dxa"/>
            <w:vAlign w:val="bottom"/>
          </w:tcPr>
          <w:p>
            <w:pPr>
              <w:spacing w:after="0"/>
              <w:rPr>
                <w:sz w:val="15"/>
                <w:szCs w:val="15"/>
                <w:color w:val="auto"/>
              </w:rPr>
            </w:pPr>
          </w:p>
        </w:tc>
        <w:tc>
          <w:tcPr>
            <w:tcW w:w="1280" w:type="dxa"/>
            <w:vAlign w:val="bottom"/>
            <w:gridSpan w:val="5"/>
          </w:tcPr>
          <w:p>
            <w:pPr>
              <w:jc w:val="right"/>
              <w:ind w:right="252"/>
              <w:spacing w:after="0"/>
              <w:rPr>
                <w:sz w:val="20"/>
                <w:szCs w:val="20"/>
                <w:color w:val="auto"/>
              </w:rPr>
            </w:pPr>
            <w:r>
              <w:rPr>
                <w:rFonts w:ascii="Times New Roman" w:cs="Times New Roman" w:eastAsia="Times New Roman" w:hAnsi="Times New Roman"/>
                <w:sz w:val="14"/>
                <w:szCs w:val="14"/>
                <w:color w:val="auto"/>
              </w:rPr>
              <w:t>Feb 28, 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280" w:type="dxa"/>
            <w:vAlign w:val="bottom"/>
          </w:tcPr>
          <w:p>
            <w:pPr>
              <w:spacing w:after="0"/>
              <w:rPr>
                <w:sz w:val="15"/>
                <w:szCs w:val="15"/>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Feb 28, 2021</w:t>
            </w:r>
          </w:p>
        </w:tc>
        <w:tc>
          <w:tcPr>
            <w:tcW w:w="40" w:type="dxa"/>
            <w:vAlign w:val="bottom"/>
          </w:tcPr>
          <w:p>
            <w:pPr>
              <w:spacing w:after="0"/>
              <w:rPr>
                <w:sz w:val="15"/>
                <w:szCs w:val="15"/>
                <w:color w:val="auto"/>
              </w:rPr>
            </w:pPr>
          </w:p>
        </w:tc>
      </w:tr>
      <w:tr>
        <w:trPr>
          <w:trHeight w:val="204"/>
        </w:trPr>
        <w:tc>
          <w:tcPr>
            <w:tcW w:w="400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r>
      <w:tr>
        <w:trPr>
          <w:trHeight w:val="224"/>
        </w:trPr>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560" w:type="dxa"/>
            <w:vAlign w:val="bottom"/>
          </w:tcPr>
          <w:p>
            <w:pPr>
              <w:spacing w:after="0"/>
              <w:rPr>
                <w:sz w:val="19"/>
                <w:szCs w:val="19"/>
                <w:color w:val="auto"/>
              </w:rPr>
            </w:pPr>
          </w:p>
        </w:tc>
        <w:tc>
          <w:tcPr>
            <w:tcW w:w="1060" w:type="dxa"/>
            <w:vAlign w:val="bottom"/>
            <w:gridSpan w:val="2"/>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100" w:type="dxa"/>
            <w:vAlign w:val="bottom"/>
          </w:tcPr>
          <w:p>
            <w:pPr>
              <w:spacing w:after="0"/>
              <w:rPr>
                <w:sz w:val="19"/>
                <w:szCs w:val="19"/>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56,117</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39,581</w:t>
            </w:r>
          </w:p>
        </w:tc>
        <w:tc>
          <w:tcPr>
            <w:tcW w:w="40" w:type="dxa"/>
            <w:vAlign w:val="bottom"/>
          </w:tcPr>
          <w:p>
            <w:pPr>
              <w:spacing w:after="0"/>
              <w:rPr>
                <w:sz w:val="19"/>
                <w:szCs w:val="19"/>
                <w:color w:val="auto"/>
              </w:rPr>
            </w:pPr>
          </w:p>
        </w:tc>
      </w:tr>
      <w:tr>
        <w:trPr>
          <w:trHeight w:val="224"/>
        </w:trPr>
        <w:tc>
          <w:tcPr>
            <w:tcW w:w="4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173,104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174,587</w:t>
            </w:r>
          </w:p>
        </w:tc>
        <w:tc>
          <w:tcPr>
            <w:tcW w:w="40" w:type="dxa"/>
            <w:vAlign w:val="bottom"/>
            <w:tcBorders>
              <w:bottom w:val="single" w:sz="8" w:color="auto"/>
            </w:tcBorders>
            <w:shd w:val="clear" w:color="auto" w:fill="CCEEFF"/>
          </w:tcPr>
          <w:p>
            <w:pPr>
              <w:spacing w:after="0"/>
              <w:rPr>
                <w:sz w:val="19"/>
                <w:szCs w:val="19"/>
                <w:color w:val="auto"/>
              </w:rPr>
            </w:pPr>
          </w:p>
        </w:tc>
      </w:tr>
      <w:tr>
        <w:trPr>
          <w:trHeight w:val="217"/>
        </w:trPr>
        <w:tc>
          <w:tcPr>
            <w:tcW w:w="4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229,221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214,168</w:t>
            </w:r>
          </w:p>
        </w:tc>
        <w:tc>
          <w:tcPr>
            <w:tcW w:w="40" w:type="dxa"/>
            <w:vAlign w:val="bottom"/>
            <w:tcBorders>
              <w:bottom w:val="single" w:sz="8" w:color="auto"/>
            </w:tcBorders>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439"/>
        </w:trPr>
        <w:tc>
          <w:tcPr>
            <w:tcW w:w="7520" w:type="dxa"/>
            <w:vAlign w:val="bottom"/>
            <w:gridSpan w:val="13"/>
          </w:tcPr>
          <w:p>
            <w:pPr>
              <w:ind w:left="44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3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916"/>
              <w:spacing w:after="0"/>
              <w:rPr>
                <w:sz w:val="20"/>
                <w:szCs w:val="20"/>
                <w:color w:val="auto"/>
              </w:rPr>
            </w:pPr>
            <w:r>
              <w:rPr>
                <w:rFonts w:ascii="Times New Roman" w:cs="Times New Roman" w:eastAsia="Times New Roman" w:hAnsi="Times New Roman"/>
                <w:sz w:val="14"/>
                <w:szCs w:val="14"/>
                <w:color w:val="auto"/>
              </w:rPr>
              <w:t>Nine Months Ended</w:t>
            </w:r>
          </w:p>
        </w:tc>
        <w:tc>
          <w:tcPr>
            <w:tcW w:w="40" w:type="dxa"/>
            <w:vAlign w:val="bottom"/>
            <w:tcBorders>
              <w:bottom w:val="single" w:sz="8" w:color="auto"/>
            </w:tcBorders>
          </w:tcPr>
          <w:p>
            <w:pPr>
              <w:spacing w:after="0"/>
              <w:rPr>
                <w:sz w:val="17"/>
                <w:szCs w:val="17"/>
                <w:color w:val="auto"/>
              </w:rPr>
            </w:pPr>
          </w:p>
        </w:tc>
      </w:tr>
      <w:tr>
        <w:trPr>
          <w:trHeight w:val="182"/>
        </w:trPr>
        <w:tc>
          <w:tcPr>
            <w:tcW w:w="3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Feb 28, 2022</w:t>
            </w:r>
          </w:p>
        </w:tc>
        <w:tc>
          <w:tcPr>
            <w:tcW w:w="168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color w:val="auto"/>
              </w:rPr>
              <w:t>Feb 28, 2021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Feb 28, 2022</w:t>
            </w:r>
          </w:p>
        </w:tc>
        <w:tc>
          <w:tcPr>
            <w:tcW w:w="280" w:type="dxa"/>
            <w:vAlign w:val="bottom"/>
          </w:tcPr>
          <w:p>
            <w:pPr>
              <w:spacing w:after="0"/>
              <w:rPr>
                <w:sz w:val="15"/>
                <w:szCs w:val="15"/>
                <w:color w:val="auto"/>
              </w:rPr>
            </w:pPr>
          </w:p>
        </w:tc>
        <w:tc>
          <w:tcPr>
            <w:tcW w:w="112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Feb 28, 2021</w:t>
            </w:r>
          </w:p>
        </w:tc>
        <w:tc>
          <w:tcPr>
            <w:tcW w:w="40" w:type="dxa"/>
            <w:vAlign w:val="bottom"/>
          </w:tcPr>
          <w:p>
            <w:pPr>
              <w:spacing w:after="0"/>
              <w:rPr>
                <w:sz w:val="15"/>
                <w:szCs w:val="15"/>
                <w:color w:val="auto"/>
              </w:rPr>
            </w:pPr>
          </w:p>
        </w:tc>
      </w:tr>
      <w:tr>
        <w:trPr>
          <w:trHeight w:val="204"/>
        </w:trPr>
        <w:tc>
          <w:tcPr>
            <w:tcW w:w="3880" w:type="dxa"/>
            <w:vAlign w:val="bottom"/>
            <w:tcBorders>
              <w:top w:val="single" w:sz="8" w:color="CCEEFF"/>
            </w:tcBorders>
            <w:shd w:val="clear" w:color="auto" w:fill="CCEEFF"/>
          </w:tcPr>
          <w:p>
            <w:pPr>
              <w:ind w:left="460"/>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r>
      <w:tr>
        <w:trPr>
          <w:trHeight w:val="224"/>
        </w:trPr>
        <w:tc>
          <w:tcPr>
            <w:tcW w:w="40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7"/>
              </w:rPr>
              <w:t>United States</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58,654</w:t>
            </w: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173,446</w:t>
            </w:r>
          </w:p>
        </w:tc>
        <w:tc>
          <w:tcPr>
            <w:tcW w:w="40" w:type="dxa"/>
            <w:vAlign w:val="bottom"/>
          </w:tcPr>
          <w:p>
            <w:pPr>
              <w:spacing w:after="0"/>
              <w:rPr>
                <w:sz w:val="19"/>
                <w:szCs w:val="19"/>
                <w:color w:val="auto"/>
              </w:rPr>
            </w:pPr>
          </w:p>
        </w:tc>
      </w:tr>
      <w:tr>
        <w:trPr>
          <w:trHeight w:val="224"/>
        </w:trPr>
        <w:tc>
          <w:tcPr>
            <w:tcW w:w="4000" w:type="dxa"/>
            <w:vAlign w:val="bottom"/>
            <w:gridSpan w:val="2"/>
            <w:shd w:val="clear" w:color="auto" w:fill="CCEEFF"/>
          </w:tcPr>
          <w:p>
            <w:pPr>
              <w:jc w:val="center"/>
              <w:ind w:right="1560"/>
              <w:spacing w:after="0"/>
              <w:rPr>
                <w:sz w:val="20"/>
                <w:szCs w:val="20"/>
                <w:color w:val="auto"/>
              </w:rPr>
            </w:pPr>
            <w:r>
              <w:rPr>
                <w:rFonts w:ascii="Times New Roman" w:cs="Times New Roman" w:eastAsia="Times New Roman" w:hAnsi="Times New Roman"/>
                <w:sz w:val="18"/>
                <w:szCs w:val="18"/>
                <w:color w:val="auto"/>
                <w:w w:val="95"/>
              </w:rPr>
              <w:t>International</w:t>
            </w: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40,722</w:t>
            </w:r>
          </w:p>
        </w:tc>
        <w:tc>
          <w:tcPr>
            <w:tcW w:w="40" w:type="dxa"/>
            <w:vAlign w:val="bottom"/>
            <w:shd w:val="clear" w:color="auto" w:fill="CCEEFF"/>
          </w:tcPr>
          <w:p>
            <w:pPr>
              <w:spacing w:after="0"/>
              <w:rPr>
                <w:sz w:val="19"/>
                <w:szCs w:val="19"/>
                <w:color w:val="auto"/>
              </w:rPr>
            </w:pPr>
          </w:p>
        </w:tc>
      </w:tr>
      <w:tr>
        <w:trPr>
          <w:trHeight w:val="217"/>
        </w:trPr>
        <w:tc>
          <w:tcPr>
            <w:tcW w:w="3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73,970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214,168</w:t>
            </w:r>
          </w:p>
        </w:tc>
        <w:tc>
          <w:tcPr>
            <w:tcW w:w="40" w:type="dxa"/>
            <w:vAlign w:val="bottom"/>
            <w:tcBorders>
              <w:top w:val="single" w:sz="8" w:color="auto"/>
              <w:bottom w:val="single" w:sz="8" w:color="auto"/>
            </w:tcBorders>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w:t>
      </w:r>
    </w:p>
    <w:p>
      <w:pPr>
        <w:spacing w:after="0" w:line="163" w:lineRule="exact"/>
        <w:rPr>
          <w:sz w:val="20"/>
          <w:szCs w:val="20"/>
          <w:color w:val="auto"/>
        </w:rPr>
      </w:pPr>
    </w:p>
    <w:p>
      <w:pPr>
        <w:ind w:right="360" w:firstLine="395"/>
        <w:spacing w:after="0" w:line="250"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33"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161"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17"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6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color w:val="auto"/>
                <w:w w:val="99"/>
              </w:rPr>
              <w:t>Fair Value Measurements using inputs considered as: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gridSpan w:val="3"/>
          </w:tcPr>
          <w:p>
            <w:pPr>
              <w:jc w:val="center"/>
              <w:ind w:left="281"/>
              <w:spacing w:after="0"/>
              <w:rPr>
                <w:sz w:val="20"/>
                <w:szCs w:val="20"/>
                <w:color w:val="auto"/>
              </w:rPr>
            </w:pPr>
            <w:r>
              <w:rPr>
                <w:rFonts w:ascii="Times New Roman" w:cs="Times New Roman" w:eastAsia="Times New Roman" w:hAnsi="Times New Roman"/>
                <w:sz w:val="14"/>
                <w:szCs w:val="14"/>
                <w:color w:val="auto"/>
                <w:w w:val="99"/>
              </w:rPr>
              <w:t>Fair Value at Feb 28,</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Level 2</w:t>
            </w:r>
          </w:p>
        </w:tc>
        <w:tc>
          <w:tcPr>
            <w:tcW w:w="820" w:type="dxa"/>
            <w:vAlign w:val="bottom"/>
          </w:tcPr>
          <w:p>
            <w:pPr>
              <w:spacing w:after="0"/>
              <w:rPr>
                <w:sz w:val="15"/>
                <w:szCs w:val="15"/>
                <w:color w:val="auto"/>
              </w:rPr>
            </w:pPr>
          </w:p>
        </w:tc>
        <w:tc>
          <w:tcPr>
            <w:tcW w:w="920" w:type="dxa"/>
            <w:vAlign w:val="bottom"/>
            <w:gridSpan w:val="2"/>
          </w:tcPr>
          <w:p>
            <w:pPr>
              <w:jc w:val="right"/>
              <w:ind w:right="383"/>
              <w:spacing w:after="0"/>
              <w:rPr>
                <w:sz w:val="20"/>
                <w:szCs w:val="20"/>
                <w:color w:val="auto"/>
              </w:rPr>
            </w:pPr>
            <w:r>
              <w:rPr>
                <w:rFonts w:ascii="Times New Roman" w:cs="Times New Roman" w:eastAsia="Times New Roman" w:hAnsi="Times New Roman"/>
                <w:sz w:val="14"/>
                <w:szCs w:val="14"/>
                <w:color w:val="auto"/>
              </w:rPr>
              <w:t>Level 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Financial Liabilities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20" w:type="dxa"/>
            <w:vAlign w:val="bottom"/>
            <w:shd w:val="clear" w:color="auto" w:fill="CCEEFF"/>
          </w:tcPr>
          <w:p>
            <w:pPr>
              <w:spacing w:after="0"/>
              <w:rPr>
                <w:sz w:val="3"/>
                <w:szCs w:val="3"/>
                <w:color w:val="auto"/>
              </w:rPr>
            </w:pPr>
          </w:p>
        </w:tc>
        <w:tc>
          <w:tcPr>
            <w:tcW w:w="1400" w:type="dxa"/>
            <w:vAlign w:val="bottom"/>
            <w:shd w:val="clear" w:color="auto" w:fill="000000"/>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4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104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368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6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color w:val="auto"/>
                <w:w w:val="99"/>
              </w:rPr>
              <w:t>Fair Value Measurements using inputs considered as: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gridSpan w:val="3"/>
          </w:tcPr>
          <w:p>
            <w:pPr>
              <w:jc w:val="center"/>
              <w:ind w:left="281"/>
              <w:spacing w:after="0"/>
              <w:rPr>
                <w:sz w:val="20"/>
                <w:szCs w:val="20"/>
                <w:color w:val="auto"/>
              </w:rPr>
            </w:pPr>
            <w:r>
              <w:rPr>
                <w:rFonts w:ascii="Times New Roman" w:cs="Times New Roman" w:eastAsia="Times New Roman" w:hAnsi="Times New Roman"/>
                <w:sz w:val="14"/>
                <w:szCs w:val="14"/>
                <w:color w:val="auto"/>
                <w:w w:val="98"/>
              </w:rPr>
              <w:t>Fair Value at May 31,</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Level 2</w:t>
            </w:r>
          </w:p>
        </w:tc>
        <w:tc>
          <w:tcPr>
            <w:tcW w:w="820" w:type="dxa"/>
            <w:vAlign w:val="bottom"/>
          </w:tcPr>
          <w:p>
            <w:pPr>
              <w:spacing w:after="0"/>
              <w:rPr>
                <w:sz w:val="15"/>
                <w:szCs w:val="15"/>
                <w:color w:val="auto"/>
              </w:rPr>
            </w:pPr>
          </w:p>
        </w:tc>
        <w:tc>
          <w:tcPr>
            <w:tcW w:w="920" w:type="dxa"/>
            <w:vAlign w:val="bottom"/>
            <w:gridSpan w:val="2"/>
          </w:tcPr>
          <w:p>
            <w:pPr>
              <w:jc w:val="right"/>
              <w:ind w:right="383"/>
              <w:spacing w:after="0"/>
              <w:rPr>
                <w:sz w:val="20"/>
                <w:szCs w:val="20"/>
                <w:color w:val="auto"/>
              </w:rPr>
            </w:pPr>
            <w:r>
              <w:rPr>
                <w:rFonts w:ascii="Times New Roman" w:cs="Times New Roman" w:eastAsia="Times New Roman" w:hAnsi="Times New Roman"/>
                <w:sz w:val="14"/>
                <w:szCs w:val="14"/>
                <w:color w:val="auto"/>
              </w:rPr>
              <w:t>Level 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Financial Liabilities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20" w:type="dxa"/>
            <w:vAlign w:val="bottom"/>
            <w:shd w:val="clear" w:color="auto" w:fill="CCEEFF"/>
          </w:tcPr>
          <w:p>
            <w:pPr>
              <w:spacing w:after="0"/>
              <w:rPr>
                <w:sz w:val="3"/>
                <w:szCs w:val="3"/>
                <w:color w:val="auto"/>
              </w:rPr>
            </w:pPr>
          </w:p>
        </w:tc>
        <w:tc>
          <w:tcPr>
            <w:tcW w:w="1400" w:type="dxa"/>
            <w:vAlign w:val="bottom"/>
            <w:shd w:val="clear" w:color="auto" w:fill="000000"/>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4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104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368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400" w:type="dxa"/>
            <w:vAlign w:val="bottom"/>
            <w:gridSpan w:val="14"/>
          </w:tcPr>
          <w:p>
            <w:pPr>
              <w:ind w:left="400"/>
              <w:spacing w:after="0"/>
              <w:rPr>
                <w:sz w:val="20"/>
                <w:szCs w:val="20"/>
                <w:color w:val="auto"/>
              </w:rPr>
            </w:pPr>
            <w:r>
              <w:rPr>
                <w:rFonts w:ascii="Times New Roman" w:cs="Times New Roman" w:eastAsia="Times New Roman" w:hAnsi="Times New Roman"/>
                <w:sz w:val="18"/>
                <w:szCs w:val="18"/>
                <w:color w:val="auto"/>
              </w:rPr>
              <w:t>There were no transfers between Level 1, 2 and 3 for the three and nine months ended February 28, 2022 and 2021.</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58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w w:val="98"/>
              </w:rPr>
              <w:t>The table below presents the changes in fair value components of Level 3 instruments: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Three Months Ended Feb 28,</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78"/>
              <w:spacing w:after="0"/>
              <w:rPr>
                <w:sz w:val="20"/>
                <w:szCs w:val="20"/>
                <w:color w:val="auto"/>
              </w:rPr>
            </w:pPr>
            <w:r>
              <w:rPr>
                <w:rFonts w:ascii="Times New Roman" w:cs="Times New Roman" w:eastAsia="Times New Roman" w:hAnsi="Times New Roman"/>
                <w:sz w:val="14"/>
                <w:szCs w:val="14"/>
                <w:color w:val="auto"/>
                <w:w w:val="99"/>
              </w:rPr>
              <w:t>2022</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80" w:type="dxa"/>
            <w:vAlign w:val="bottom"/>
            <w:gridSpan w:val="6"/>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Fair Value Measurements Using</w:t>
            </w:r>
          </w:p>
        </w:tc>
        <w:tc>
          <w:tcPr>
            <w:tcW w:w="0" w:type="dxa"/>
            <w:vAlign w:val="bottom"/>
          </w:tcPr>
          <w:p>
            <w:pPr>
              <w:spacing w:after="0"/>
              <w:rPr>
                <w:sz w:val="1"/>
                <w:szCs w:val="1"/>
                <w:color w:val="auto"/>
              </w:rPr>
            </w:pPr>
          </w:p>
        </w:tc>
      </w:tr>
      <w:tr>
        <w:trPr>
          <w:trHeight w:val="132"/>
        </w:trPr>
        <w:tc>
          <w:tcPr>
            <w:tcW w:w="4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80" w:type="dxa"/>
            <w:vAlign w:val="bottom"/>
            <w:gridSpan w:val="6"/>
          </w:tcPr>
          <w:p>
            <w:pPr>
              <w:jc w:val="center"/>
              <w:spacing w:after="0" w:line="132" w:lineRule="exact"/>
              <w:rPr>
                <w:sz w:val="20"/>
                <w:szCs w:val="20"/>
                <w:color w:val="auto"/>
              </w:rPr>
            </w:pPr>
            <w:r>
              <w:rPr>
                <w:rFonts w:ascii="Times New Roman" w:cs="Times New Roman" w:eastAsia="Times New Roman" w:hAnsi="Times New Roman"/>
                <w:sz w:val="14"/>
                <w:szCs w:val="14"/>
                <w:color w:val="auto"/>
              </w:rPr>
              <w:t>Significant Unobservable Inputs</w:t>
            </w:r>
          </w:p>
        </w:tc>
        <w:tc>
          <w:tcPr>
            <w:tcW w:w="0" w:type="dxa"/>
            <w:vAlign w:val="bottom"/>
          </w:tcPr>
          <w:p>
            <w:pPr>
              <w:spacing w:after="0"/>
              <w:rPr>
                <w:sz w:val="1"/>
                <w:szCs w:val="1"/>
                <w:color w:val="auto"/>
              </w:rPr>
            </w:pPr>
          </w:p>
        </w:tc>
      </w:tr>
      <w:tr>
        <w:trPr>
          <w:trHeight w:val="184"/>
        </w:trPr>
        <w:tc>
          <w:tcPr>
            <w:tcW w:w="4340" w:type="dxa"/>
            <w:vAlign w:val="bottom"/>
            <w:gridSpan w:val="4"/>
            <w:vMerge w:val="continue"/>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24"/>
        </w:trPr>
        <w:tc>
          <w:tcPr>
            <w:tcW w:w="4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November 30, 2021</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gridSpan w:val="4"/>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22"/>
                <w:szCs w:val="22"/>
                <w:color w:val="auto"/>
                <w:vertAlign w:val="superscript"/>
              </w:rPr>
              <w:t>(1)</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Balance, February 28, 2022</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tcBorders>
              <w:bottom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color w:val="auto"/>
              </w:rPr>
              <w:t>Nine Months Ended Feb 28, 2022</w:t>
            </w: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80" w:type="dxa"/>
            <w:vAlign w:val="bottom"/>
            <w:gridSpan w:val="6"/>
          </w:tcPr>
          <w:p>
            <w:pPr>
              <w:jc w:val="center"/>
              <w:spacing w:after="0" w:line="130" w:lineRule="exact"/>
              <w:rPr>
                <w:sz w:val="20"/>
                <w:szCs w:val="20"/>
                <w:color w:val="auto"/>
              </w:rPr>
            </w:pPr>
            <w:r>
              <w:rPr>
                <w:rFonts w:ascii="Times New Roman" w:cs="Times New Roman" w:eastAsia="Times New Roman" w:hAnsi="Times New Roman"/>
                <w:sz w:val="14"/>
                <w:szCs w:val="14"/>
                <w:color w:val="auto"/>
                <w:w w:val="99"/>
              </w:rPr>
              <w:t>Fair Value Measurements Using</w:t>
            </w:r>
          </w:p>
        </w:tc>
        <w:tc>
          <w:tcPr>
            <w:tcW w:w="0" w:type="dxa"/>
            <w:vAlign w:val="bottom"/>
          </w:tcPr>
          <w:p>
            <w:pPr>
              <w:spacing w:after="0"/>
              <w:rPr>
                <w:sz w:val="1"/>
                <w:szCs w:val="1"/>
                <w:color w:val="auto"/>
              </w:rPr>
            </w:pPr>
          </w:p>
        </w:tc>
      </w:tr>
      <w:tr>
        <w:trPr>
          <w:trHeight w:val="132"/>
        </w:trPr>
        <w:tc>
          <w:tcPr>
            <w:tcW w:w="4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80" w:type="dxa"/>
            <w:vAlign w:val="bottom"/>
            <w:gridSpan w:val="6"/>
          </w:tcPr>
          <w:p>
            <w:pPr>
              <w:jc w:val="center"/>
              <w:spacing w:after="0" w:line="132" w:lineRule="exact"/>
              <w:rPr>
                <w:sz w:val="20"/>
                <w:szCs w:val="20"/>
                <w:color w:val="auto"/>
              </w:rPr>
            </w:pPr>
            <w:r>
              <w:rPr>
                <w:rFonts w:ascii="Times New Roman" w:cs="Times New Roman" w:eastAsia="Times New Roman" w:hAnsi="Times New Roman"/>
                <w:sz w:val="14"/>
                <w:szCs w:val="14"/>
                <w:color w:val="auto"/>
              </w:rPr>
              <w:t>Significant Unobservable Inputs</w:t>
            </w:r>
          </w:p>
        </w:tc>
        <w:tc>
          <w:tcPr>
            <w:tcW w:w="0" w:type="dxa"/>
            <w:vAlign w:val="bottom"/>
          </w:tcPr>
          <w:p>
            <w:pPr>
              <w:spacing w:after="0"/>
              <w:rPr>
                <w:sz w:val="1"/>
                <w:szCs w:val="1"/>
                <w:color w:val="auto"/>
              </w:rPr>
            </w:pPr>
          </w:p>
        </w:tc>
      </w:tr>
      <w:tr>
        <w:trPr>
          <w:trHeight w:val="184"/>
        </w:trPr>
        <w:tc>
          <w:tcPr>
            <w:tcW w:w="4340" w:type="dxa"/>
            <w:vAlign w:val="bottom"/>
            <w:tcBorders>
              <w:bottom w:val="single" w:sz="8" w:color="CCEEFF"/>
            </w:tcBorders>
            <w:gridSpan w:val="4"/>
            <w:vMerge w:val="continue"/>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17"/>
        </w:trPr>
        <w:tc>
          <w:tcPr>
            <w:tcW w:w="4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May 31, 2021</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gridSpan w:val="4"/>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22"/>
                <w:szCs w:val="22"/>
                <w:color w:val="auto"/>
                <w:vertAlign w:val="superscript"/>
              </w:rPr>
              <w:t>(1)</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tcBorders>
              <w:bottom w:val="single" w:sz="8" w:color="CCEE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Currency gain from remeasurement</w:t>
            </w:r>
          </w:p>
        </w:tc>
        <w:tc>
          <w:tcPr>
            <w:tcW w:w="10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2"/>
        </w:trPr>
        <w:tc>
          <w:tcPr>
            <w:tcW w:w="43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February 28, 2022</w:t>
            </w:r>
          </w:p>
        </w:tc>
        <w:tc>
          <w:tcPr>
            <w:tcW w:w="10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420" w:firstLine="5"/>
        <w:spacing w:after="0" w:line="269" w:lineRule="auto"/>
        <w:tabs>
          <w:tab w:leader="none" w:pos="22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Contingent Liability for Acquisition Earn Outs</w:t>
      </w:r>
    </w:p>
    <w:p>
      <w:pPr>
        <w:spacing w:after="0" w:line="163" w:lineRule="exact"/>
        <w:rPr>
          <w:sz w:val="20"/>
          <w:szCs w:val="20"/>
          <w:color w:val="auto"/>
        </w:rPr>
      </w:pPr>
    </w:p>
    <w:p>
      <w:pPr>
        <w:ind w:right="180" w:firstLine="395"/>
        <w:spacing w:after="0" w:line="249" w:lineRule="auto"/>
        <w:rPr>
          <w:sz w:val="20"/>
          <w:szCs w:val="20"/>
          <w:color w:val="auto"/>
        </w:rPr>
      </w:pPr>
      <w:r>
        <w:rPr>
          <w:rFonts w:ascii="Times New Roman" w:cs="Times New Roman" w:eastAsia="Times New Roman" w:hAnsi="Times New Roman"/>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jc w:val="both"/>
        <w:ind w:right="140" w:firstLine="395"/>
        <w:spacing w:after="0" w:line="293" w:lineRule="auto"/>
        <w:rPr>
          <w:sz w:val="20"/>
          <w:szCs w:val="20"/>
          <w:color w:val="auto"/>
        </w:rPr>
      </w:pPr>
      <w:r>
        <w:rPr>
          <w:rFonts w:ascii="Times New Roman" w:cs="Times New Roman" w:eastAsia="Times New Roman" w:hAnsi="Times New Roman"/>
          <w:sz w:val="16"/>
          <w:szCs w:val="16"/>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recurring Level 3 fair value measurements of the contingent consideration liabilities include the following significant unobservable inputs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21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Valuation Technique</w:t>
            </w: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Unobservable Input</w:t>
            </w:r>
          </w:p>
        </w:tc>
        <w:tc>
          <w:tcPr>
            <w:tcW w:w="1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Range</w:t>
            </w:r>
          </w:p>
        </w:tc>
      </w:tr>
      <w:tr>
        <w:trPr>
          <w:trHeight w:val="222"/>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based payments</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16,741</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5%</w:t>
            </w:r>
          </w:p>
        </w:tc>
      </w:tr>
      <w:tr>
        <w:trPr>
          <w:trHeight w:val="218"/>
        </w:trPr>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Probability of payment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66% - 100%</w:t>
            </w:r>
          </w:p>
        </w:tc>
      </w:tr>
      <w:tr>
        <w:trPr>
          <w:trHeight w:val="228"/>
        </w:trPr>
        <w:tc>
          <w:tcPr>
            <w:tcW w:w="2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Projected fiscal year of payment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2023 - 2025</w:t>
            </w:r>
          </w:p>
        </w:tc>
      </w:tr>
    </w:tbl>
    <w:p>
      <w:pPr>
        <w:spacing w:after="0" w:line="232" w:lineRule="exact"/>
        <w:rPr>
          <w:sz w:val="20"/>
          <w:szCs w:val="20"/>
          <w:color w:val="auto"/>
        </w:rPr>
      </w:pPr>
    </w:p>
    <w:p>
      <w:pPr>
        <w:ind w:right="780" w:firstLine="395"/>
        <w:spacing w:after="0" w:line="303" w:lineRule="auto"/>
        <w:rPr>
          <w:sz w:val="20"/>
          <w:szCs w:val="20"/>
          <w:color w:val="auto"/>
        </w:rPr>
      </w:pPr>
      <w:r>
        <w:rPr>
          <w:rFonts w:ascii="Times New Roman" w:cs="Times New Roman" w:eastAsia="Times New Roman" w:hAnsi="Times New Roman"/>
          <w:sz w:val="16"/>
          <w:szCs w:val="16"/>
          <w:color w:val="auto"/>
        </w:rPr>
        <w:t>At February 28, 2022, the amount of undiscounted future contingent consideration that the Company expects to pay as a result of all completed acquisitions is approximately $20.0 million. The milestones, including revenue projections and technical milestones associated with the contingent consideration must be reached in future periods ranging from fiscal years 2022 to 2029 in order for the associated consideration to be paid.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63"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manufacturing and warehousing.</w:t>
      </w:r>
    </w:p>
    <w:p>
      <w:pPr>
        <w:spacing w:after="0" w:line="117"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24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Balance Sheet Location</w:t>
            </w:r>
          </w:p>
        </w:tc>
        <w:tc>
          <w:tcPr>
            <w:tcW w:w="6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2022</w:t>
            </w:r>
          </w:p>
        </w:tc>
        <w:tc>
          <w:tcPr>
            <w:tcW w:w="600" w:type="dxa"/>
            <w:vAlign w:val="bottom"/>
          </w:tcPr>
          <w:p>
            <w:pPr>
              <w:spacing w:after="0"/>
              <w:rPr>
                <w:sz w:val="16"/>
                <w:szCs w:val="16"/>
                <w:color w:val="auto"/>
              </w:rPr>
            </w:pPr>
          </w:p>
        </w:tc>
        <w:tc>
          <w:tcPr>
            <w:tcW w:w="118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May 31, 2021</w:t>
            </w:r>
          </w:p>
        </w:tc>
      </w:tr>
      <w:tr>
        <w:trPr>
          <w:trHeight w:val="209"/>
        </w:trPr>
        <w:tc>
          <w:tcPr>
            <w:tcW w:w="51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Assets</w:t>
            </w:r>
          </w:p>
        </w:tc>
        <w:tc>
          <w:tcPr>
            <w:tcW w:w="2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4"/>
        </w:trPr>
        <w:tc>
          <w:tcPr>
            <w:tcW w:w="5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Operating lease ROU asset</w:t>
            </w: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w:t>
            </w:r>
          </w:p>
        </w:tc>
      </w:tr>
      <w:tr>
        <w:trPr>
          <w:trHeight w:val="224"/>
        </w:trPr>
        <w:tc>
          <w:tcPr>
            <w:tcW w:w="5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Liabilities</w:t>
            </w:r>
          </w:p>
        </w:tc>
        <w:tc>
          <w:tcPr>
            <w:tcW w:w="2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5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24"/>
        </w:trPr>
        <w:tc>
          <w:tcPr>
            <w:tcW w:w="5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r>
      <w:tr>
        <w:trPr>
          <w:trHeight w:val="217"/>
        </w:trPr>
        <w:tc>
          <w:tcPr>
            <w:tcW w:w="5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w:t>
            </w:r>
          </w:p>
        </w:tc>
      </w:tr>
      <w:tr>
        <w:trPr>
          <w:trHeight w:val="20"/>
        </w:trPr>
        <w:tc>
          <w:tcPr>
            <w:tcW w:w="5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Feb 28, 2022</w:t>
            </w:r>
          </w:p>
        </w:tc>
        <w:tc>
          <w:tcPr>
            <w:tcW w:w="360" w:type="dxa"/>
            <w:vAlign w:val="bottom"/>
            <w:tcBorders>
              <w:bottom w:val="single" w:sz="8" w:color="auto"/>
            </w:tcBorders>
          </w:tcPr>
          <w:p>
            <w:pPr>
              <w:spacing w:after="0"/>
              <w:rPr>
                <w:sz w:val="16"/>
                <w:szCs w:val="16"/>
                <w:color w:val="auto"/>
              </w:rPr>
            </w:pPr>
          </w:p>
        </w:tc>
      </w:tr>
      <w:tr>
        <w:trPr>
          <w:trHeight w:val="222"/>
        </w:trPr>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8"/>
        </w:trPr>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8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maturities of the lease liabilities for each of the following fiscal years is: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Feb 28, 2022</w:t>
            </w:r>
          </w:p>
        </w:tc>
      </w:tr>
      <w:tr>
        <w:trPr>
          <w:trHeight w:val="222"/>
        </w:trPr>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Remainder of 2022</w:t>
            </w:r>
          </w:p>
        </w:tc>
        <w:tc>
          <w:tcPr>
            <w:tcW w:w="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4"/>
        </w:trPr>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24"/>
        </w:trPr>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24"/>
        </w:trPr>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24"/>
        </w:trPr>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24"/>
        </w:trPr>
        <w:tc>
          <w:tcPr>
            <w:tcW w:w="94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2027 and thereafter</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7"/>
        </w:trPr>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lease payments</w:t>
            </w:r>
          </w:p>
        </w:tc>
        <w:tc>
          <w:tcPr>
            <w:tcW w:w="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r>
      <w:tr>
        <w:trPr>
          <w:trHeight w:val="224"/>
        </w:trPr>
        <w:tc>
          <w:tcPr>
            <w:tcW w:w="94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17"/>
        </w:trPr>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lease obligations</w:t>
            </w:r>
          </w:p>
        </w:tc>
        <w:tc>
          <w:tcPr>
            <w:tcW w:w="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r>
      <w:tr>
        <w:trPr>
          <w:trHeight w:val="224"/>
        </w:trPr>
        <w:tc>
          <w:tcPr>
            <w:tcW w:w="94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42"/>
        </w:trPr>
        <w:tc>
          <w:tcPr>
            <w:tcW w:w="94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During the three months ended February 28, 2022 and 2021, the Company recognized $0.7 million and $0.8 million of operating lease expense, respectively, which includes immaterial short-term leases. During the nine months ended February 28, 2022 and 2021, the Company recognized $2.1 million and $2.4 million of operating lease expense, respectively, which includes immaterial short-term leases. The expenses on the Consolidated Statement of Operations were classified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980" w:type="dxa"/>
            <w:vAlign w:val="bottom"/>
            <w:gridSpan w:val="5"/>
          </w:tcPr>
          <w:p>
            <w:pPr>
              <w:ind w:left="740"/>
              <w:spacing w:after="0"/>
              <w:rPr>
                <w:sz w:val="20"/>
                <w:szCs w:val="20"/>
                <w:color w:val="auto"/>
              </w:rPr>
            </w:pPr>
            <w:r>
              <w:rPr>
                <w:rFonts w:ascii="Times New Roman" w:cs="Times New Roman" w:eastAsia="Times New Roman" w:hAnsi="Times New Roman"/>
                <w:sz w:val="14"/>
                <w:szCs w:val="14"/>
                <w:color w:val="auto"/>
              </w:rPr>
              <w:t>Three Months Ended</w:t>
            </w:r>
          </w:p>
        </w:tc>
        <w:tc>
          <w:tcPr>
            <w:tcW w:w="580" w:type="dxa"/>
            <w:vAlign w:val="bottom"/>
          </w:tcPr>
          <w:p>
            <w:pPr>
              <w:spacing w:after="0"/>
              <w:rPr>
                <w:sz w:val="16"/>
                <w:szCs w:val="16"/>
                <w:color w:val="auto"/>
              </w:rPr>
            </w:pPr>
          </w:p>
        </w:tc>
        <w:tc>
          <w:tcPr>
            <w:tcW w:w="294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84"/>
        </w:trPr>
        <w:tc>
          <w:tcPr>
            <w:tcW w:w="4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5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Feb 28, 2022</w:t>
            </w:r>
          </w:p>
        </w:tc>
        <w:tc>
          <w:tcPr>
            <w:tcW w:w="6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color w:val="auto"/>
              </w:rPr>
              <w:t>Feb 28, 2021</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2022</w:t>
            </w: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color w:val="auto"/>
              </w:rPr>
              <w:t>Feb 28, 2021</w:t>
            </w:r>
          </w:p>
        </w:tc>
      </w:tr>
      <w:tr>
        <w:trPr>
          <w:trHeight w:val="217"/>
        </w:trPr>
        <w:tc>
          <w:tcPr>
            <w:tcW w:w="416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of sales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24"/>
        </w:trPr>
        <w:tc>
          <w:tcPr>
            <w:tcW w:w="4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24"/>
        </w:trPr>
        <w:tc>
          <w:tcPr>
            <w:tcW w:w="4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4"/>
        </w:trPr>
        <w:tc>
          <w:tcPr>
            <w:tcW w:w="4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42"/>
        </w:trPr>
        <w:tc>
          <w:tcPr>
            <w:tcW w:w="4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other information related to leases for the nine months ended: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2022</w:t>
            </w:r>
          </w:p>
        </w:tc>
        <w:tc>
          <w:tcPr>
            <w:tcW w:w="600" w:type="dxa"/>
            <w:vAlign w:val="bottom"/>
          </w:tcPr>
          <w:p>
            <w:pPr>
              <w:spacing w:after="0"/>
              <w:rPr>
                <w:sz w:val="16"/>
                <w:szCs w:val="16"/>
                <w:color w:val="auto"/>
              </w:rPr>
            </w:pPr>
          </w:p>
        </w:tc>
        <w:tc>
          <w:tcPr>
            <w:tcW w:w="1180" w:type="dxa"/>
            <w:vAlign w:val="bottom"/>
          </w:tcPr>
          <w:p>
            <w:pPr>
              <w:jc w:val="right"/>
              <w:ind w:right="238"/>
              <w:spacing w:after="0"/>
              <w:rPr>
                <w:sz w:val="20"/>
                <w:szCs w:val="20"/>
                <w:color w:val="auto"/>
              </w:rPr>
            </w:pPr>
            <w:r>
              <w:rPr>
                <w:rFonts w:ascii="Times New Roman" w:cs="Times New Roman" w:eastAsia="Times New Roman" w:hAnsi="Times New Roman"/>
                <w:sz w:val="14"/>
                <w:szCs w:val="14"/>
                <w:color w:val="auto"/>
              </w:rPr>
              <w:t>Feb 28, 2021</w:t>
            </w:r>
          </w:p>
        </w:tc>
      </w:tr>
      <w:tr>
        <w:trPr>
          <w:trHeight w:val="209"/>
        </w:trPr>
        <w:tc>
          <w:tcPr>
            <w:tcW w:w="756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4"/>
        </w:trPr>
        <w:tc>
          <w:tcPr>
            <w:tcW w:w="7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4"/>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8"/>
        </w:trPr>
        <w:tc>
          <w:tcPr>
            <w:tcW w:w="7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Operating leases</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r>
    </w:tbl>
    <w:p>
      <w:pPr>
        <w:spacing w:after="0" w:line="304" w:lineRule="exact"/>
        <w:rPr>
          <w:sz w:val="20"/>
          <w:szCs w:val="20"/>
          <w:color w:val="auto"/>
        </w:rPr>
      </w:pPr>
    </w:p>
    <w:p>
      <w:pPr>
        <w:ind w:right="7600" w:firstLine="5"/>
        <w:spacing w:after="0" w:line="428" w:lineRule="auto"/>
        <w:tabs>
          <w:tab w:leader="none" w:pos="26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1"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163"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(US Patent Nos. 7,785,302 (“’302 Patent”), 7,959,615 (“’615 Patent”) and 7,947,022 (“’022 Patent”)).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the case was transferred from the District of Utah to the United States District Court for the District of Delaware ("District of Delaware"). A scheduling order was entered on March 23, 2021. On July 22, 2021, in another case against a different defendant the District of Utah invalidated multiple claims of the ‘302, ‘022, and ‘615 Patents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under 35 USC §101, including claims asserted against the Company. Following the Utah court’s decision, the Company filed a Motion for Judgment on the Pleadings based on collateral estoppel on August 9, 2021. Bard filed its opposition brief on September 2, 2021 and the Company filed a reply on September 9, 2021. Following a hearing on the Motion for Judgment on the Pleadings on December 21, 2021, the District of Delaware stayed the case pending the Federal Circuit's resolution of Bard's appeal from the Utah Decision. Previously, the Company had filed a Motion for Leave to Amend its Answer and Counterclaims on April 14, 2021. This motion sought to add counterclaims for infringement of U.S. Patent Nos. 9,168,365; 9,895,523; and 10,632,295, as well as a counterclaim of inequitable conduct. On November 5, 2021, the Company notified the District of Delaware that the Utah decision was certified for appeal to the Court of Appeals for the Federal Circuit. Contemporaneously, the Company withdrew its Motion for Leave to Amend its Answer and Counterclaims without prejudice to refile. Bard filed its Opening Appellate Brief in its appeal at the Federal Circuit on December 8, 2021.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42"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At the close of Bard’s case, the Court granted the Company's oral motion for judgment as a matter of law as well as its motions for summary judgment on the grounds that the asserted patents are invalid, ineligible, not infringed and not willfully infringed. On May 10, 2019, the Company filed a motion for attorney fees and non-taxable expenses under 35 USC Sec. 285. Bard appealed the judgment to the Federal Circuit and on November 10, 2020, the Federal Circuit reversed the judgment in part with respect to Section 101 (subject matter eligibility), and vacated and remanded the trial court’s invalidity and non-infringement judgments. The Company filed a combined Petition for rehearing and rehearing en banc on December 10, 2020, which was denied on January 15, 2021. The Federal Circuit issued its mandate on January 22, 2021. On March 15, 2021, the District of Delaware entered an order requiring the parties to submit status reports and denied as moot the Company’s motion for attorney’s fees and expenses. The parties agreed to schedule trial the week of May 9, 2022, and the trial has been docketed on the Court's calendar.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314"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6"/>
          <w:szCs w:val="16"/>
          <w:color w:val="auto"/>
        </w:rPr>
        <w:t>On March 8, 2021, Bard filed suit in the District of Delaware asserting certain of the Company’s port products (including certain related infusion sets) infringe U.S. Patent Nos. 8,025,639, 9,603,992 (“’992”) and 9,603,993 (“’993”). On May 20, 2021, the Company filed a Motion to Dismiss Bard’s claims with respect to the ’992 and ’993 patents. On July 22, 2021, the Company submitted the Utah court’s decision invalidating claims of the related ‘302, ‘022, and ‘615 Patents as supplemental authority in support of its Motion to Dismiss. The parties agreed to submit supplemental briefing to address the Utah court’s decision. Bard submitted its brief on August 12, 2021, and the Company submitted its reply on September 2, 2021. On December 21, 2021, the District of Delaware stayed the case pending the Federal Circuit's resolution of Bard's appeal of the Utah decision invalidating multiple claims of the ‘302, ‘022, and ‘615 patents under 35 USC §101.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AngioDynamics, Inc. v. C.R. Bard, Inc.</w:t>
      </w:r>
    </w:p>
    <w:p>
      <w:pPr>
        <w:spacing w:after="0" w:line="163" w:lineRule="exact"/>
        <w:rPr>
          <w:sz w:val="20"/>
          <w:szCs w:val="20"/>
          <w:color w:val="auto"/>
        </w:rPr>
      </w:pPr>
    </w:p>
    <w:p>
      <w:pPr>
        <w:ind w:right="20" w:firstLine="395"/>
        <w:spacing w:after="0" w:line="284" w:lineRule="auto"/>
        <w:rPr>
          <w:sz w:val="20"/>
          <w:szCs w:val="20"/>
          <w:color w:val="auto"/>
        </w:rPr>
      </w:pPr>
      <w:r>
        <w:rPr>
          <w:rFonts w:ascii="Times New Roman" w:cs="Times New Roman" w:eastAsia="Times New Roman" w:hAnsi="Times New Roman"/>
          <w:sz w:val="16"/>
          <w:szCs w:val="16"/>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Bard made a motion for summary judgment which was denied in its entirety in a decision issued by the Court on May 5, 2021. Bard also raised a series of challenges targeted at one of AngioDynamics’ expert witnesses, which the Court denied in part and granted in part in decisions on May 5, 2021 and June 11, 2021. Discovery is largely complete, and trial is scheduled to commence on July 5, 2022.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RESTRUCTURING, AND OTHER ITEMS, NET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Other Items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Acquisition, restructuring and other items, net, consisted of:</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580" w:type="dxa"/>
            <w:vAlign w:val="bottom"/>
          </w:tcPr>
          <w:p>
            <w:pPr>
              <w:spacing w:after="0"/>
              <w:rPr>
                <w:sz w:val="16"/>
                <w:szCs w:val="16"/>
                <w:color w:val="auto"/>
              </w:rPr>
            </w:pPr>
          </w:p>
        </w:tc>
        <w:tc>
          <w:tcPr>
            <w:tcW w:w="3000" w:type="dxa"/>
            <w:vAlign w:val="bottom"/>
            <w:gridSpan w:val="8"/>
          </w:tcPr>
          <w:p>
            <w:pPr>
              <w:jc w:val="right"/>
              <w:ind w:right="108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Feb 28, 2022</w:t>
            </w:r>
          </w:p>
        </w:tc>
        <w:tc>
          <w:tcPr>
            <w:tcW w:w="6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Feb 28, 2021</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4"/>
                <w:szCs w:val="14"/>
                <w:color w:val="auto"/>
              </w:rPr>
              <w:t>Feb 28, 2022</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color w:val="auto"/>
              </w:rPr>
              <w:t>Feb 28,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2"/>
                <w:szCs w:val="22"/>
                <w:color w:val="auto"/>
                <w:vertAlign w:val="superscript"/>
              </w:rPr>
              <w:t>(1)</w:t>
            </w: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18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Mergers and acquisitions </w:t>
            </w:r>
            <w:r>
              <w:rPr>
                <w:rFonts w:ascii="Times New Roman" w:cs="Times New Roman" w:eastAsia="Times New Roman" w:hAnsi="Times New Roman"/>
                <w:sz w:val="22"/>
                <w:szCs w:val="22"/>
                <w:color w:val="auto"/>
                <w:vertAlign w:val="superscript"/>
              </w:rPr>
              <w:t>(2)</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Transition service agreement </w:t>
            </w:r>
            <w:r>
              <w:rPr>
                <w:rFonts w:ascii="Times New Roman" w:cs="Times New Roman" w:eastAsia="Times New Roman" w:hAnsi="Times New Roman"/>
                <w:sz w:val="22"/>
                <w:szCs w:val="22"/>
                <w:color w:val="auto"/>
                <w:vertAlign w:val="superscript"/>
              </w:rPr>
              <w:t>(3)</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40" w:type="dxa"/>
            <w:vAlign w:val="bottom"/>
            <w:gridSpan w:val="5"/>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18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Divestiture </w:t>
            </w:r>
            <w:r>
              <w:rPr>
                <w:rFonts w:ascii="Times New Roman" w:cs="Times New Roman" w:eastAsia="Times New Roman" w:hAnsi="Times New Roman"/>
                <w:sz w:val="22"/>
                <w:szCs w:val="22"/>
                <w:color w:val="auto"/>
                <w:vertAlign w:val="superscript"/>
              </w:rPr>
              <w:t>(4)</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Manufacturing relocation </w:t>
            </w:r>
            <w:r>
              <w:rPr>
                <w:rFonts w:ascii="Times New Roman" w:cs="Times New Roman" w:eastAsia="Times New Roman" w:hAnsi="Times New Roman"/>
                <w:sz w:val="22"/>
                <w:szCs w:val="22"/>
                <w:color w:val="auto"/>
                <w:vertAlign w:val="superscript"/>
              </w:rPr>
              <w:t>(5)</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3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0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(1) Legal expenses related to litigation that is outside the normal course of business.</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5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9"/>
              </w:rPr>
              <w:t>(2) Mergers and acquisitions expense related to legal and due diligence.</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7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(3) Transition services agreement that was entered into as a result of the sale of the Fluid Management business.</w:t>
            </w: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600" w:type="dxa"/>
            <w:vAlign w:val="bottom"/>
            <w:gridSpan w:val="7"/>
          </w:tcPr>
          <w:p>
            <w:pPr>
              <w:spacing w:after="0"/>
              <w:rPr>
                <w:sz w:val="20"/>
                <w:szCs w:val="20"/>
                <w:color w:val="auto"/>
              </w:rPr>
            </w:pPr>
            <w:r>
              <w:rPr>
                <w:rFonts w:ascii="Times New Roman" w:cs="Times New Roman" w:eastAsia="Times New Roman" w:hAnsi="Times New Roman"/>
                <w:sz w:val="16"/>
                <w:szCs w:val="16"/>
                <w:color w:val="auto"/>
                <w:w w:val="98"/>
              </w:rPr>
              <w:t>(4) Divestiture expenses incurred to transition manufacturing from Glens Falls, NY to Queensbury, NY.</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(5) Expenses to relocate certain manufacturing lines from Queensbury, NY to Costa Rica.</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6"/>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16. ACCUMULATED OTHER COMPREHENSIVE INCOME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76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income, net of tax, are as follows: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 Feb 28,</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57"/>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4"/>
          </w:tcPr>
          <w:p>
            <w:pPr>
              <w:jc w:val="center"/>
              <w:ind w:right="37"/>
              <w:spacing w:after="0" w:line="12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5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w w:val="96"/>
              </w:rPr>
              <w:t>income</w:t>
            </w:r>
          </w:p>
        </w:tc>
        <w:tc>
          <w:tcPr>
            <w:tcW w:w="0" w:type="dxa"/>
            <w:vAlign w:val="bottom"/>
          </w:tcPr>
          <w:p>
            <w:pPr>
              <w:spacing w:after="0"/>
              <w:rPr>
                <w:sz w:val="1"/>
                <w:szCs w:val="1"/>
                <w:color w:val="auto"/>
              </w:rPr>
            </w:pPr>
          </w:p>
        </w:tc>
      </w:tr>
      <w:tr>
        <w:trPr>
          <w:trHeight w:val="217"/>
        </w:trPr>
        <w:tc>
          <w:tcPr>
            <w:tcW w:w="45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30, 2021</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February 28, 2022</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Nine Months Ended Feb</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4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6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color w:val="auto"/>
                <w:w w:val="98"/>
              </w:rPr>
              <w:t>Foreign currency translati</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4180" w:type="dxa"/>
            <w:vAlign w:val="bottom"/>
            <w:tcBorders>
              <w:bottom w:val="single" w:sz="8" w:color="CCEEFF"/>
            </w:tcBorders>
            <w:gridSpan w:val="2"/>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income</w:t>
            </w: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at May 31, 2021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18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5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Balance at February 28, 2022</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5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type w:val="continuous"/>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20" w:right="6260" w:hanging="15"/>
        <w:spacing w:after="0" w:line="567" w:lineRule="auto"/>
        <w:tabs>
          <w:tab w:leader="none" w:pos="265"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RECENTLY ISSUED ACCOUNTING PRONOUNCEMENTS Recently Issued Accounting Pronouncements - Adopted</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are no recently issued accounting pronouncements that have been adopted.</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3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2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7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r>
      <w:tr>
        <w:trPr>
          <w:trHeight w:val="164"/>
        </w:trPr>
        <w:tc>
          <w:tcPr>
            <w:tcW w:w="2380" w:type="dxa"/>
            <w:vAlign w:val="bottom"/>
            <w:tcBorders>
              <w:right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ASU 2021-10, Government</w:t>
            </w:r>
          </w:p>
        </w:tc>
        <w:tc>
          <w:tcPr>
            <w:tcW w:w="3820" w:type="dxa"/>
            <w:vAlign w:val="bottom"/>
            <w:tcBorders>
              <w:right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rPr>
              <w:t>This ASU increases the transparency of government</w:t>
            </w:r>
          </w:p>
        </w:tc>
        <w:tc>
          <w:tcPr>
            <w:tcW w:w="1240" w:type="dxa"/>
            <w:vAlign w:val="bottom"/>
            <w:tcBorders>
              <w:right w:val="single" w:sz="8" w:color="auto"/>
            </w:tcBorders>
          </w:tcPr>
          <w:p>
            <w:pPr>
              <w:ind w:left="160"/>
              <w:spacing w:after="0" w:line="164" w:lineRule="exact"/>
              <w:rPr>
                <w:sz w:val="20"/>
                <w:szCs w:val="20"/>
                <w:color w:val="auto"/>
              </w:rPr>
            </w:pPr>
            <w:r>
              <w:rPr>
                <w:rFonts w:ascii="Times New Roman" w:cs="Times New Roman" w:eastAsia="Times New Roman" w:hAnsi="Times New Roman"/>
                <w:sz w:val="18"/>
                <w:szCs w:val="18"/>
                <w:color w:val="auto"/>
              </w:rPr>
              <w:t>June 1, 2022</w:t>
            </w:r>
          </w:p>
        </w:tc>
        <w:tc>
          <w:tcPr>
            <w:tcW w:w="374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w w:val="97"/>
              </w:rPr>
              <w:t>The Company plans to adopt the new standard in the</w:t>
            </w:r>
          </w:p>
        </w:tc>
      </w:tr>
      <w:tr>
        <w:trPr>
          <w:trHeight w:val="184"/>
        </w:trPr>
        <w:tc>
          <w:tcPr>
            <w:tcW w:w="23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Assistance (Topic 832):</w:t>
            </w:r>
          </w:p>
        </w:tc>
        <w:tc>
          <w:tcPr>
            <w:tcW w:w="38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8"/>
              </w:rPr>
              <w:t>assistance to include the disclosure of (1) the types of</w:t>
            </w:r>
          </w:p>
        </w:tc>
        <w:tc>
          <w:tcPr>
            <w:tcW w:w="1240" w:type="dxa"/>
            <w:vAlign w:val="bottom"/>
            <w:tcBorders>
              <w:right w:val="single" w:sz="8" w:color="auto"/>
            </w:tcBorders>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first quarter of fiscal year 2023 and does not expect</w:t>
            </w:r>
          </w:p>
        </w:tc>
      </w:tr>
      <w:tr>
        <w:trPr>
          <w:trHeight w:val="184"/>
        </w:trPr>
        <w:tc>
          <w:tcPr>
            <w:tcW w:w="23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8"/>
              </w:rPr>
              <w:t>Disclosures by Business Entities</w:t>
            </w:r>
          </w:p>
        </w:tc>
        <w:tc>
          <w:tcPr>
            <w:tcW w:w="38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assistance, (2) an entity's accounting for the</w:t>
            </w:r>
          </w:p>
        </w:tc>
        <w:tc>
          <w:tcPr>
            <w:tcW w:w="1240" w:type="dxa"/>
            <w:vAlign w:val="bottom"/>
            <w:tcBorders>
              <w:right w:val="single" w:sz="8" w:color="auto"/>
            </w:tcBorders>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there to be a material impact to the consolidated</w:t>
            </w:r>
          </w:p>
        </w:tc>
      </w:tr>
      <w:tr>
        <w:trPr>
          <w:trHeight w:val="192"/>
        </w:trPr>
        <w:tc>
          <w:tcPr>
            <w:tcW w:w="2380" w:type="dxa"/>
            <w:vAlign w:val="bottom"/>
            <w:tcBorders>
              <w:right w:val="single" w:sz="8" w:color="auto"/>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about Government Assistance</w:t>
            </w:r>
          </w:p>
        </w:tc>
        <w:tc>
          <w:tcPr>
            <w:tcW w:w="3820" w:type="dxa"/>
            <w:vAlign w:val="bottom"/>
            <w:tcBorders>
              <w:right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rPr>
              <w:t>assistance, and (3) the effect of the assistance on an</w:t>
            </w:r>
          </w:p>
        </w:tc>
        <w:tc>
          <w:tcPr>
            <w:tcW w:w="1240" w:type="dxa"/>
            <w:vAlign w:val="bottom"/>
            <w:tcBorders>
              <w:right w:val="single" w:sz="8" w:color="auto"/>
            </w:tcBorders>
          </w:tcPr>
          <w:p>
            <w:pPr>
              <w:spacing w:after="0"/>
              <w:rPr>
                <w:sz w:val="16"/>
                <w:szCs w:val="16"/>
                <w:color w:val="auto"/>
              </w:rPr>
            </w:pPr>
          </w:p>
        </w:tc>
        <w:tc>
          <w:tcPr>
            <w:tcW w:w="374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financial statements.</w:t>
            </w:r>
          </w:p>
        </w:tc>
      </w:tr>
      <w:tr>
        <w:trPr>
          <w:trHeight w:val="235"/>
        </w:trPr>
        <w:tc>
          <w:tcPr>
            <w:tcW w:w="238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entity's financial statements.</w:t>
            </w:r>
          </w:p>
        </w:tc>
        <w:tc>
          <w:tcPr>
            <w:tcW w:w="12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r>
      <w:tr>
        <w:trPr>
          <w:trHeight w:val="171"/>
        </w:trPr>
        <w:tc>
          <w:tcPr>
            <w:tcW w:w="2380" w:type="dxa"/>
            <w:vAlign w:val="bottom"/>
            <w:tcBorders>
              <w:right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 xml:space="preserve">ASU 2021-08, </w:t>
            </w:r>
            <w:r>
              <w:rPr>
                <w:rFonts w:ascii="Times New Roman" w:cs="Times New Roman" w:eastAsia="Times New Roman" w:hAnsi="Times New Roman"/>
                <w:sz w:val="18"/>
                <w:szCs w:val="18"/>
                <w:i w:val="1"/>
                <w:iCs w:val="1"/>
                <w:color w:val="auto"/>
              </w:rPr>
              <w:t>Business</w:t>
            </w:r>
          </w:p>
        </w:tc>
        <w:tc>
          <w:tcPr>
            <w:tcW w:w="3820" w:type="dxa"/>
            <w:vAlign w:val="bottom"/>
            <w:tcBorders>
              <w:right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This ASU improves the accounting for acquired</w:t>
            </w:r>
          </w:p>
        </w:tc>
        <w:tc>
          <w:tcPr>
            <w:tcW w:w="1240" w:type="dxa"/>
            <w:vAlign w:val="bottom"/>
            <w:tcBorders>
              <w:right w:val="single" w:sz="8" w:color="auto"/>
            </w:tcBorders>
          </w:tcPr>
          <w:p>
            <w:pPr>
              <w:ind w:left="160"/>
              <w:spacing w:after="0" w:line="171" w:lineRule="exact"/>
              <w:rPr>
                <w:sz w:val="20"/>
                <w:szCs w:val="20"/>
                <w:color w:val="auto"/>
              </w:rPr>
            </w:pPr>
            <w:r>
              <w:rPr>
                <w:rFonts w:ascii="Times New Roman" w:cs="Times New Roman" w:eastAsia="Times New Roman" w:hAnsi="Times New Roman"/>
                <w:sz w:val="18"/>
                <w:szCs w:val="18"/>
                <w:color w:val="auto"/>
              </w:rPr>
              <w:t>June 1, 2023</w:t>
            </w:r>
          </w:p>
        </w:tc>
        <w:tc>
          <w:tcPr>
            <w:tcW w:w="37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7"/>
              </w:rPr>
              <w:t>The Company plans to adopt the new standard in the</w:t>
            </w:r>
          </w:p>
        </w:tc>
      </w:tr>
      <w:tr>
        <w:trPr>
          <w:trHeight w:val="184"/>
        </w:trPr>
        <w:tc>
          <w:tcPr>
            <w:tcW w:w="23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Combinations (Topic 805):</w:t>
            </w:r>
          </w:p>
        </w:tc>
        <w:tc>
          <w:tcPr>
            <w:tcW w:w="38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revenue contracts with customers in a business</w:t>
            </w:r>
          </w:p>
        </w:tc>
        <w:tc>
          <w:tcPr>
            <w:tcW w:w="1240" w:type="dxa"/>
            <w:vAlign w:val="bottom"/>
            <w:tcBorders>
              <w:right w:val="single" w:sz="8" w:color="auto"/>
            </w:tcBorders>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first quarter of fiscal year 2024 and does not expect</w:t>
            </w:r>
          </w:p>
        </w:tc>
      </w:tr>
      <w:tr>
        <w:trPr>
          <w:trHeight w:val="184"/>
        </w:trPr>
        <w:tc>
          <w:tcPr>
            <w:tcW w:w="23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Accounting for Contract Assets</w:t>
            </w:r>
          </w:p>
        </w:tc>
        <w:tc>
          <w:tcPr>
            <w:tcW w:w="38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combination by addressing diversity in practice and</w:t>
            </w:r>
          </w:p>
        </w:tc>
        <w:tc>
          <w:tcPr>
            <w:tcW w:w="1240" w:type="dxa"/>
            <w:vAlign w:val="bottom"/>
            <w:tcBorders>
              <w:right w:val="single" w:sz="8" w:color="auto"/>
            </w:tcBorders>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there to be a material impact to the consolidated</w:t>
            </w:r>
          </w:p>
        </w:tc>
      </w:tr>
      <w:tr>
        <w:trPr>
          <w:trHeight w:val="184"/>
        </w:trPr>
        <w:tc>
          <w:tcPr>
            <w:tcW w:w="23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and Contract Liabilities from</w:t>
            </w:r>
          </w:p>
        </w:tc>
        <w:tc>
          <w:tcPr>
            <w:tcW w:w="38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inconsistency related to recognition of an acquired</w:t>
            </w:r>
          </w:p>
        </w:tc>
        <w:tc>
          <w:tcPr>
            <w:tcW w:w="1240" w:type="dxa"/>
            <w:vAlign w:val="bottom"/>
            <w:tcBorders>
              <w:right w:val="single" w:sz="8" w:color="auto"/>
            </w:tcBorders>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financial statements.</w:t>
            </w:r>
          </w:p>
        </w:tc>
      </w:tr>
      <w:tr>
        <w:trPr>
          <w:trHeight w:val="192"/>
        </w:trPr>
        <w:tc>
          <w:tcPr>
            <w:tcW w:w="2380" w:type="dxa"/>
            <w:vAlign w:val="bottom"/>
            <w:tcBorders>
              <w:right w:val="single" w:sz="8" w:color="auto"/>
            </w:tcBorders>
          </w:tcPr>
          <w:p>
            <w:pPr>
              <w:ind w:left="20"/>
              <w:spacing w:after="0" w:line="192" w:lineRule="exact"/>
              <w:rPr>
                <w:sz w:val="20"/>
                <w:szCs w:val="20"/>
                <w:color w:val="auto"/>
              </w:rPr>
            </w:pPr>
            <w:r>
              <w:rPr>
                <w:rFonts w:ascii="Times New Roman" w:cs="Times New Roman" w:eastAsia="Times New Roman" w:hAnsi="Times New Roman"/>
                <w:sz w:val="18"/>
                <w:szCs w:val="18"/>
                <w:i w:val="1"/>
                <w:iCs w:val="1"/>
                <w:color w:val="auto"/>
              </w:rPr>
              <w:t>Contracts with Customers</w:t>
            </w:r>
          </w:p>
        </w:tc>
        <w:tc>
          <w:tcPr>
            <w:tcW w:w="3820" w:type="dxa"/>
            <w:vAlign w:val="bottom"/>
            <w:tcBorders>
              <w:right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rPr>
              <w:t>contract liability and payment terms and their effect</w:t>
            </w:r>
          </w:p>
        </w:tc>
        <w:tc>
          <w:tcPr>
            <w:tcW w:w="1240" w:type="dxa"/>
            <w:vAlign w:val="bottom"/>
            <w:tcBorders>
              <w:right w:val="single" w:sz="8" w:color="auto"/>
            </w:tcBorders>
          </w:tcPr>
          <w:p>
            <w:pPr>
              <w:spacing w:after="0"/>
              <w:rPr>
                <w:sz w:val="16"/>
                <w:szCs w:val="16"/>
                <w:color w:val="auto"/>
              </w:rPr>
            </w:pPr>
          </w:p>
        </w:tc>
        <w:tc>
          <w:tcPr>
            <w:tcW w:w="3740" w:type="dxa"/>
            <w:vAlign w:val="bottom"/>
          </w:tcPr>
          <w:p>
            <w:pPr>
              <w:spacing w:after="0"/>
              <w:rPr>
                <w:sz w:val="16"/>
                <w:szCs w:val="16"/>
                <w:color w:val="auto"/>
              </w:rPr>
            </w:pPr>
          </w:p>
        </w:tc>
      </w:tr>
      <w:tr>
        <w:trPr>
          <w:trHeight w:val="235"/>
        </w:trPr>
        <w:tc>
          <w:tcPr>
            <w:tcW w:w="238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subsequent revenue recognized by the acquirer.</w:t>
            </w:r>
          </w:p>
        </w:tc>
        <w:tc>
          <w:tcPr>
            <w:tcW w:w="12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3"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2021 Annual Report on Form 10-K, and the consolidated financial statements and notes thereto included elsewhere in the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63"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words such as “expects,” “reaffirms,” “intends,” “anticipates,” “plans,” “believes,” “seeks,” “estimates,” “projects,”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our expectations, expressed or implied.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(including inflation, labor shortages and supply chain challenges, including the cost and availability of raw materials), general market conditions, market acceptance, foreign currency exchange rate fluctuations, the effects on pricing from group purchasing organizations and competition, our ability to integrate purchased businesses and other factors including natural disasters and pandemics (such as the scope, scale and duration of the impact of COVID-19). Other risks and uncertainties include, but are not limited to, the factors described from time to time in our reports filed with the Securities and Exchange Commission (the "SEC").</w:t>
      </w:r>
    </w:p>
    <w:p>
      <w:pPr>
        <w:spacing w:after="0" w:line="137"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63"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65" w:lineRule="exact"/>
        <w:rPr>
          <w:sz w:val="20"/>
          <w:szCs w:val="20"/>
          <w:color w:val="auto"/>
        </w:rPr>
      </w:pPr>
    </w:p>
    <w:p>
      <w:pPr>
        <w:ind w:right="180" w:firstLine="395"/>
        <w:spacing w:after="0" w:line="303" w:lineRule="auto"/>
        <w:rPr>
          <w:sz w:val="20"/>
          <w:szCs w:val="20"/>
          <w:color w:val="auto"/>
        </w:rPr>
      </w:pPr>
      <w:r>
        <w:rPr>
          <w:rFonts w:ascii="Times New Roman" w:cs="Times New Roman" w:eastAsia="Times New Roman" w:hAnsi="Times New Roman"/>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9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31"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investments in research and development activities and selective business development opportunities to provide growth opportunities.</w:t>
      </w:r>
    </w:p>
    <w:p>
      <w:pPr>
        <w:spacing w:after="0" w:line="161"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31"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The COVID-19 global pandemic has impacted our business and may continue to pose future risks with the emergence of new variants. Even with the public health actions that have been taken to reduce the spread of the virus, the market continues to experience disruptions with respect to consumer demand, hospital operating procedures and workflow, trends that may continue.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33"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In the third quarter of fiscal year 2022, a benefit of $4.2 million was recorded as a result of the employee retention credit that the Company filed for under the provisions of the Taxpayer Certainty and Disaster Tax Relief Act of 2020, enacted December 27, 2020 which amended and extended the employee retention credit under section 2301 of the CARES Act.</w:t>
      </w:r>
    </w:p>
    <w:p>
      <w:pPr>
        <w:spacing w:after="0" w:line="127"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revenue, gross margin, operating income, earnings per share and cash flow from operations. A summary of these key financial metrics for the three and nine months ended February 28, 2022 compared to the three and nine months ended February 28, 2021 are as follows: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Three months ended February 28, 2022:</w:t>
      </w:r>
    </w:p>
    <w:p>
      <w:pPr>
        <w:spacing w:after="0" w:line="159" w:lineRule="exact"/>
        <w:rPr>
          <w:sz w:val="20"/>
          <w:szCs w:val="20"/>
          <w:color w:val="auto"/>
        </w:rPr>
      </w:pP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3.9% to $74.0 million.</w:t>
      </w:r>
    </w:p>
    <w:p>
      <w:pPr>
        <w:ind w:left="940" w:hanging="303"/>
        <w:spacing w:after="0" w:line="228"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28.6% while Med Device declined 2.8%.</w:t>
      </w: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190 bps to 52.2%.</w:t>
      </w:r>
    </w:p>
    <w:p>
      <w:pPr>
        <w:spacing w:after="0" w:line="1"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by $1.4 million to $5.0 million.</w:t>
      </w:r>
    </w:p>
    <w:p>
      <w:pPr>
        <w:spacing w:after="0" w:line="3"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increased by $0.04 to a loss of $0.13.</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Nine months ended February 28, 2022:</w:t>
      </w:r>
    </w:p>
    <w:p>
      <w:pPr>
        <w:spacing w:after="0" w:line="161" w:lineRule="exact"/>
        <w:rPr>
          <w:sz w:val="20"/>
          <w:szCs w:val="20"/>
          <w:color w:val="auto"/>
        </w:rPr>
      </w:pPr>
    </w:p>
    <w:p>
      <w:pPr>
        <w:ind w:left="940" w:hanging="303"/>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7.0% to $229.2 million.</w:t>
      </w:r>
    </w:p>
    <w:p>
      <w:pPr>
        <w:spacing w:after="0" w:line="21"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41.8% while Med Device declined 0.8%.</w:t>
      </w:r>
    </w:p>
    <w:p>
      <w:pPr>
        <w:spacing w:after="0" w:line="3"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140 bps to 52.0%.</w:t>
      </w:r>
    </w:p>
    <w:p>
      <w:pPr>
        <w:spacing w:after="0" w:line="3"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by $8.2 million to $20.3 million.</w:t>
      </w:r>
    </w:p>
    <w:p>
      <w:pPr>
        <w:spacing w:after="0" w:line="3"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increased by $0.20 to a loss of $0.52.</w:t>
      </w:r>
    </w:p>
    <w:p>
      <w:pPr>
        <w:spacing w:after="0" w:line="3"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in operations increased by $27.6 million to $15.8 million.</w:t>
      </w:r>
    </w:p>
    <w:p>
      <w:pPr>
        <w:spacing w:after="0" w:line="144" w:lineRule="exact"/>
        <w:rPr>
          <w:sz w:val="20"/>
          <w:szCs w:val="20"/>
          <w:color w:val="auto"/>
        </w:rPr>
      </w:pPr>
    </w:p>
    <w:p>
      <w:pPr>
        <w:ind w:right="400" w:firstLine="395"/>
        <w:spacing w:after="0" w:line="252" w:lineRule="auto"/>
        <w:rPr>
          <w:sz w:val="20"/>
          <w:szCs w:val="20"/>
          <w:color w:val="auto"/>
        </w:rPr>
      </w:pPr>
      <w:r>
        <w:rPr>
          <w:rFonts w:ascii="Times New Roman" w:cs="Times New Roman" w:eastAsia="Times New Roman" w:hAnsi="Times New Roman"/>
          <w:sz w:val="18"/>
          <w:szCs w:val="18"/>
          <w:color w:val="auto"/>
        </w:rPr>
        <w:t>In our Med Tech business, comprised of Auryon, the Thrombectomy platform and NanoKnife, Auryon and the Thrombectomy platform experienced improved performance during the third quarter of fiscal year 2022. Our Med Device business was negatively impacted by the backlog in Vascular Access products and our Oncology products continued to face pressure from reductions in procedure volumes due to challenges resulting from the COVID-19 pandemic, a trend that may continue.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For the three months ended February 28, 2022, the Company reported a net loss of $5.0 million, or a loss of $0.13 per diluted share, on net sales of $74.0 million, compared with a net loss of $3.5 million, or a loss of $0.09 per diluted share, on net sales of $71.2 million during the same quarter of the prior year. For the nine months ended February 28, 2022, the Company reported a net loss of $20.3 million, or a loss of $0.52 per diluted share, on net sales of $229.2 million, compared with a net loss of $12.1 million, or a loss of $0.32 per diluted share, on net sales of $214.2 million during the same period of the prior year.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products and related freight charges, less discounts, rebates and returns.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net sales by Med Tech and Med Device: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120" w:type="dxa"/>
            <w:vAlign w:val="bottom"/>
            <w:gridSpan w:val="3"/>
          </w:tcPr>
          <w:p>
            <w:pPr>
              <w:spacing w:after="0"/>
              <w:rPr>
                <w:rFonts w:ascii="Times New Roman" w:cs="Times New Roman" w:eastAsia="Times New Roman" w:hAnsi="Times New Roman"/>
                <w:sz w:val="14"/>
                <w:szCs w:val="14"/>
                <w:color w:val="0000FF"/>
              </w:rPr>
            </w:pPr>
            <w:hyperlink w:anchor="page2">
              <w:r>
                <w:rPr>
                  <w:rFonts w:ascii="Times New Roman" w:cs="Times New Roman" w:eastAsia="Times New Roman" w:hAnsi="Times New Roman"/>
                  <w:sz w:val="14"/>
                  <w:szCs w:val="14"/>
                  <w:color w:val="0000FF"/>
                </w:rPr>
                <w:t>Table of Contents</w:t>
              </w:r>
            </w:hyperlink>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2"/>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color w:val="auto"/>
              </w:rPr>
              <w:t>Nine Months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Feb 28, 2022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56"/>
              <w:spacing w:after="0"/>
              <w:rPr>
                <w:sz w:val="20"/>
                <w:szCs w:val="20"/>
                <w:color w:val="auto"/>
              </w:rPr>
            </w:pPr>
            <w:r>
              <w:rPr>
                <w:rFonts w:ascii="Times New Roman" w:cs="Times New Roman" w:eastAsia="Times New Roman" w:hAnsi="Times New Roman"/>
                <w:sz w:val="14"/>
                <w:szCs w:val="14"/>
                <w:color w:val="auto"/>
              </w:rPr>
              <w:t>Feb 28, 2021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 Change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120" w:type="dxa"/>
            <w:vAlign w:val="bottom"/>
          </w:tcPr>
          <w:p>
            <w:pPr>
              <w:spacing w:after="0"/>
              <w:rPr>
                <w:sz w:val="15"/>
                <w:szCs w:val="15"/>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Feb 28, 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4"/>
        </w:trPr>
        <w:tc>
          <w:tcPr>
            <w:tcW w:w="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Med Tech</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16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39,581</w:t>
            </w:r>
          </w:p>
        </w:tc>
        <w:tc>
          <w:tcPr>
            <w:tcW w:w="150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w w:val="98"/>
              </w:rPr>
              <w:t>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Med Device</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55,936</w:t>
            </w:r>
          </w:p>
        </w:tc>
        <w:tc>
          <w:tcPr>
            <w:tcW w:w="1620" w:type="dxa"/>
            <w:vAlign w:val="bottom"/>
            <w:gridSpan w:val="4"/>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174,587</w:t>
            </w:r>
          </w:p>
        </w:tc>
        <w:tc>
          <w:tcPr>
            <w:tcW w:w="1500" w:type="dxa"/>
            <w:vAlign w:val="bottom"/>
            <w:gridSpan w:val="3"/>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6"/>
              </w:rPr>
              <w:t>(0.8)%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16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214,168</w:t>
            </w:r>
          </w:p>
        </w:tc>
        <w:tc>
          <w:tcPr>
            <w:tcW w:w="150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color w:val="auto"/>
                <w:w w:val="99"/>
              </w:rPr>
              <w:t>Nine Months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 28, 2021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120" w:type="dxa"/>
            <w:vAlign w:val="bottom"/>
          </w:tcPr>
          <w:p>
            <w:pPr>
              <w:spacing w:after="0"/>
              <w:rPr>
                <w:sz w:val="15"/>
                <w:szCs w:val="15"/>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Feb 28, 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00" w:type="dxa"/>
            <w:vAlign w:val="bottom"/>
            <w:tcBorders>
              <w:top w:val="single" w:sz="8" w:color="CCEEFF"/>
            </w:tcBorders>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Net Sales by Global Business</w:t>
            </w: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gridSpan w:val="2"/>
          </w:tcPr>
          <w:p>
            <w:pPr>
              <w:ind w:left="320"/>
              <w:spacing w:after="0" w:line="171" w:lineRule="exact"/>
              <w:rPr>
                <w:sz w:val="20"/>
                <w:szCs w:val="20"/>
                <w:color w:val="auto"/>
              </w:rPr>
            </w:pPr>
            <w:r>
              <w:rPr>
                <w:rFonts w:ascii="Times New Roman" w:cs="Times New Roman" w:eastAsia="Times New Roman" w:hAnsi="Times New Roman"/>
                <w:sz w:val="18"/>
                <w:szCs w:val="18"/>
                <w:color w:val="auto"/>
              </w:rPr>
              <w:t>Endovascular</w:t>
            </w:r>
          </w:p>
        </w:tc>
        <w:tc>
          <w:tcPr>
            <w:tcW w:w="24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33,251</w:t>
            </w:r>
          </w:p>
        </w:tc>
        <w:tc>
          <w:tcPr>
            <w:tcW w:w="162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115,799</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97,008</w:t>
            </w:r>
          </w:p>
        </w:tc>
        <w:tc>
          <w:tcPr>
            <w:tcW w:w="1500" w:type="dxa"/>
            <w:vAlign w:val="bottom"/>
            <w:gridSpan w:val="3"/>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4"/>
              </w:rPr>
              <w:t>19.4%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Therapies</w:t>
            </w:r>
          </w:p>
        </w:tc>
        <w:tc>
          <w:tcPr>
            <w:tcW w:w="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2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Vascular Access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24,813</w:t>
            </w:r>
          </w:p>
        </w:tc>
        <w:tc>
          <w:tcPr>
            <w:tcW w:w="1620" w:type="dxa"/>
            <w:vAlign w:val="bottom"/>
            <w:gridSpan w:val="4"/>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76,848</w:t>
            </w:r>
          </w:p>
        </w:tc>
        <w:tc>
          <w:tcPr>
            <w:tcW w:w="1500" w:type="dxa"/>
            <w:vAlign w:val="bottom"/>
            <w:gridSpan w:val="3"/>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Oncology</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CCEEFF"/>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40,312</w:t>
            </w:r>
          </w:p>
        </w:tc>
        <w:tc>
          <w:tcPr>
            <w:tcW w:w="1500" w:type="dxa"/>
            <w:vAlign w:val="bottom"/>
            <w:tcBorders>
              <w:bottom w:val="single" w:sz="8" w:color="CCEEFF"/>
            </w:tcBorders>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6"/>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1620" w:type="dxa"/>
            <w:vAlign w:val="bottom"/>
            <w:gridSpan w:val="4"/>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214,168</w:t>
            </w:r>
          </w:p>
        </w:tc>
        <w:tc>
          <w:tcPr>
            <w:tcW w:w="1500" w:type="dxa"/>
            <w:vAlign w:val="bottom"/>
            <w:gridSpan w:val="3"/>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58,654</w:t>
            </w:r>
          </w:p>
        </w:tc>
        <w:tc>
          <w:tcPr>
            <w:tcW w:w="16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173,446</w:t>
            </w:r>
          </w:p>
        </w:tc>
        <w:tc>
          <w:tcPr>
            <w:tcW w:w="15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4"/>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40,722</w:t>
            </w:r>
          </w:p>
        </w:tc>
        <w:tc>
          <w:tcPr>
            <w:tcW w:w="1500" w:type="dxa"/>
            <w:vAlign w:val="bottom"/>
            <w:gridSpan w:val="3"/>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16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214,168</w:t>
            </w:r>
          </w:p>
        </w:tc>
        <w:tc>
          <w:tcPr>
            <w:tcW w:w="15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5"/>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For the three months ended February 28, 2022, net sales increased $2.8 million to $74.0 million compared to the same period in the prior year. For the nine months ended February 28, 2022, net sales increased $15.1 million to $229.2 million compared to the same period in the prior year. At February 28, 2022, the Company had a backlog of $9.6 million.</w:t>
      </w:r>
    </w:p>
    <w:p>
      <w:pPr>
        <w:spacing w:after="0" w:line="127"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The Med Tech business net sales increased $4.4 million and $16.5 million for the three and nine months ended February 28, 2022 compared to the same periods in the prior year, respectively. The change in sales for both periods was primarily driven by:</w:t>
      </w:r>
    </w:p>
    <w:p>
      <w:pPr>
        <w:spacing w:after="0" w:line="117" w:lineRule="exact"/>
        <w:rPr>
          <w:sz w:val="20"/>
          <w:szCs w:val="20"/>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Auryon sales of $3.9 million and $12.9 million compared to the same periods in the prior year, respectively;</w:t>
      </w:r>
    </w:p>
    <w:p>
      <w:pPr>
        <w:spacing w:after="0" w:line="21" w:lineRule="exact"/>
        <w:rPr>
          <w:rFonts w:ascii="Times New Roman" w:cs="Times New Roman" w:eastAsia="Times New Roman" w:hAnsi="Times New Roman"/>
          <w:sz w:val="18"/>
          <w:szCs w:val="18"/>
          <w:color w:val="auto"/>
        </w:rPr>
      </w:pPr>
    </w:p>
    <w:p>
      <w:pPr>
        <w:ind w:left="640" w:hanging="319"/>
        <w:spacing w:after="0" w:line="244"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thrombectomy platform of $0.6 million and $2.7 million compared to the same periods in the prior year, respectively, which was driven by growth in the mechanical thrombectomy platform partially offset by decreased sales of thrombolytics. Increased sales in the mechanical thrombectomy platform of $0.9 million and $3.3 million, compared to the same periods in the prior year, respectively, was driven by AngioVac and the launch of the AlphaVac product in the second quarter of fiscal year 2022. Even though sales increased, AngioVac case volume declined in the third quarter of fiscal year 2022 due to continued COVID-19 challenges; and</w:t>
      </w:r>
    </w:p>
    <w:p>
      <w:pPr>
        <w:ind w:left="640" w:hanging="319"/>
        <w:spacing w:after="0" w:line="274" w:lineRule="auto"/>
        <w:tabs>
          <w:tab w:leader="none" w:pos="63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NanoKnife sales of $0.2 million for the three months ended February 28, 2022 compared to the same period in the prior year and increased NanoKnife sales of $0.8 million for the nine months ended February 28, 2022 compared to the same period in the prior year. The decrease for the three months ended February 28, 2022 was driven by decreased capital sales internationally, partially offset by an increase in disposable sales in the U.S.</w:t>
      </w:r>
    </w:p>
    <w:p>
      <w:pPr>
        <w:spacing w:after="0" w:line="1" w:lineRule="exact"/>
        <w:rPr>
          <w:rFonts w:ascii="Times New Roman" w:cs="Times New Roman" w:eastAsia="Times New Roman" w:hAnsi="Times New Roman"/>
          <w:sz w:val="16"/>
          <w:szCs w:val="16"/>
          <w:color w:val="auto"/>
        </w:rPr>
      </w:pPr>
    </w:p>
    <w:p>
      <w:pPr>
        <w:ind w:left="640" w:right="48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the nine months ended February 28, 2022, NanoKnife disposable sales increased $1.2 million, driven by sales in the U.S., partially offset by decreased capital sales.</w:t>
      </w:r>
    </w:p>
    <w:p>
      <w:pPr>
        <w:spacing w:after="0" w:line="133"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Med Device business net sales decreased $1.6 million and $1.5 million for the three and nine months ended February 28, 2022 compared to the same periods in the prior year, respectively. Excluding the large UK order in the first quarter of the prior year, net sales increased $3.7 million for the nine months ended February 28, 2022. The change in sales for both periods was primarily driven by:</w:t>
      </w:r>
    </w:p>
    <w:p>
      <w:pPr>
        <w:spacing w:after="0" w:line="127" w:lineRule="exact"/>
        <w:rPr>
          <w:sz w:val="20"/>
          <w:szCs w:val="20"/>
          <w:color w:val="auto"/>
        </w:rPr>
      </w:pPr>
    </w:p>
    <w:p>
      <w:pPr>
        <w:ind w:left="640" w:right="300" w:hanging="319"/>
        <w:spacing w:after="0" w:line="254"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backlog of $9.6 million at February 28, 2022, which primarily impacted sales of Core, Venous and Vascular Access products, for the three and nine month periods;</w:t>
      </w:r>
    </w:p>
    <w:p>
      <w:pPr>
        <w:ind w:left="640" w:right="180" w:hanging="319"/>
        <w:spacing w:after="0" w:line="245"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in Vascular Access (specifically Midlines, Ports and Dialysis), Radio Frequency Ablation and Microwave products for the three months ended February 28, 2022 compared to the same period in the prior year of $1.4 million, $0.3 million and $0.2 million, respectively. This was partially offset by increased sales of Core products of $0.3 million for the three months ended February 28, 2022 compared to the same period in the prior year;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left="640" w:hanging="319"/>
        <w:spacing w:after="0" w:line="248"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case volume for the nine months ended February 28, 2022 compared to the same period in the prior year, which resulted in increased sales of Core (despite the impact of the backlog) and BioSentry products of $3.1 million and $0.4 million, respectively. Port sales also increased $1.5 million, driven primarily by sales in the U.S. These increases for the nine months ended February 28, 2022 compared to the same period in the prior year were partially offset by decreased Midline, PICCs, Dialysis, Radio Frequency Ablation and Microwave sales of $2.3 million, $1.6 million, $1.0 million, $0.6 million, $0.8 million, respectively; and</w:t>
      </w:r>
    </w:p>
    <w:p>
      <w:pPr>
        <w:spacing w:after="0" w:line="1" w:lineRule="exact"/>
        <w:rPr>
          <w:rFonts w:ascii="Times New Roman" w:cs="Times New Roman" w:eastAsia="Times New Roman" w:hAnsi="Times New Roman"/>
          <w:sz w:val="18"/>
          <w:szCs w:val="18"/>
          <w:color w:val="auto"/>
        </w:rPr>
      </w:pPr>
    </w:p>
    <w:p>
      <w:pPr>
        <w:ind w:left="640" w:right="40" w:hanging="319"/>
        <w:spacing w:after="0" w:line="248"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Midlines, PICCs and Ports increased $2.8 million, excluding the prior year order in the UK, for the nine months ended February 28, 2022 compared to the prior year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Operating Expenses, and Other Income (expense)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Nine Months Ended</w:t>
            </w:r>
          </w:p>
        </w:tc>
        <w:tc>
          <w:tcPr>
            <w:tcW w:w="1440" w:type="dxa"/>
            <w:vAlign w:val="bottom"/>
            <w:tcBorders>
              <w:bottom w:val="single" w:sz="8" w:color="auto"/>
            </w:tcBorders>
          </w:tcPr>
          <w:p>
            <w:pPr>
              <w:spacing w:after="0"/>
              <w:rPr>
                <w:sz w:val="16"/>
                <w:szCs w:val="16"/>
                <w:color w:val="auto"/>
              </w:rPr>
            </w:pPr>
          </w:p>
        </w:tc>
      </w:tr>
      <w:tr>
        <w:trPr>
          <w:trHeight w:val="184"/>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12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Feb 28, 2021</w:t>
            </w: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14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Feb 28, 2021</w:t>
            </w:r>
          </w:p>
        </w:tc>
        <w:tc>
          <w:tcPr>
            <w:tcW w:w="1440" w:type="dxa"/>
            <w:vAlign w:val="bottom"/>
          </w:tcPr>
          <w:p>
            <w:pPr>
              <w:jc w:val="right"/>
              <w:ind w:right="336"/>
              <w:spacing w:after="0"/>
              <w:rPr>
                <w:sz w:val="20"/>
                <w:szCs w:val="20"/>
                <w:color w:val="auto"/>
              </w:rPr>
            </w:pPr>
            <w:r>
              <w:rPr>
                <w:rFonts w:ascii="Times New Roman" w:cs="Times New Roman" w:eastAsia="Times New Roman" w:hAnsi="Times New Roman"/>
                <w:sz w:val="14"/>
                <w:szCs w:val="14"/>
                <w:color w:val="auto"/>
              </w:rPr>
              <w:t>% Change</w:t>
            </w:r>
          </w:p>
        </w:tc>
      </w:tr>
      <w:tr>
        <w:trPr>
          <w:trHeight w:val="217"/>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38,583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38,530</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119,277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114,468</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8,565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22,873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27,286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20,416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19,607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68,468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57,486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2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8,727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9,011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27,348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26,787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8"/>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27"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2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Gross profit increased by $0.1 million for the three months ended February 28, 2022 compared to the same period in the prior year. The change was primarily driven by:</w:t>
      </w:r>
    </w:p>
    <w:p>
      <w:pPr>
        <w:spacing w:after="0" w:line="117" w:lineRule="exact"/>
        <w:rPr>
          <w:sz w:val="20"/>
          <w:szCs w:val="20"/>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which positively impacted gross profit by $1.5 million;</w:t>
      </w:r>
    </w:p>
    <w:p>
      <w:pPr>
        <w:spacing w:after="0" w:line="10" w:lineRule="exact"/>
        <w:rPr>
          <w:rFonts w:ascii="Times New Roman" w:cs="Times New Roman" w:eastAsia="Times New Roman" w:hAnsi="Times New Roman"/>
          <w:sz w:val="18"/>
          <w:szCs w:val="18"/>
          <w:color w:val="auto"/>
        </w:rPr>
      </w:pPr>
    </w:p>
    <w:p>
      <w:pPr>
        <w:ind w:left="640" w:hanging="319"/>
        <w:spacing w:after="0" w:line="213"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inflationary costs on raw materials and production volume which negatively impacted gross profit by $1.7 million; and</w:t>
      </w:r>
    </w:p>
    <w:p>
      <w:pPr>
        <w:ind w:left="640" w:right="120" w:hanging="319"/>
        <w:spacing w:after="0" w:line="227"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benefit of $0.8 million that was recorded as a result of the employee retention credit that the Company filed for under the provisions of the CARES Act in the third quarter of the current year compared to a benefit of $0.7 million in the prior year period.</w:t>
      </w:r>
    </w:p>
    <w:p>
      <w:pPr>
        <w:spacing w:after="0" w:line="115"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Gross profit increased by $4.8 million for the nine months ended February 28, 2022 compared to the same period in the prior year. The change was primarily driven by:</w:t>
      </w:r>
    </w:p>
    <w:p>
      <w:pPr>
        <w:spacing w:after="0" w:line="127" w:lineRule="exact"/>
        <w:rPr>
          <w:sz w:val="20"/>
          <w:szCs w:val="20"/>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which positively impacted gross profit by $9.2 million;</w:t>
      </w:r>
    </w:p>
    <w:p>
      <w:pPr>
        <w:spacing w:after="0" w:line="21" w:lineRule="exact"/>
        <w:rPr>
          <w:rFonts w:ascii="Times New Roman" w:cs="Times New Roman" w:eastAsia="Times New Roman" w:hAnsi="Times New Roman"/>
          <w:sz w:val="18"/>
          <w:szCs w:val="18"/>
          <w:color w:val="auto"/>
        </w:rPr>
      </w:pPr>
    </w:p>
    <w:p>
      <w:pPr>
        <w:ind w:left="640" w:right="280" w:hanging="319"/>
        <w:spacing w:after="0" w:line="237"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mix which positively impacted gross profit by $0.9 million as a result of increased sales of Auryon and AngioVac products. This positive impact was partially offset by sales of lower margin Vascular Access products;</w:t>
      </w:r>
    </w:p>
    <w:p>
      <w:pPr>
        <w:spacing w:after="0" w:line="1" w:lineRule="exact"/>
        <w:rPr>
          <w:rFonts w:ascii="Times New Roman" w:cs="Times New Roman" w:eastAsia="Times New Roman" w:hAnsi="Times New Roman"/>
          <w:sz w:val="18"/>
          <w:szCs w:val="18"/>
          <w:color w:val="auto"/>
        </w:rPr>
      </w:pPr>
    </w:p>
    <w:p>
      <w:pPr>
        <w:ind w:left="640" w:right="260" w:hanging="319"/>
        <w:spacing w:after="0" w:line="213"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 costs related to Auryon and AlphaVac of $2.1 million, including depreciation on Auryon placement units of $0.8 million, which negatively impacted gross profit;</w:t>
      </w:r>
    </w:p>
    <w:p>
      <w:pPr>
        <w:spacing w:after="0" w:line="1" w:lineRule="exact"/>
        <w:rPr>
          <w:rFonts w:ascii="Times New Roman" w:cs="Times New Roman" w:eastAsia="Times New Roman" w:hAnsi="Times New Roman"/>
          <w:sz w:val="18"/>
          <w:szCs w:val="18"/>
          <w:color w:val="auto"/>
        </w:rPr>
      </w:pPr>
    </w:p>
    <w:p>
      <w:pPr>
        <w:ind w:left="640" w:hanging="319"/>
        <w:spacing w:after="0" w:line="213"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freight and inflationary costs on raw materials which negatively impacted gross profit by $2.7 million year over year; and</w:t>
      </w:r>
    </w:p>
    <w:p>
      <w:pPr>
        <w:ind w:left="640" w:right="120" w:hanging="319"/>
        <w:spacing w:after="0" w:line="227"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benefit of $0.8 million that was recorded as a result of the employee retention credit that the Company filed for under the provisions of the CARES Act in the third quarter of the current year compared to a benefit of $0.7 million in the prior year period.</w:t>
      </w:r>
    </w:p>
    <w:p>
      <w:pPr>
        <w:spacing w:after="0" w:line="128"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Research and development (“R&amp;D”) expense includes internal and external costs to develop new products, enhance</w:t>
      </w:r>
      <w:r>
        <w:rPr>
          <w:rFonts w:ascii="Times New Roman" w:cs="Times New Roman" w:eastAsia="Times New Roman" w:hAnsi="Times New Roman"/>
          <w:sz w:val="18"/>
          <w:szCs w:val="18"/>
          <w:color w:val="auto"/>
        </w:rPr>
        <w:t xml:space="preserve"> existing products, validate new and enhanced products, and manage clinical, regulatory and medical affairs.</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R&amp;D expense decreased $1.3 million and $4.4 million for the three and nine months ended February 28, 2022 compared to the same period in the prior year, respectively. The change for both periods was primarily driven by: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left="640" w:right="160" w:hanging="319"/>
        <w:spacing w:after="0" w:line="254"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projects, which reduced R&amp;D project expense by $0.3 million and $2.4 million compared to the same periods in the prior year, respectively;</w:t>
      </w:r>
    </w:p>
    <w:p>
      <w:pPr>
        <w:ind w:left="640" w:right="240" w:hanging="319"/>
        <w:spacing w:after="0" w:line="244"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R&amp;D positions, which resulted in decreased compensation and benefits expense of $0.9 and $2.0 million compared to the same periods in the prior year, respectively; and</w:t>
      </w:r>
    </w:p>
    <w:p>
      <w:pPr>
        <w:ind w:left="640" w:right="100" w:hanging="319"/>
        <w:spacing w:after="0" w:line="24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benefit of $0.5 million that was recorded as a result of the employee retention credit that the Company filed for under the provisions of the CARES Act in the third quarter of the current year compared to $0.3 million in the prior year period.</w:t>
      </w:r>
    </w:p>
    <w:p>
      <w:pPr>
        <w:spacing w:after="0" w:line="212"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S&amp;M expense increased $0.8 million and $11.0 million for the three and nine months ended February 28, 2022 compared to the same period in the prior year, respectively. The change for both periods was primarily driven by:</w:t>
      </w:r>
    </w:p>
    <w:p>
      <w:pPr>
        <w:spacing w:after="0" w:line="117" w:lineRule="exact"/>
        <w:rPr>
          <w:sz w:val="20"/>
          <w:szCs w:val="20"/>
          <w:color w:val="auto"/>
        </w:rPr>
      </w:pPr>
    </w:p>
    <w:p>
      <w:pPr>
        <w:ind w:left="640" w:right="520" w:hanging="319"/>
        <w:spacing w:after="0" w:line="254"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headcount from the build-out of the Auryon sales and marketing teams, which increased compensation and benefits expense by $2.2 million and $8.9 million compared to the same periods in the prior year, respectively;</w:t>
      </w:r>
    </w:p>
    <w:p>
      <w:pPr>
        <w:ind w:left="640" w:right="160" w:hanging="319"/>
        <w:spacing w:after="0" w:line="244"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meeting and tradeshow expenses, which increased $0.8 million and $4.2 million compared to the same periods in the prior year, respectively, as some COVID-19 restrictions were lifted; and</w:t>
      </w:r>
    </w:p>
    <w:p>
      <w:pPr>
        <w:ind w:left="640" w:right="100" w:hanging="319"/>
        <w:spacing w:after="0" w:line="24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benefit of $2.8 million that was recorded as a result of the employee retention credit that the Company filed for under the provisions of the CARES Act in the third quarter of the current year compared to $0.9 million in the prior year period.</w:t>
      </w:r>
    </w:p>
    <w:p>
      <w:pPr>
        <w:spacing w:after="0" w:line="13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G&amp;A expense decreased $0.3 million for the three months ended February 28, 2022 and increased $0.6 million for the nine months ended February 28, 2022 compared to the same periods in the prior year. The change for both periods was primarily driven by:</w:t>
      </w:r>
    </w:p>
    <w:p>
      <w:pPr>
        <w:spacing w:after="0" w:line="117" w:lineRule="exact"/>
        <w:rPr>
          <w:sz w:val="20"/>
          <w:szCs w:val="20"/>
          <w:color w:val="auto"/>
        </w:rPr>
      </w:pPr>
    </w:p>
    <w:p>
      <w:pPr>
        <w:ind w:left="640" w:right="60" w:hanging="319"/>
        <w:spacing w:after="0" w:line="250"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decreased $1.1 million for the three months ended February 28, 2022 compared to the same period in the prior year while compensation and benefits expense for the nine months ended February 28, 2022 increased $0.2 million compared to the same period in the prior year;</w:t>
      </w:r>
    </w:p>
    <w:p>
      <w:pPr>
        <w:spacing w:after="0" w:line="2" w:lineRule="exact"/>
        <w:rPr>
          <w:rFonts w:ascii="Times New Roman" w:cs="Times New Roman" w:eastAsia="Times New Roman" w:hAnsi="Times New Roman"/>
          <w:sz w:val="18"/>
          <w:szCs w:val="18"/>
          <w:color w:val="auto"/>
        </w:rPr>
      </w:pPr>
    </w:p>
    <w:p>
      <w:pPr>
        <w:ind w:left="640" w:right="140" w:hanging="319"/>
        <w:spacing w:after="0" w:line="244"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outside consultant spend, which increased $0.7 million for the three months ended February 28, 2022 compared to the same period in the prior year; and</w:t>
      </w:r>
    </w:p>
    <w:p>
      <w:pPr>
        <w:ind w:left="640" w:hanging="319"/>
        <w:spacing w:after="0" w:line="24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which decreased $1.2 million while other outside consultant spend increased $1.6 million for the nine months ended February 28, 2022 compared to the same period in the prior year.</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1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Nine Months Ended</w:t>
            </w:r>
          </w:p>
        </w:tc>
        <w:tc>
          <w:tcPr>
            <w:tcW w:w="1320" w:type="dxa"/>
            <w:vAlign w:val="bottom"/>
            <w:tcBorders>
              <w:bottom w:val="single" w:sz="8" w:color="auto"/>
            </w:tcBorders>
          </w:tcPr>
          <w:p>
            <w:pPr>
              <w:spacing w:after="0"/>
              <w:rPr>
                <w:sz w:val="16"/>
                <w:szCs w:val="16"/>
                <w:color w:val="auto"/>
              </w:rPr>
            </w:pPr>
          </w:p>
        </w:tc>
      </w:tr>
      <w:tr>
        <w:trPr>
          <w:trHeight w:val="183"/>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Feb 28, 2022</w:t>
            </w:r>
          </w:p>
        </w:tc>
        <w:tc>
          <w:tcPr>
            <w:tcW w:w="1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Feb 28, 2021</w:t>
            </w:r>
          </w:p>
        </w:tc>
        <w:tc>
          <w:tcPr>
            <w:tcW w:w="1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5"/>
                <w:szCs w:val="15"/>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Feb 28, 2022</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 28, 2021</w:t>
            </w:r>
          </w:p>
        </w:tc>
        <w:tc>
          <w:tcPr>
            <w:tcW w:w="1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10730" cy="150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0730" cy="15049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21" w:lineRule="exact"/>
        <w:rPr>
          <w:sz w:val="20"/>
          <w:szCs w:val="20"/>
          <w:color w:val="auto"/>
        </w:rPr>
      </w:pPr>
    </w:p>
    <w:p>
      <w:pPr>
        <w:ind w:left="20" w:right="360"/>
        <w:spacing w:after="0" w:line="257" w:lineRule="auto"/>
        <w:rPr>
          <w:sz w:val="20"/>
          <w:szCs w:val="20"/>
          <w:color w:val="auto"/>
        </w:rPr>
      </w:pPr>
      <w:r>
        <w:rPr>
          <w:rFonts w:ascii="Times New Roman" w:cs="Times New Roman" w:eastAsia="Times New Roman" w:hAnsi="Times New Roman"/>
          <w:sz w:val="16"/>
          <w:szCs w:val="16"/>
          <w:color w:val="auto"/>
        </w:rPr>
        <w:t>Change in fair value of contingent consideration</w:t>
      </w:r>
    </w:p>
    <w:p>
      <w:pPr>
        <w:spacing w:after="0" w:line="1" w:lineRule="exact"/>
        <w:rPr>
          <w:sz w:val="20"/>
          <w:szCs w:val="20"/>
          <w:color w:val="auto"/>
        </w:rPr>
      </w:pPr>
    </w:p>
    <w:p>
      <w:pPr>
        <w:ind w:left="20"/>
        <w:spacing w:after="0" w:line="228" w:lineRule="auto"/>
        <w:rPr>
          <w:sz w:val="20"/>
          <w:szCs w:val="20"/>
          <w:color w:val="auto"/>
        </w:rPr>
      </w:pPr>
      <w:r>
        <w:rPr>
          <w:rFonts w:ascii="Times New Roman" w:cs="Times New Roman" w:eastAsia="Times New Roman" w:hAnsi="Times New Roman"/>
          <w:sz w:val="18"/>
          <w:szCs w:val="18"/>
          <w:color w:val="auto"/>
        </w:rPr>
        <w:t>Acquisition, restructuring and other items, net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3"/>
              </w:rPr>
              <w:t>4,895</w:t>
            </w:r>
          </w:p>
        </w:tc>
        <w:tc>
          <w:tcPr>
            <w:tcW w:w="5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40" w:type="dxa"/>
            <w:vAlign w:val="bottom"/>
          </w:tcPr>
          <w:p>
            <w:pPr>
              <w:spacing w:after="0"/>
              <w:rPr>
                <w:sz w:val="19"/>
                <w:szCs w:val="19"/>
                <w:color w:val="auto"/>
              </w:rPr>
            </w:pPr>
          </w:p>
        </w:tc>
        <w:tc>
          <w:tcPr>
            <w:tcW w:w="5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19"/>
                <w:szCs w:val="19"/>
                <w:color w:val="auto"/>
              </w:rPr>
            </w:pPr>
          </w:p>
        </w:tc>
        <w:tc>
          <w:tcPr>
            <w:tcW w:w="4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92"/>
        </w:trPr>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201</w:t>
            </w: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24"/>
                <w:szCs w:val="24"/>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4"/>
                <w:szCs w:val="24"/>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395"/>
        </w:trPr>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3"/>
              </w:rPr>
              <w:t>2,359</w:t>
            </w: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24"/>
                <w:szCs w:val="24"/>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24"/>
                <w:szCs w:val="24"/>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316"/>
        </w:trPr>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(462)</w:t>
            </w: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24"/>
                <w:szCs w:val="24"/>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4"/>
                <w:szCs w:val="24"/>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-391795</wp:posOffset>
            </wp:positionV>
            <wp:extent cx="7110730" cy="250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0730" cy="2508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120" w:space="80"/>
            <w:col w:w="200" w:space="720"/>
            <w:col w:w="8100"/>
          </w:cols>
          <w:pgMar w:left="320" w:top="118" w:right="35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161" w:lineRule="exact"/>
        <w:rPr>
          <w:sz w:val="20"/>
          <w:szCs w:val="20"/>
          <w:color w:val="auto"/>
        </w:rPr>
      </w:pPr>
    </w:p>
    <w:p>
      <w:pPr>
        <w:ind w:left="640" w:right="60" w:hanging="319"/>
        <w:spacing w:after="0" w:line="256"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increased $0.6 million and $0.8 million, respectively, for the three and nine months ended February 28, 2022 compared to the prior year periods. The increase is due to amortization relating to the Camaro intangible asset addition of $3.9 million in the first quarter of fiscal year 2022, partially offset by assets that became fully amortized in fiscal year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17" w:lineRule="exact"/>
        <w:rPr>
          <w:sz w:val="20"/>
          <w:szCs w:val="20"/>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for the three and nine months ended February 28, 2022 is related to the Eximo contingent consideration.</w:t>
      </w:r>
    </w:p>
    <w:p>
      <w:pPr>
        <w:spacing w:after="0" w:line="16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2050415</wp:posOffset>
            </wp:positionH>
            <wp:positionV relativeFrom="paragraph">
              <wp:posOffset>-281305</wp:posOffset>
            </wp:positionV>
            <wp:extent cx="5063490" cy="125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63490" cy="125095"/>
                    </a:xfrm>
                    <a:prstGeom prst="rect">
                      <a:avLst/>
                    </a:prstGeom>
                    <a:noFill/>
                  </pic:spPr>
                </pic:pic>
              </a:graphicData>
            </a:graphic>
          </wp:anchor>
        </w:drawing>
      </w:r>
    </w:p>
    <w:p>
      <w:pPr>
        <w:spacing w:after="0" w:line="9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Acquisition, restructuring and other items, net, increased by $1.7 million and $4.0 million for the three and nine months ended February 28, 2022, respectively, compared to the same periods in the prior year. The change for both periods was primarily driven by:</w:t>
      </w:r>
    </w:p>
    <w:p>
      <w:pPr>
        <w:spacing w:after="0" w:line="117" w:lineRule="exact"/>
        <w:rPr>
          <w:sz w:val="20"/>
          <w:szCs w:val="20"/>
          <w:color w:val="auto"/>
        </w:rPr>
      </w:pPr>
    </w:p>
    <w:p>
      <w:pPr>
        <w:ind w:left="640" w:right="340" w:hanging="319"/>
        <w:spacing w:after="0" w:line="254"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increased $0.7 million and $2.9 million compared to the same periods in the prior year, respectively;</w:t>
      </w:r>
    </w:p>
    <w:p>
      <w:pPr>
        <w:ind w:left="640" w:right="220" w:hanging="319"/>
        <w:spacing w:after="0" w:line="244"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relocation expense related to the move of certain manufacturing lines to Costa Rica of $0.4 million and $0.5 million compared to the same periods in the prior year, respectively;</w:t>
      </w:r>
    </w:p>
    <w:p>
      <w:pPr>
        <w:ind w:left="640" w:right="380" w:hanging="319"/>
        <w:spacing w:after="0" w:line="244"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(mainly severance associated with organizational changes), which increased $0.3 million for the three months ended February 28, 2022 compared to the same period in the prior year;</w:t>
      </w:r>
    </w:p>
    <w:p>
      <w:pPr>
        <w:ind w:left="640" w:right="900" w:hanging="319"/>
        <w:spacing w:after="0" w:line="244"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facilities relocation expense of $0.4 million for the nine months ended February 28, 2021 as a result of the sale of the Fluid Management business; and</w:t>
      </w:r>
    </w:p>
    <w:p>
      <w:pPr>
        <w:ind w:left="640" w:right="480" w:hanging="319"/>
        <w:spacing w:after="0" w:line="24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 fees of $0.3 million and $1.0 million from Medline Industries were received for the three and nine months ended February 28, 2021. These activities were completed during fiscal year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r>
        <w:rPr>
          <w:rFonts w:ascii="Times New Roman" w:cs="Times New Roman" w:eastAsia="Times New Roman" w:hAnsi="Times New Roman"/>
          <w:sz w:val="18"/>
          <w:szCs w:val="18"/>
          <w:color w:val="auto"/>
        </w:rPr>
        <w:t xml:space="preserve"> - Other expenses include interest expense, foreign currency impacts, bank fees, and amortization of deferred financing costs.</w:t>
      </w:r>
    </w:p>
    <w:p>
      <w:pPr>
        <w:spacing w:after="0" w:line="161" w:lineRule="exact"/>
        <w:rPr>
          <w:sz w:val="20"/>
          <w:szCs w:val="20"/>
          <w:color w:val="auto"/>
        </w:rPr>
      </w:pPr>
    </w:p>
    <w:p>
      <w:pPr>
        <w:ind w:left="640" w:right="160" w:hanging="319"/>
        <w:spacing w:after="0" w:line="268"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other expense of $0.1 million and $0.7 million for the three and nine months ended February 28, 2022 compared to the same period in the prior year, respectively, is primarily due to unrealized foreign currency fluctuations of $0.1 million and $0.9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8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84"/>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Feb 28, 2022</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Feb 28, 2021</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Feb 28, 2022</w:t>
            </w: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Feb 28, 2021</w:t>
            </w:r>
          </w:p>
        </w:tc>
      </w:tr>
      <w:tr>
        <w:trPr>
          <w:trHeight w:val="217"/>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24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13.9 %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14.1 %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12.7 %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14.4 %</w:t>
            </w:r>
          </w:p>
        </w:tc>
      </w:tr>
    </w:tbl>
    <w:p>
      <w:pPr>
        <w:spacing w:after="0" w:line="227"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three-month periods ended February 28, 2022 and 2021 was 13.9% and 14.1%, respectively. Our effective tax rate including discrete items for the nine-month periods ended February 28, 2022 and 2021 was 12.7% and 14.4%, respectively. In fiscal year 2022,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5" w:lineRule="exact"/>
        <w:rPr>
          <w:sz w:val="20"/>
          <w:szCs w:val="20"/>
          <w:color w:val="auto"/>
        </w:rPr>
      </w:pPr>
    </w:p>
    <w:p>
      <w:pPr>
        <w:jc w:val="both"/>
        <w:ind w:right="140" w:firstLine="395"/>
        <w:spacing w:after="0" w:line="256"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in light of the significant uncertainty created by the COVID-19 global pandemic. We believe that our current cash on hand and availability under our Revolving Facility provide sufficient liquidity to meet our anticipated needs for capital for at least the next 12 months. We are closely monitoring receivables and payables.</w:t>
      </w:r>
    </w:p>
    <w:p>
      <w:pPr>
        <w:spacing w:after="0" w:line="127"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totaled $23.9 million as of February 28, 2022, compared with $48.2 million as of May 31, 2021. As of February 28, 2022 and May 31, 2021, total debt outstanding related to the Revolving Facility was $25.0 million and $20.0 million, respectively. The fair value of contingent consideration liability as of February 28, 2022 and May 31, 2021, was $16.7 million and $15.7 million,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summarizes our cash flows: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1080" w:type="dxa"/>
            <w:vAlign w:val="bottom"/>
            <w:tcBorders>
              <w:bottom w:val="single" w:sz="8" w:color="auto"/>
            </w:tcBorders>
          </w:tcPr>
          <w:p>
            <w:pPr>
              <w:spacing w:after="0"/>
              <w:rPr>
                <w:sz w:val="16"/>
                <w:szCs w:val="16"/>
                <w:color w:val="auto"/>
              </w:rPr>
            </w:pPr>
          </w:p>
        </w:tc>
      </w:tr>
      <w:tr>
        <w:trPr>
          <w:trHeight w:val="184"/>
        </w:trPr>
        <w:tc>
          <w:tcPr>
            <w:tcW w:w="74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 thousands)</w:t>
            </w:r>
          </w:p>
        </w:tc>
        <w:tc>
          <w:tcPr>
            <w:tcW w:w="66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2022</w:t>
            </w:r>
          </w:p>
        </w:tc>
        <w:tc>
          <w:tcPr>
            <w:tcW w:w="740" w:type="dxa"/>
            <w:vAlign w:val="bottom"/>
          </w:tcPr>
          <w:p>
            <w:pPr>
              <w:spacing w:after="0"/>
              <w:rPr>
                <w:sz w:val="15"/>
                <w:szCs w:val="15"/>
                <w:color w:val="auto"/>
              </w:rPr>
            </w:pP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Feb 28, 2021</w:t>
            </w:r>
          </w:p>
        </w:tc>
      </w:tr>
      <w:tr>
        <w:trPr>
          <w:trHeight w:val="204"/>
        </w:trPr>
        <w:tc>
          <w:tcPr>
            <w:tcW w:w="7460" w:type="dxa"/>
            <w:vAlign w:val="bottom"/>
            <w:tcBorders>
              <w:top w:val="single" w:sz="8" w:color="CCEEFF"/>
            </w:tcBorders>
            <w:shd w:val="clear" w:color="auto" w:fill="CCEEFF"/>
          </w:tcPr>
          <w:p>
            <w:pPr>
              <w:ind w:left="460"/>
              <w:spacing w:after="0" w:line="204" w:lineRule="exact"/>
              <w:rPr>
                <w:sz w:val="20"/>
                <w:szCs w:val="20"/>
                <w:color w:val="auto"/>
              </w:rPr>
            </w:pPr>
            <w:r>
              <w:rPr>
                <w:rFonts w:ascii="Times New Roman" w:cs="Times New Roman" w:eastAsia="Times New Roman" w:hAnsi="Times New Roman"/>
                <w:sz w:val="18"/>
                <w:szCs w:val="18"/>
                <w:color w:val="auto"/>
              </w:rPr>
              <w:t>Cash provided by (used in):</w:t>
            </w:r>
          </w:p>
        </w:tc>
        <w:tc>
          <w:tcPr>
            <w:tcW w:w="6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24"/>
        </w:trPr>
        <w:tc>
          <w:tcPr>
            <w:tcW w:w="7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2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w:t>
            </w:r>
          </w:p>
        </w:tc>
      </w:tr>
      <w:tr>
        <w:trPr>
          <w:trHeight w:val="224"/>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Investing activities</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24"/>
        </w:trPr>
        <w:tc>
          <w:tcPr>
            <w:tcW w:w="7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Financing activities</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w:t>
            </w:r>
          </w:p>
        </w:tc>
      </w:tr>
      <w:tr>
        <w:trPr>
          <w:trHeight w:val="224"/>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7"/>
        </w:trPr>
        <w:tc>
          <w:tcPr>
            <w:tcW w:w="7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7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consisted of the following: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provided by operating activities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2022 and 2021:</w:t>
      </w:r>
    </w:p>
    <w:p>
      <w:pPr>
        <w:spacing w:after="0" w:line="161" w:lineRule="exact"/>
        <w:rPr>
          <w:sz w:val="20"/>
          <w:szCs w:val="20"/>
          <w:color w:val="auto"/>
        </w:rPr>
      </w:pPr>
    </w:p>
    <w:p>
      <w:pPr>
        <w:ind w:left="640" w:right="200" w:hanging="319"/>
        <w:spacing w:after="0" w:line="250"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$20.3 million and $12.1 million for the period ended February 28, 2022 and 2021, respectively, plus the non-cash items, primarily driven by depreciation and amortization and stock based compensation, along with the changes in working capital below, contributed to cash used in operations of $15.8 million and cash provided by operations of $11.9 million, respectively, for these periods.</w:t>
      </w:r>
    </w:p>
    <w:p>
      <w:pPr>
        <w:spacing w:after="0" w:line="2" w:lineRule="exact"/>
        <w:rPr>
          <w:rFonts w:ascii="Times New Roman" w:cs="Times New Roman" w:eastAsia="Times New Roman" w:hAnsi="Times New Roman"/>
          <w:sz w:val="18"/>
          <w:szCs w:val="18"/>
          <w:color w:val="auto"/>
        </w:rPr>
      </w:pPr>
    </w:p>
    <w:p>
      <w:pPr>
        <w:ind w:left="640" w:right="300" w:hanging="319"/>
        <w:spacing w:after="0" w:line="244"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February 28, 2022, working capital was negatively impacted by decreased accounts payable, accrued liabilities and other liabilities of $11.8 million, mainly driven by the payment of annual incentive compensation in the first fiscal quarter along with increased accounts receivable of $6.4 million.</w:t>
      </w:r>
    </w:p>
    <w:p>
      <w:pPr>
        <w:ind w:left="640" w:right="380" w:hanging="319"/>
        <w:spacing w:after="0" w:line="309" w:lineRule="auto"/>
        <w:tabs>
          <w:tab w:leader="none" w:pos="63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ended February 28, 2021, working capital was negatively impacted by increased accounts receivable of $1.8 million and decreased accounts payable, accrued liabilities and other liabilities of $1.7 million. Inventory had a favorable impact on working capital of $11.1 million.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investing activities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2022 and 2021:</w:t>
      </w:r>
    </w:p>
    <w:p>
      <w:pPr>
        <w:spacing w:after="0" w:line="161" w:lineRule="exact"/>
        <w:rPr>
          <w:sz w:val="20"/>
          <w:szCs w:val="20"/>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and $4.6 million, respectively, of cash was used for fixed asset additions;</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million of cash was used for Auryon placement and evaluation unit additions in fiscal year 2022;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of cash was used for the QX Medical asset acquisition in the first quarter of fiscal year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(used in) financing activities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2022 and 2021:</w:t>
      </w:r>
    </w:p>
    <w:p>
      <w:pPr>
        <w:spacing w:after="0" w:line="161" w:lineRule="exact"/>
        <w:rPr>
          <w:sz w:val="20"/>
          <w:szCs w:val="20"/>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draw on the Revolving Facility in the first quarter of fiscal year 2022 for the QX Medical asset acquisition;</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payment on the Revolving Facility in the third quarter of fiscal year 2021;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and $2.5 million, respectively, of proceeds from stock option and ESPP activity.</w:t>
      </w:r>
    </w:p>
    <w:p>
      <w:pPr>
        <w:spacing w:after="0" w:line="144"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The Credit Agreement provides for a $125.0 million secured Revolving Facility, which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adjusted EBITDA (as defined in the Credit Agreement). The amount that we can borrow under our Credit Agreement is directly based on our leverage ratio. The interest rate on the Revolving Facility at February 28, 2022 was 1.36%. The Company was in compliance with the Credit Agreement covenants as of February 28, 2022.</w:t>
      </w:r>
    </w:p>
    <w:p>
      <w:pPr>
        <w:spacing w:after="0" w:line="138" w:lineRule="exact"/>
        <w:rPr>
          <w:sz w:val="20"/>
          <w:szCs w:val="20"/>
          <w:color w:val="auto"/>
        </w:rPr>
      </w:pPr>
    </w:p>
    <w:p>
      <w:pPr>
        <w:ind w:right="220" w:firstLine="395"/>
        <w:spacing w:after="0" w:line="250" w:lineRule="auto"/>
        <w:rPr>
          <w:sz w:val="20"/>
          <w:szCs w:val="20"/>
          <w:color w:val="auto"/>
        </w:rPr>
      </w:pPr>
      <w:r>
        <w:rPr>
          <w:rFonts w:ascii="Times New Roman" w:cs="Times New Roman" w:eastAsia="Times New Roman" w:hAnsi="Times New Roman"/>
          <w:sz w:val="18"/>
          <w:szCs w:val="18"/>
          <w:color w:val="auto"/>
        </w:rPr>
        <w:t>In the first quarter of fiscal year 2022, the Company made a $5.0 million draw on the Revolving Facility in conjunction with the QX Medical asset acquisition. In December 2020 and March 2021, payments of $10.0 million each were made on the Revolving Facility.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Information regarding new accounting pronouncements is included in Note 17 to our consolidated financial statements in this Quarterly Report on Form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65"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as well as interest rate fluctuations on our Revolving Facility and investments that could impact our results of operations and financial position.</w:t>
      </w:r>
    </w:p>
    <w:p>
      <w:pPr>
        <w:spacing w:after="0" w:line="117"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For the nine months ended February 28, 2022, approximately 6%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5" w:lineRule="exact"/>
        <w:rPr>
          <w:sz w:val="20"/>
          <w:szCs w:val="20"/>
          <w:color w:val="auto"/>
        </w:rPr>
      </w:pPr>
    </w:p>
    <w:p>
      <w:pPr>
        <w:ind w:right="120" w:firstLine="395"/>
        <w:spacing w:after="0" w:line="286" w:lineRule="auto"/>
        <w:rPr>
          <w:sz w:val="20"/>
          <w:szCs w:val="20"/>
          <w:color w:val="auto"/>
        </w:rPr>
      </w:pPr>
      <w:r>
        <w:rPr>
          <w:rFonts w:ascii="Times New Roman" w:cs="Times New Roman" w:eastAsia="Times New Roman" w:hAnsi="Times New Roman"/>
          <w:sz w:val="16"/>
          <w:szCs w:val="16"/>
          <w:color w:val="auto"/>
        </w:rPr>
        <w:t>We have a Credit Agreement which provides for a $125.0 million Revolving Facility. Interest on the Revolving Facility will be based, at the Company’s option, on either a base rate of LIBOR or alternate base rate, plus an applicable margin tied to the Company’s total leverage ratio and having ranges between</w:t>
      </w:r>
    </w:p>
    <w:p>
      <w:pPr>
        <w:spacing w:after="0" w:line="309" w:lineRule="auto"/>
        <w:rPr>
          <w:sz w:val="20"/>
          <w:szCs w:val="20"/>
          <w:color w:val="auto"/>
        </w:rPr>
      </w:pPr>
      <w:r>
        <w:rPr>
          <w:rFonts w:ascii="Times New Roman" w:cs="Times New Roman" w:eastAsia="Times New Roman" w:hAnsi="Times New Roman"/>
          <w:sz w:val="16"/>
          <w:szCs w:val="16"/>
          <w:color w:val="auto"/>
        </w:rPr>
        <w:t>0.25% and 0.75% for base rate loans and between 1.25% and 1.75% for LIBOR loans. In the event of default, the interest rate may be increased by 2.0%. As of February 28, 2022 there was $25.0 million outstanding on the Revolving Facility. The interest rate on the Revolving Facility at February 28, 2022 was 1.36%.</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65"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our Revolving Facility and trade accounts receivable.</w:t>
      </w:r>
    </w:p>
    <w:p>
      <w:pPr>
        <w:spacing w:after="0" w:line="117"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27"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3"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3" w:lineRule="exact"/>
        <w:rPr>
          <w:sz w:val="20"/>
          <w:szCs w:val="20"/>
          <w:color w:val="auto"/>
        </w:rPr>
      </w:pPr>
    </w:p>
    <w:p>
      <w:pPr>
        <w:ind w:right="300" w:firstLine="474"/>
        <w:spacing w:after="0" w:line="268"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February 28,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3" w:lineRule="exact"/>
        <w:rPr>
          <w:sz w:val="20"/>
          <w:szCs w:val="20"/>
          <w:color w:val="auto"/>
        </w:rPr>
      </w:pPr>
    </w:p>
    <w:p>
      <w:pPr>
        <w:ind w:right="200" w:firstLine="379"/>
        <w:spacing w:after="0" w:line="268" w:lineRule="auto"/>
        <w:rPr>
          <w:sz w:val="20"/>
          <w:szCs w:val="20"/>
          <w:color w:val="auto"/>
        </w:rPr>
      </w:pPr>
      <w:r>
        <w:rPr>
          <w:rFonts w:ascii="Times New Roman" w:cs="Times New Roman" w:eastAsia="Times New Roman" w:hAnsi="Times New Roman"/>
          <w:sz w:val="18"/>
          <w:szCs w:val="18"/>
          <w:color w:val="auto"/>
        </w:rPr>
        <w:t>See Note 14 "Commitments and Contingencies" set forth in the notes to our consolidated financial statements included in Part I, Item I of this Quarterly Report on Form 10-Q.</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3"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May 31, 2021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Pr>
          <w:p>
            <w:pPr>
              <w:jc w:val="right"/>
              <w:spacing w:after="0" w:line="130" w:lineRule="exact"/>
              <w:rPr>
                <w:sz w:val="20"/>
                <w:szCs w:val="20"/>
                <w:color w:val="auto"/>
              </w:rPr>
            </w:pPr>
            <w:r>
              <w:rPr>
                <w:rFonts w:ascii="Times New Roman" w:cs="Times New Roman" w:eastAsia="Times New Roman" w:hAnsi="Times New Roman"/>
                <w:sz w:val="14"/>
                <w:szCs w:val="14"/>
                <w:color w:val="auto"/>
              </w:rPr>
              <w:t>Maximum</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rPr>
              <w:t>Approximate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360"/>
              <w:spacing w:after="0" w:line="132" w:lineRule="exact"/>
              <w:rPr>
                <w:sz w:val="20"/>
                <w:szCs w:val="20"/>
                <w:color w:val="auto"/>
              </w:rPr>
            </w:pPr>
            <w:r>
              <w:rPr>
                <w:rFonts w:ascii="Times New Roman" w:cs="Times New Roman" w:eastAsia="Times New Roman" w:hAnsi="Times New Roman"/>
                <w:sz w:val="14"/>
                <w:szCs w:val="14"/>
                <w:color w:val="auto"/>
                <w:w w:val="98"/>
              </w:rPr>
              <w:t>Number of</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w w:val="98"/>
              </w:rPr>
              <w:t>Dollar Value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360"/>
              <w:spacing w:after="0" w:line="132" w:lineRule="exact"/>
              <w:rPr>
                <w:sz w:val="20"/>
                <w:szCs w:val="20"/>
                <w:color w:val="auto"/>
              </w:rPr>
            </w:pPr>
            <w:r>
              <w:rPr>
                <w:rFonts w:ascii="Times New Roman" w:cs="Times New Roman" w:eastAsia="Times New Roman" w:hAnsi="Times New Roman"/>
                <w:sz w:val="14"/>
                <w:szCs w:val="14"/>
                <w:color w:val="auto"/>
                <w:w w:val="96"/>
              </w:rPr>
              <w:t>Shares</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w w:val="98"/>
              </w:rPr>
              <w:t>of Shares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1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360"/>
              <w:spacing w:after="0" w:line="132" w:lineRule="exact"/>
              <w:rPr>
                <w:sz w:val="20"/>
                <w:szCs w:val="20"/>
                <w:color w:val="auto"/>
              </w:rPr>
            </w:pPr>
            <w:r>
              <w:rPr>
                <w:rFonts w:ascii="Times New Roman" w:cs="Times New Roman" w:eastAsia="Times New Roman" w:hAnsi="Times New Roman"/>
                <w:sz w:val="14"/>
                <w:szCs w:val="14"/>
                <w:color w:val="auto"/>
                <w:w w:val="97"/>
              </w:rPr>
              <w:t>Purchased</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w w:val="97"/>
              </w:rPr>
              <w:t>that May Yet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Average</w:t>
            </w:r>
          </w:p>
        </w:tc>
        <w:tc>
          <w:tcPr>
            <w:tcW w:w="1400" w:type="dxa"/>
            <w:vAlign w:val="bottom"/>
            <w:gridSpan w:val="3"/>
          </w:tcPr>
          <w:p>
            <w:pPr>
              <w:jc w:val="center"/>
              <w:ind w:right="360"/>
              <w:spacing w:after="0" w:line="132" w:lineRule="exact"/>
              <w:rPr>
                <w:sz w:val="20"/>
                <w:szCs w:val="20"/>
                <w:color w:val="auto"/>
              </w:rPr>
            </w:pPr>
            <w:r>
              <w:rPr>
                <w:rFonts w:ascii="Times New Roman" w:cs="Times New Roman" w:eastAsia="Times New Roman" w:hAnsi="Times New Roman"/>
                <w:sz w:val="14"/>
                <w:szCs w:val="14"/>
                <w:color w:val="auto"/>
                <w:w w:val="98"/>
              </w:rPr>
              <w:t>as Part of</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rPr>
              <w:t>Be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18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4"/>
                <w:szCs w:val="14"/>
                <w:color w:val="auto"/>
                <w:w w:val="98"/>
              </w:rPr>
              <w:t>Number of</w:t>
            </w:r>
          </w:p>
        </w:tc>
        <w:tc>
          <w:tcPr>
            <w:tcW w:w="5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0" w:type="dxa"/>
            <w:vAlign w:val="bottom"/>
            <w:gridSpan w:val="3"/>
          </w:tcPr>
          <w:p>
            <w:pPr>
              <w:jc w:val="center"/>
              <w:ind w:right="360"/>
              <w:spacing w:after="0" w:line="132" w:lineRule="exact"/>
              <w:rPr>
                <w:sz w:val="20"/>
                <w:szCs w:val="20"/>
                <w:color w:val="auto"/>
              </w:rPr>
            </w:pPr>
            <w:r>
              <w:rPr>
                <w:rFonts w:ascii="Times New Roman" w:cs="Times New Roman" w:eastAsia="Times New Roman" w:hAnsi="Times New Roman"/>
                <w:sz w:val="14"/>
                <w:szCs w:val="14"/>
                <w:color w:val="auto"/>
              </w:rPr>
              <w:t>Publicly</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w w:val="97"/>
              </w:rPr>
              <w:t>Purchased</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18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4"/>
                <w:szCs w:val="14"/>
                <w:color w:val="auto"/>
                <w:w w:val="96"/>
              </w:rPr>
              <w:t>Shares</w:t>
            </w:r>
          </w:p>
        </w:tc>
        <w:tc>
          <w:tcPr>
            <w:tcW w:w="1500" w:type="dxa"/>
            <w:vAlign w:val="bottom"/>
            <w:gridSpan w:val="3"/>
          </w:tcPr>
          <w:p>
            <w:pPr>
              <w:ind w:left="420"/>
              <w:spacing w:after="0" w:line="132" w:lineRule="exact"/>
              <w:rPr>
                <w:sz w:val="20"/>
                <w:szCs w:val="20"/>
                <w:color w:val="auto"/>
              </w:rPr>
            </w:pPr>
            <w:r>
              <w:rPr>
                <w:rFonts w:ascii="Times New Roman" w:cs="Times New Roman" w:eastAsia="Times New Roman" w:hAnsi="Times New Roman"/>
                <w:sz w:val="14"/>
                <w:szCs w:val="14"/>
                <w:color w:val="auto"/>
              </w:rPr>
              <w:t>Price Paid</w:t>
            </w:r>
          </w:p>
        </w:tc>
        <w:tc>
          <w:tcPr>
            <w:tcW w:w="1400" w:type="dxa"/>
            <w:vAlign w:val="bottom"/>
            <w:gridSpan w:val="3"/>
          </w:tcPr>
          <w:p>
            <w:pPr>
              <w:jc w:val="center"/>
              <w:ind w:right="360"/>
              <w:spacing w:after="0" w:line="132" w:lineRule="exact"/>
              <w:rPr>
                <w:sz w:val="20"/>
                <w:szCs w:val="20"/>
                <w:color w:val="auto"/>
              </w:rPr>
            </w:pPr>
            <w:r>
              <w:rPr>
                <w:rFonts w:ascii="Times New Roman" w:cs="Times New Roman" w:eastAsia="Times New Roman" w:hAnsi="Times New Roman"/>
                <w:sz w:val="14"/>
                <w:szCs w:val="14"/>
                <w:color w:val="auto"/>
                <w:w w:val="99"/>
              </w:rPr>
              <w:t>Announced</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w w:val="98"/>
              </w:rPr>
              <w:t>Under Plans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780" w:type="dxa"/>
            <w:vAlign w:val="bottom"/>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Purchased (1)</w:t>
            </w:r>
          </w:p>
        </w:tc>
        <w:tc>
          <w:tcPr>
            <w:tcW w:w="150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per Share</w:t>
            </w:r>
          </w:p>
        </w:tc>
        <w:tc>
          <w:tcPr>
            <w:tcW w:w="14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w w:val="97"/>
              </w:rPr>
              <w:t>Programs (2)</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or Programs (2)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December 1, 2021 -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January 1, 2022 - January 31, 2022</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19"/>
                <w:szCs w:val="19"/>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8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February 1, 2022 - February 28,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60" w:hanging="318"/>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were purchased from employees to satisfy tax withholding requirements on the vesting of restricted shares/units from equity-based awards.</w:t>
      </w:r>
    </w:p>
    <w:p>
      <w:pPr>
        <w:spacing w:after="0" w:line="18" w:lineRule="exact"/>
        <w:rPr>
          <w:rFonts w:ascii="Times New Roman" w:cs="Times New Roman" w:eastAsia="Times New Roman" w:hAnsi="Times New Roman"/>
          <w:sz w:val="16"/>
          <w:szCs w:val="16"/>
          <w:color w:val="auto"/>
        </w:rPr>
      </w:pPr>
    </w:p>
    <w:p>
      <w:pPr>
        <w:ind w:left="560" w:hanging="318"/>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are not applicable as the Company currently does not have a share repurchase program in effect.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0"/>
        </w:trPr>
        <w:tc>
          <w:tcPr>
            <w:tcW w:w="1060" w:type="dxa"/>
            <w:vAlign w:val="bottom"/>
          </w:tcPr>
          <w:p>
            <w:pPr>
              <w:spacing w:after="0"/>
              <w:rPr>
                <w:sz w:val="21"/>
                <w:szCs w:val="21"/>
                <w:color w:val="auto"/>
              </w:rPr>
            </w:pPr>
          </w:p>
        </w:tc>
        <w:tc>
          <w:tcPr>
            <w:tcW w:w="4620" w:type="dxa"/>
            <w:vAlign w:val="bottom"/>
            <w:gridSpan w:val="7"/>
          </w:tcPr>
          <w:p>
            <w:pPr>
              <w:ind w:left="1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Incorporated by Reference</w:t>
            </w:r>
          </w:p>
        </w:tc>
        <w:tc>
          <w:tcPr>
            <w:tcW w:w="1580" w:type="dxa"/>
            <w:vAlign w:val="bottom"/>
            <w:tcBorders>
              <w:bottom w:val="single" w:sz="8" w:color="auto"/>
            </w:tcBorders>
          </w:tcPr>
          <w:p>
            <w:pPr>
              <w:spacing w:after="0"/>
              <w:rPr>
                <w:sz w:val="21"/>
                <w:szCs w:val="21"/>
                <w:color w:val="auto"/>
              </w:rPr>
            </w:pPr>
          </w:p>
        </w:tc>
      </w:tr>
      <w:tr>
        <w:trPr>
          <w:trHeight w:val="217"/>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No.</w:t>
            </w:r>
          </w:p>
        </w:tc>
        <w:tc>
          <w:tcPr>
            <w:tcW w:w="4620" w:type="dxa"/>
            <w:vAlign w:val="bottom"/>
            <w:tcBorders>
              <w:bottom w:val="single" w:sz="8" w:color="auto"/>
            </w:tcBorders>
            <w:gridSpan w:val="7"/>
          </w:tcPr>
          <w:p>
            <w:pPr>
              <w:ind w:left="18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Form</w:t>
            </w:r>
          </w:p>
        </w:tc>
        <w:tc>
          <w:tcPr>
            <w:tcW w:w="25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8"/>
              </w:rPr>
              <w:t>Exhibit</w:t>
            </w:r>
          </w:p>
        </w:tc>
        <w:tc>
          <w:tcPr>
            <w:tcW w:w="1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Filing Date</w:t>
            </w:r>
          </w:p>
        </w:tc>
      </w:tr>
      <w:tr>
        <w:trPr>
          <w:trHeight w:val="42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620" w:type="dxa"/>
            <w:vAlign w:val="bottom"/>
            <w:gridSpan w:val="7"/>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Certification pursuant to Rule 13a-14(a) or 15d-14 under the</w:t>
              </w:r>
            </w:hyperlink>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1"/>
        </w:trPr>
        <w:tc>
          <w:tcPr>
            <w:tcW w:w="106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Securities Exchange Act of 1934</w:t>
              </w:r>
            </w:hyperlink>
          </w:p>
        </w:tc>
        <w:tc>
          <w:tcPr>
            <w:tcW w:w="19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46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620" w:type="dxa"/>
            <w:vAlign w:val="bottom"/>
            <w:gridSpan w:val="7"/>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Certification pursuant to Rule 13a-14(a) or 15d-14 under the</w:t>
              </w:r>
            </w:hyperlink>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1"/>
        </w:trPr>
        <w:tc>
          <w:tcPr>
            <w:tcW w:w="106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Securities Exchange Act of 1934</w:t>
              </w:r>
            </w:hyperlink>
          </w:p>
        </w:tc>
        <w:tc>
          <w:tcPr>
            <w:tcW w:w="19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46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20" w:type="dxa"/>
            <w:vAlign w:val="bottom"/>
            <w:gridSpan w:val="7"/>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Certification of Chief Executive Officer pursuant to Title 18,</w:t>
              </w:r>
            </w:hyperlink>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51"/>
        </w:trPr>
        <w:tc>
          <w:tcPr>
            <w:tcW w:w="1060" w:type="dxa"/>
            <w:vAlign w:val="bottom"/>
          </w:tcPr>
          <w:p>
            <w:pPr>
              <w:spacing w:after="0"/>
              <w:rPr>
                <w:sz w:val="13"/>
                <w:szCs w:val="13"/>
                <w:color w:val="auto"/>
              </w:rPr>
            </w:pPr>
          </w:p>
        </w:tc>
        <w:tc>
          <w:tcPr>
            <w:tcW w:w="4620" w:type="dxa"/>
            <w:vAlign w:val="bottom"/>
            <w:gridSpan w:val="7"/>
          </w:tcPr>
          <w:p>
            <w:pPr>
              <w:spacing w:after="0" w:line="152" w:lineRule="exact"/>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color w:val="0000FF"/>
                </w:rPr>
                <w:t>United States Code, Section 1350, as adopted pursuant to Section</w:t>
              </w:r>
            </w:hyperlink>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color w:val="0000FF"/>
                </w:rPr>
                <w:t>906 of the Sarbanes-Oxley Act of 2002</w:t>
              </w:r>
            </w:hyperlink>
          </w:p>
        </w:tc>
        <w:tc>
          <w:tcPr>
            <w:tcW w:w="18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46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2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6"/>
              </w:rPr>
            </w:pPr>
            <w:hyperlink w:anchor="page40">
              <w:r>
                <w:rPr>
                  <w:rFonts w:ascii="Times New Roman" w:cs="Times New Roman" w:eastAsia="Times New Roman" w:hAnsi="Times New Roman"/>
                  <w:sz w:val="18"/>
                  <w:szCs w:val="18"/>
                  <w:color w:val="0000FF"/>
                  <w:w w:val="96"/>
                </w:rPr>
                <w:t>Certification of Chief Financial Officer pursuant to Title 18,</w:t>
              </w:r>
            </w:hyperlink>
          </w:p>
        </w:tc>
        <w:tc>
          <w:tcPr>
            <w:tcW w:w="400" w:type="dxa"/>
            <w:vAlign w:val="bottom"/>
            <w:gridSpan w:val="4"/>
          </w:tcPr>
          <w:p>
            <w:pPr>
              <w:spacing w:after="0"/>
              <w:rPr>
                <w:sz w:val="24"/>
                <w:szCs w:val="24"/>
                <w:color w:val="auto"/>
              </w:rPr>
            </w:pP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1"/>
        </w:trPr>
        <w:tc>
          <w:tcPr>
            <w:tcW w:w="1060" w:type="dxa"/>
            <w:vAlign w:val="bottom"/>
          </w:tcPr>
          <w:p>
            <w:pPr>
              <w:spacing w:after="0"/>
              <w:rPr>
                <w:sz w:val="13"/>
                <w:szCs w:val="13"/>
                <w:color w:val="auto"/>
              </w:rPr>
            </w:pPr>
          </w:p>
        </w:tc>
        <w:tc>
          <w:tcPr>
            <w:tcW w:w="4620" w:type="dxa"/>
            <w:vAlign w:val="bottom"/>
            <w:gridSpan w:val="7"/>
          </w:tcPr>
          <w:p>
            <w:pPr>
              <w:spacing w:after="0" w:line="152" w:lineRule="exact"/>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United States Code, Section 1350, as adopted pursuant to Section</w:t>
              </w:r>
            </w:hyperlink>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906 of the Sarbanes-Oxley Act of 2002</w:t>
              </w:r>
            </w:hyperlink>
          </w:p>
        </w:tc>
        <w:tc>
          <w:tcPr>
            <w:tcW w:w="18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45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1"/>
        </w:trPr>
        <w:tc>
          <w:tcPr>
            <w:tcW w:w="1060" w:type="dxa"/>
            <w:vAlign w:val="bottom"/>
          </w:tcPr>
          <w:p>
            <w:pPr>
              <w:spacing w:after="0"/>
              <w:rPr>
                <w:sz w:val="14"/>
                <w:szCs w:val="14"/>
                <w:color w:val="auto"/>
              </w:rPr>
            </w:pPr>
          </w:p>
        </w:tc>
        <w:tc>
          <w:tcPr>
            <w:tcW w:w="4620" w:type="dxa"/>
            <w:vAlign w:val="bottom"/>
            <w:gridSpan w:val="7"/>
          </w:tcPr>
          <w:p>
            <w:pPr>
              <w:spacing w:after="0" w:line="171" w:lineRule="exact"/>
              <w:rPr>
                <w:sz w:val="20"/>
                <w:szCs w:val="20"/>
                <w:color w:val="auto"/>
              </w:rPr>
            </w:pPr>
            <w:r>
              <w:rPr>
                <w:rFonts w:ascii="Times New Roman" w:cs="Times New Roman" w:eastAsia="Times New Roman" w:hAnsi="Times New Roman"/>
                <w:sz w:val="18"/>
                <w:szCs w:val="18"/>
                <w:color w:val="auto"/>
              </w:rPr>
              <w:t>file because its XBRL tags are embedded within the inline</w:t>
            </w:r>
          </w:p>
        </w:tc>
        <w:tc>
          <w:tcPr>
            <w:tcW w:w="14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28"/>
        </w:trPr>
        <w:tc>
          <w:tcPr>
            <w:tcW w:w="1060" w:type="dxa"/>
            <w:vAlign w:val="bottom"/>
          </w:tcPr>
          <w:p>
            <w:pPr>
              <w:spacing w:after="0"/>
              <w:rPr>
                <w:sz w:val="19"/>
                <w:szCs w:val="19"/>
                <w:color w:val="auto"/>
              </w:rPr>
            </w:pPr>
          </w:p>
        </w:tc>
        <w:tc>
          <w:tcPr>
            <w:tcW w:w="4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8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620" w:firstLine="43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80" w:type="dxa"/>
        <w:tblCellMar>
          <w:top w:w="0" w:type="dxa"/>
          <w:left w:w="0" w:type="dxa"/>
          <w:bottom w:w="0" w:type="dxa"/>
          <w:right w:w="0" w:type="dxa"/>
        </w:tblCellMar>
      </w:tblPr>
      <w:tr>
        <w:trPr>
          <w:trHeight w:val="224"/>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ANGIODYNAMICS, INC.</w:t>
            </w:r>
          </w:p>
        </w:tc>
      </w:tr>
      <w:tr>
        <w:trPr>
          <w:trHeight w:val="228"/>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8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7, 2022</w:t>
            </w:r>
          </w:p>
        </w:tc>
        <w:tc>
          <w:tcPr>
            <w:tcW w:w="800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rPr>
              <w:t>/ S /  JAMES C. CLEMMER</w:t>
            </w:r>
          </w:p>
        </w:tc>
      </w:tr>
      <w:tr>
        <w:trPr>
          <w:trHeight w:val="165"/>
        </w:trPr>
        <w:tc>
          <w:tcPr>
            <w:tcW w:w="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6"/>
              </w:rPr>
              <w:t>James C. Clemmer, President,</w:t>
            </w:r>
          </w:p>
        </w:tc>
      </w:tr>
      <w:tr>
        <w:trPr>
          <w:trHeight w:val="171"/>
        </w:trPr>
        <w:tc>
          <w:tcPr>
            <w:tcW w:w="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Chief Executive Officer</w:t>
            </w:r>
          </w:p>
        </w:tc>
      </w:t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(Principal Executive Officer)</w:t>
            </w: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7, 2022</w:t>
            </w:r>
          </w:p>
        </w:tc>
        <w:tc>
          <w:tcPr>
            <w:tcW w:w="8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S /  STEPHEN A. TROWBRIDGE</w:t>
            </w:r>
          </w:p>
        </w:tc>
      </w:tr>
      <w:tr>
        <w:trPr>
          <w:trHeight w:val="165"/>
        </w:trPr>
        <w:tc>
          <w:tcPr>
            <w:tcW w:w="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Stephen A. Trowbridge, Executive Vice President,</w:t>
            </w:r>
          </w:p>
        </w:tc>
      </w:tr>
      <w:tr>
        <w:trPr>
          <w:trHeight w:val="171"/>
        </w:trPr>
        <w:tc>
          <w:tcPr>
            <w:tcW w:w="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Chief Financial Officer</w:t>
            </w:r>
          </w:p>
        </w:tc>
      </w:t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118" w:right="4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43" w:lineRule="exact"/>
        <w:rPr>
          <w:sz w:val="20"/>
          <w:szCs w:val="20"/>
          <w:color w:val="auto"/>
        </w:rPr>
      </w:pPr>
    </w:p>
    <w:p>
      <w:pPr>
        <w:ind w:left="520" w:hanging="478"/>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1" w:lineRule="exact"/>
        <w:rPr>
          <w:rFonts w:ascii="Times New Roman" w:cs="Times New Roman" w:eastAsia="Times New Roman" w:hAnsi="Times New Roman"/>
          <w:sz w:val="18"/>
          <w:szCs w:val="18"/>
          <w:color w:val="auto"/>
        </w:rPr>
      </w:pPr>
    </w:p>
    <w:p>
      <w:pPr>
        <w:jc w:val="both"/>
        <w:ind w:left="520" w:right="500" w:hanging="478"/>
        <w:spacing w:after="0" w:line="218"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480" w:hanging="478"/>
        <w:spacing w:after="0" w:line="228"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20" w:right="100" w:hanging="478"/>
        <w:spacing w:after="0" w:line="218"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ind w:left="520" w:right="80" w:hanging="478"/>
        <w:spacing w:after="0" w:line="218"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20" w:right="60" w:hanging="478"/>
        <w:spacing w:after="0" w:line="218"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20" w:right="120" w:hanging="478"/>
        <w:spacing w:after="0" w:line="228"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520" w:right="180" w:hanging="478"/>
        <w:spacing w:after="0" w:line="218"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sz w:val="20"/>
          <w:szCs w:val="20"/>
          <w:color w:val="auto"/>
        </w:rPr>
      </w:pPr>
    </w:p>
    <w:p>
      <w:pPr>
        <w:ind w:left="520" w:right="420" w:hanging="478"/>
        <w:spacing w:after="0" w:line="228"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20" w:right="40" w:hanging="478"/>
        <w:spacing w:after="0" w:line="228"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520" w:right="280" w:hanging="478"/>
        <w:spacing w:after="0" w:line="228"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2022</w:t>
      </w:r>
    </w:p>
    <w:p>
      <w:pPr>
        <w:spacing w:after="0" w:line="240" w:lineRule="exact"/>
        <w:rPr>
          <w:sz w:val="20"/>
          <w:szCs w:val="20"/>
          <w:color w:val="auto"/>
        </w:rPr>
      </w:pPr>
    </w:p>
    <w:p>
      <w:pPr>
        <w:ind w:right="9120" w:firstLine="5"/>
        <w:spacing w:after="0" w:line="303" w:lineRule="auto"/>
        <w:tabs>
          <w:tab w:leader="none" w:pos="93" w:val="left"/>
        </w:tabs>
        <w:numPr>
          <w:ilvl w:val="0"/>
          <w:numId w:val="31"/>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 xml:space="preserve">S / JAMES C. CLEMMER </w:t>
      </w:r>
      <w:r>
        <w:rPr>
          <w:rFonts w:ascii="Times New Roman" w:cs="Times New Roman" w:eastAsia="Times New Roman" w:hAnsi="Times New Roman"/>
          <w:sz w:val="16"/>
          <w:szCs w:val="16"/>
          <w:color w:val="auto"/>
        </w:rPr>
        <w:t>James C. Clemmer, President, Chief Executive Officer</w:t>
      </w:r>
    </w:p>
    <w:p>
      <w:pPr>
        <w:sectPr>
          <w:pgSz w:w="11900" w:h="16838" w:orient="portrait"/>
          <w:cols w:equalWidth="0" w:num="1">
            <w:col w:w="11240"/>
          </w:cols>
          <w:pgMar w:left="320" w:top="86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43" w:lineRule="exact"/>
        <w:rPr>
          <w:sz w:val="20"/>
          <w:szCs w:val="20"/>
          <w:color w:val="auto"/>
        </w:rPr>
      </w:pPr>
    </w:p>
    <w:p>
      <w:pPr>
        <w:ind w:left="500" w:hanging="477"/>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1" w:lineRule="exact"/>
        <w:rPr>
          <w:rFonts w:ascii="Times New Roman" w:cs="Times New Roman" w:eastAsia="Times New Roman" w:hAnsi="Times New Roman"/>
          <w:sz w:val="18"/>
          <w:szCs w:val="18"/>
          <w:color w:val="auto"/>
        </w:rPr>
      </w:pPr>
    </w:p>
    <w:p>
      <w:pPr>
        <w:jc w:val="both"/>
        <w:ind w:left="500" w:right="520" w:hanging="477"/>
        <w:spacing w:after="0" w:line="218"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00" w:right="500" w:hanging="477"/>
        <w:spacing w:after="0" w:line="228"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00" w:right="120" w:hanging="477"/>
        <w:spacing w:after="0" w:line="218"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ind w:left="500" w:right="100" w:hanging="477"/>
        <w:spacing w:after="0" w:line="218"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00" w:right="80" w:hanging="477"/>
        <w:spacing w:after="0" w:line="218"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00" w:right="140" w:hanging="477"/>
        <w:spacing w:after="0" w:line="228"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500" w:right="200" w:hanging="477"/>
        <w:spacing w:after="0" w:line="218"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sz w:val="20"/>
          <w:szCs w:val="20"/>
          <w:color w:val="auto"/>
        </w:rPr>
      </w:pPr>
    </w:p>
    <w:p>
      <w:pPr>
        <w:ind w:left="500" w:right="440" w:hanging="477"/>
        <w:spacing w:after="0" w:line="228"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60" w:hanging="477"/>
        <w:spacing w:after="0" w:line="228"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500" w:right="300" w:hanging="477"/>
        <w:spacing w:after="0" w:line="228"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S / STEPHEN A. TROWBRIDGE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2" w:lineRule="exact"/>
        <w:rPr>
          <w:sz w:val="20"/>
          <w:szCs w:val="20"/>
          <w:color w:val="auto"/>
        </w:rPr>
      </w:pPr>
    </w:p>
    <w:p>
      <w:pPr>
        <w:jc w:val="center"/>
        <w:ind w:left="340" w:right="2640"/>
        <w:spacing w:after="0" w:line="256"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James C. Clemmer, President, Chief Executive Officer and Director of ANGIODYNAMICS, Inc. (the "Company"), certify, pursuant to Section 906 of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 to the best of my knowledge:</w:t>
      </w:r>
    </w:p>
    <w:p>
      <w:pPr>
        <w:spacing w:after="0" w:line="262" w:lineRule="exact"/>
        <w:rPr>
          <w:sz w:val="20"/>
          <w:szCs w:val="20"/>
          <w:color w:val="auto"/>
        </w:rPr>
      </w:pPr>
    </w:p>
    <w:p>
      <w:pPr>
        <w:ind w:left="520" w:right="200" w:hanging="478"/>
        <w:spacing w:after="0" w:line="23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February 28, 2022 (the "Report") fully complies with the requirements of Section 13(a) or 15(d) of the Securities Exchange Act of 1934 (15 U.S.C. 78m or 78o(d)); and</w:t>
      </w:r>
    </w:p>
    <w:p>
      <w:pPr>
        <w:ind w:left="520" w:hanging="478"/>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2022</w:t>
      </w:r>
    </w:p>
    <w:p>
      <w:pPr>
        <w:spacing w:after="0" w:line="28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13970</wp:posOffset>
            </wp:positionV>
            <wp:extent cx="35509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0920" cy="8255"/>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color w:val="auto"/>
        </w:rPr>
        <w:t>James C. Clemmer, President,</w:t>
      </w:r>
    </w:p>
    <w:p>
      <w:pPr>
        <w:ind w:left="19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6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2" w:lineRule="exact"/>
        <w:rPr>
          <w:sz w:val="20"/>
          <w:szCs w:val="20"/>
          <w:color w:val="auto"/>
        </w:rPr>
      </w:pPr>
    </w:p>
    <w:p>
      <w:pPr>
        <w:jc w:val="center"/>
        <w:ind w:left="340" w:right="2660"/>
        <w:spacing w:after="0" w:line="256"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20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35" w:lineRule="exact"/>
        <w:rPr>
          <w:sz w:val="20"/>
          <w:szCs w:val="20"/>
          <w:color w:val="auto"/>
        </w:rPr>
      </w:pPr>
    </w:p>
    <w:p>
      <w:pPr>
        <w:ind w:left="520" w:right="200" w:hanging="478"/>
        <w:spacing w:after="0" w:line="23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February 28, 2022 (the "Report") fully complies with the requirements of Section 13(a) or 15(d) of the Securities Exchange Act of 1934 (15 U.S.C. 78m or 78o(d)); and</w:t>
      </w:r>
    </w:p>
    <w:p>
      <w:pPr>
        <w:ind w:left="520" w:hanging="478"/>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2022</w:t>
      </w:r>
    </w:p>
    <w:p>
      <w:pPr>
        <w:spacing w:after="0" w:line="2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13970</wp:posOffset>
            </wp:positionV>
            <wp:extent cx="35509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092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ind w:left="20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
      <w:numFmt w:val="bullet"/>
      <w:start w:val="1"/>
    </w:lvl>
    <w:lvl w:ilvl="1">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4"/>
    </w:lvl>
  </w:abstractNum>
  <w:abstractNum w:abstractNumId="7">
    <w:nsid w:val="2443A858"/>
    <w:multiLevelType w:val="hybridMultilevel"/>
    <w:lvl w:ilvl="0">
      <w:lvlJc w:val="left"/>
      <w:lvlText w:val="%1."/>
      <w:numFmt w:val="decimal"/>
      <w:start w:val="17"/>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decimal"/>
      <w:start w:val="5"/>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2022-04-07T15:22:30Z</dcterms:created>
  <dcterms:modified xsi:type="dcterms:W3CDTF">2022-04-07T15:22:30Z</dcterms:modified>
</cp:coreProperties>
</file>