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Piccinini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International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19,860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78,388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acquisition of 19,860 shares of common stock ("Common Stock") of AngioDynamics, Inc. represents 19,860 restricted stock units, each of which represents a contingent right to receive one share of Common Stock. These restricted stock units vest in four equal annual installments beginning on July 15, 2027, such that 25% of the restricted stock units will vest on each of July 15,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right represents a contingent right to receive one share of Common Stock. The target number of shares of Common Stock is set forth in columns 5 and 7 of Table II. Between 0% and 200% of the target number will be earned based on total shareholder return relative to a peer group of companies over a three-year performance period (with a potential upward or downward 20% adjustment on the calculated achievement based on total shareholder return relative to a peer group of companies over a three-year performance period (for a total potential payout of up to 240% of the target number in the aggregate)) in accordance with performance metrics as determined by the compensation committee. Any shares that do not vest at the end of the performance period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140"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778</Words>
  <Characters>4126</Characters>
  <CharactersWithSpaces>4824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