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8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40"/>
        </w:rPr>
      </w:pPr>
      <w:r>
        <w:rPr>
          <w:rFonts w:ascii="Times New Roman;sans-serif" w:hAnsi="Times New Roman;sans-serif"/>
          <w:b/>
          <w:color w:val="000000"/>
          <w:sz w:val="40"/>
        </w:rPr>
        <w:t>UNITED STATES</w:t>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40"/>
        </w:rPr>
      </w:pPr>
      <w:r>
        <w:rPr>
          <w:rFonts w:ascii="Times New Roman;sans-serif" w:hAnsi="Times New Roman;sans-serif"/>
          <w:b/>
          <w:color w:val="000000"/>
          <w:sz w:val="40"/>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February 29, 2024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24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r>
        <w:rPr>
          <w:color w:val="000000"/>
        </w:rPr>
        <w:t xml:space="preserve">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0-50761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AngioDynamics,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before="0" w:after="0"/>
        <w:jc w:val="center"/>
        <w:rPr/>
      </w:pPr>
      <w:r>
        <w:rPr/>
        <w:drawing>
          <wp:inline distT="0" distB="0" distL="0" distR="0">
            <wp:extent cx="40195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19550" cy="609600"/>
                    </a:xfrm>
                    <a:prstGeom prst="rect">
                      <a:avLst/>
                    </a:prstGeom>
                  </pic:spPr>
                </pic:pic>
              </a:graphicData>
            </a:graphic>
          </wp:inline>
        </w:drawing>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4181"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11-3146460</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14 Plaza Drive, Latham, New York 12110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and zip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(518) 795-1400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076" w:type="dxa"/>
        <w:jc w:val="center"/>
        <w:tblInd w:w="0" w:type="dxa"/>
        <w:tblLayout w:type="fixed"/>
        <w:tblCellMar>
          <w:top w:w="28" w:type="dxa"/>
          <w:left w:w="28" w:type="dxa"/>
          <w:bottom w:w="28" w:type="dxa"/>
          <w:right w:w="28" w:type="dxa"/>
        </w:tblCellMar>
      </w:tblPr>
      <w:tblGrid>
        <w:gridCol w:w="1035"/>
        <w:gridCol w:w="909"/>
        <w:gridCol w:w="920"/>
        <w:gridCol w:w="109"/>
        <w:gridCol w:w="109"/>
        <w:gridCol w:w="109"/>
        <w:gridCol w:w="414"/>
        <w:gridCol w:w="414"/>
        <w:gridCol w:w="416"/>
        <w:gridCol w:w="109"/>
        <w:gridCol w:w="109"/>
        <w:gridCol w:w="109"/>
        <w:gridCol w:w="970"/>
        <w:gridCol w:w="970"/>
        <w:gridCol w:w="1374"/>
      </w:tblGrid>
      <w:tr>
        <w:trPr/>
        <w:tc>
          <w:tcPr>
            <w:tcW w:w="103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ANGO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tc>
      </w:tr>
    </w:tbl>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None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(Title of Class)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pPr>
      <w:r>
        <w:rPr>
          <w:rFonts w:ascii="Times New Roman;sans-serif" w:hAnsi="Times New Roman;sans-serif"/>
          <w:b w:val="false"/>
          <w:color w:val="000000"/>
          <w:sz w:val="20"/>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283"/>
        <w:ind w:left="0" w:right="0" w:firstLine="495"/>
        <w:jc w:val="left"/>
        <w:rPr/>
      </w:pPr>
      <w:r>
        <w:rPr>
          <w:rFonts w:ascii="Times New Roman;sans-serif" w:hAnsi="Times New Roman;sans-serif"/>
          <w:b w:val="false"/>
          <w:color w:val="000000"/>
          <w:sz w:val="20"/>
        </w:rPr>
        <w:t>Indicate by check mark if the registrant is not required to file reports pursuant to Section 13 or 15(d) of the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283"/>
        <w:ind w:left="0" w:right="0" w:firstLine="495"/>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283"/>
        <w:ind w:left="0" w:right="0" w:firstLine="495"/>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6316"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Registrant’s classes of common stock, as of the latest practicable date.</w:t>
      </w:r>
    </w:p>
    <w:tbl>
      <w:tblPr>
        <w:tblW w:w="5487" w:type="dxa"/>
        <w:jc w:val="left"/>
        <w:tblInd w:w="0" w:type="dxa"/>
        <w:tblLayout w:type="fixed"/>
        <w:tblCellMar>
          <w:top w:w="28" w:type="dxa"/>
          <w:left w:w="28" w:type="dxa"/>
          <w:bottom w:w="28" w:type="dxa"/>
          <w:right w:w="28" w:type="dxa"/>
        </w:tblCellMar>
      </w:tblPr>
      <w:tblGrid>
        <w:gridCol w:w="979"/>
        <w:gridCol w:w="865"/>
        <w:gridCol w:w="871"/>
        <w:gridCol w:w="109"/>
        <w:gridCol w:w="109"/>
        <w:gridCol w:w="109"/>
        <w:gridCol w:w="714"/>
        <w:gridCol w:w="714"/>
        <w:gridCol w:w="1017"/>
      </w:tblGrid>
      <w:tr>
        <w:trPr/>
        <w:tc>
          <w:tcPr>
            <w:tcW w:w="97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Outstanding as of April 8, 2024</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40,054,533</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AngioDynamics, Inc. and Subsidiaries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8911" w:type="dxa"/>
        <w:jc w:val="left"/>
        <w:tblInd w:w="0" w:type="dxa"/>
        <w:tblLayout w:type="fixed"/>
        <w:tblCellMar>
          <w:top w:w="28" w:type="dxa"/>
          <w:left w:w="28" w:type="dxa"/>
          <w:bottom w:w="28" w:type="dxa"/>
          <w:right w:w="28" w:type="dxa"/>
        </w:tblCellMar>
      </w:tblPr>
      <w:tblGrid>
        <w:gridCol w:w="304"/>
        <w:gridCol w:w="267"/>
        <w:gridCol w:w="270"/>
        <w:gridCol w:w="2518"/>
        <w:gridCol w:w="2518"/>
        <w:gridCol w:w="2523"/>
        <w:gridCol w:w="149"/>
        <w:gridCol w:w="149"/>
        <w:gridCol w:w="213"/>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5a3d6d1271f4233b4510962f5d08ad9_10">
              <w:r>
                <w:rPr>
                  <w:rStyle w:val="InternetLink"/>
                  <w:rFonts w:ascii="Times New Roman;sans-serif" w:hAnsi="Times New Roman;sans-serif"/>
                  <w:b/>
                  <w:color w:val="0000FF"/>
                  <w:sz w:val="20"/>
                  <w:u w:val="single"/>
                </w:rPr>
                <w:t>Part I: 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a3d6d1271f4233b4510962f5d08ad9_13">
              <w:r>
                <w:rPr>
                  <w:rStyle w:val="InternetLink"/>
                  <w:rFonts w:ascii="Times New Roman;sans-serif" w:hAnsi="Times New Roman;sans-serif"/>
                  <w:b/>
                  <w:color w:val="0000FF"/>
                  <w:sz w:val="20"/>
                  <w:u w:val="singl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a3d6d1271f4233b4510962f5d08ad9_16">
              <w:r>
                <w:rPr>
                  <w:rStyle w:val="InternetLink"/>
                  <w:rFonts w:ascii="Times New Roman;sans-serif" w:hAnsi="Times New Roman;sans-serif"/>
                  <w:b w:val="false"/>
                  <w:color w:val="0000FF"/>
                  <w:sz w:val="20"/>
                  <w:u w:val="single"/>
                </w:rPr>
                <w:t>Consolidated Statements of Operations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a3d6d1271f4233b4510962f5d08ad9_16">
              <w:r>
                <w:rPr>
                  <w:rStyle w:val="InternetLink"/>
                  <w:rFonts w:ascii="Times New Roman;sans-serif" w:hAnsi="Times New Roman;sans-serif"/>
                  <w:b w:val="false"/>
                  <w:color w:val="0000FF"/>
                  <w:sz w:val="20"/>
                  <w:u w:val="single"/>
                </w:rPr>
                <w:t>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a3d6d1271f4233b4510962f5d08ad9_19">
              <w:r>
                <w:rPr>
                  <w:rStyle w:val="InternetLink"/>
                  <w:rFonts w:ascii="Times New Roman;sans-serif" w:hAnsi="Times New Roman;sans-serif"/>
                  <w:b w:val="false"/>
                  <w:color w:val="0000FF"/>
                  <w:sz w:val="20"/>
                  <w:u w:val="single"/>
                </w:rPr>
                <w:t>Consolidated Statements of Comprehensive Loss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a3d6d1271f4233b4510962f5d08ad9_19">
              <w:r>
                <w:rPr>
                  <w:rStyle w:val="InternetLink"/>
                  <w:rFonts w:ascii="Times New Roman;sans-serif" w:hAnsi="Times New Roman;sans-serif"/>
                  <w:b w:val="false"/>
                  <w:color w:val="0000FF"/>
                  <w:sz w:val="20"/>
                  <w:u w:val="single"/>
                </w:rPr>
                <w:t>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a3d6d1271f4233b4510962f5d08ad9_22">
              <w:r>
                <w:rPr>
                  <w:rStyle w:val="InternetLink"/>
                  <w:rFonts w:ascii="Times New Roman;sans-serif" w:hAnsi="Times New Roman;sans-serif"/>
                  <w:b w:val="false"/>
                  <w:color w:val="0000FF"/>
                  <w:sz w:val="20"/>
                  <w:u w:val="single"/>
                </w:rPr>
                <w:t>Consolidated Balance Sheets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a3d6d1271f4233b4510962f5d08ad9_22">
              <w:r>
                <w:rPr>
                  <w:rStyle w:val="InternetLink"/>
                  <w:rFonts w:ascii="Times New Roman;sans-serif" w:hAnsi="Times New Roman;sans-serif"/>
                  <w:b w:val="false"/>
                  <w:color w:val="0000FF"/>
                  <w:sz w:val="20"/>
                  <w:u w:val="single"/>
                </w:rPr>
                <w:t>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a3d6d1271f4233b4510962f5d08ad9_25">
              <w:r>
                <w:rPr>
                  <w:rStyle w:val="InternetLink"/>
                  <w:rFonts w:ascii="Times New Roman;sans-serif" w:hAnsi="Times New Roman;sans-serif"/>
                  <w:b w:val="false"/>
                  <w:color w:val="0000FF"/>
                  <w:sz w:val="20"/>
                  <w:u w:val="single"/>
                </w:rPr>
                <w:t>Consolidated Statements of Cash Flows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a3d6d1271f4233b4510962f5d08ad9_25">
              <w:r>
                <w:rPr>
                  <w:rStyle w:val="InternetLink"/>
                  <w:rFonts w:ascii="Times New Roman;sans-serif" w:hAnsi="Times New Roman;sans-serif"/>
                  <w:b w:val="false"/>
                  <w:color w:val="0000FF"/>
                  <w:sz w:val="20"/>
                  <w:u w:val="single"/>
                </w:rPr>
                <w:t>6</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a3d6d1271f4233b4510962f5d08ad9_28">
              <w:r>
                <w:rPr>
                  <w:rStyle w:val="InternetLink"/>
                  <w:rFonts w:ascii="Times New Roman;sans-serif" w:hAnsi="Times New Roman;sans-serif"/>
                  <w:b w:val="false"/>
                  <w:color w:val="0000FF"/>
                  <w:sz w:val="20"/>
                  <w:u w:val="single"/>
                </w:rPr>
                <w:t>Consolidated Statements of Stockholders’ Equity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a3d6d1271f4233b4510962f5d08ad9_28">
              <w:r>
                <w:rPr>
                  <w:rStyle w:val="InternetLink"/>
                  <w:rFonts w:ascii="Times New Roman;sans-serif" w:hAnsi="Times New Roman;sans-serif"/>
                  <w:b w:val="false"/>
                  <w:color w:val="0000FF"/>
                  <w:sz w:val="20"/>
                  <w:u w:val="single"/>
                </w:rPr>
                <w:t>7</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a3d6d1271f4233b4510962f5d08ad9_31">
              <w:r>
                <w:rPr>
                  <w:rStyle w:val="InternetLink"/>
                  <w:rFonts w:ascii="Times New Roman;sans-serif" w:hAnsi="Times New Roman;sans-serif"/>
                  <w:b w:val="false"/>
                  <w:color w:val="0000FF"/>
                  <w:sz w:val="20"/>
                  <w:u w:val="single"/>
                </w:rPr>
                <w:t>Notes to Consolidated 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a3d6d1271f4233b4510962f5d08ad9_31">
              <w:r>
                <w:rPr>
                  <w:rStyle w:val="InternetLink"/>
                  <w:rFonts w:ascii="Times New Roman;sans-serif" w:hAnsi="Times New Roman;sans-serif"/>
                  <w:b w:val="false"/>
                  <w:color w:val="0000FF"/>
                  <w:sz w:val="20"/>
                  <w:u w:val="single"/>
                </w:rPr>
                <w:t>9</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a3d6d1271f4233b4510962f5d08ad9_88">
              <w:r>
                <w:rPr>
                  <w:rStyle w:val="InternetLink"/>
                  <w:rFonts w:ascii="Times New Roman;sans-serif" w:hAnsi="Times New Roman;sans-serif"/>
                  <w:b/>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a3d6d1271f4233b4510962f5d08ad9_88">
              <w:r>
                <w:rPr>
                  <w:rStyle w:val="InternetLink"/>
                  <w:rFonts w:ascii="Times New Roman;sans-serif" w:hAnsi="Times New Roman;sans-serif"/>
                  <w:b w:val="false"/>
                  <w:color w:val="0000FF"/>
                  <w:sz w:val="20"/>
                  <w:u w:val="single"/>
                </w:rPr>
                <w:t>24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a3d6d1271f4233b4510962f5d08ad9_91">
              <w:r>
                <w:rPr>
                  <w:rStyle w:val="InternetLink"/>
                  <w:rFonts w:ascii="Times New Roman;sans-serif" w:hAnsi="Times New Roman;sans-serif"/>
                  <w:b/>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a3d6d1271f4233b4510962f5d08ad9_91">
              <w:r>
                <w:rPr>
                  <w:rStyle w:val="InternetLink"/>
                  <w:rFonts w:ascii="Times New Roman;sans-serif" w:hAnsi="Times New Roman;sans-serif"/>
                  <w:b w:val="false"/>
                  <w:color w:val="0000FF"/>
                  <w:sz w:val="20"/>
                  <w:u w:val="single"/>
                </w:rPr>
                <w:t>33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a3d6d1271f4233b4510962f5d08ad9_94">
              <w:r>
                <w:rPr>
                  <w:rStyle w:val="InternetLink"/>
                  <w:rFonts w:ascii="Times New Roman;sans-serif" w:hAnsi="Times New Roman;sans-serif"/>
                  <w:b/>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a3d6d1271f4233b4510962f5d08ad9_94">
              <w:r>
                <w:rPr>
                  <w:rStyle w:val="InternetLink"/>
                  <w:rFonts w:ascii="Times New Roman;sans-serif" w:hAnsi="Times New Roman;sans-serif"/>
                  <w:b w:val="false"/>
                  <w:color w:val="0000FF"/>
                  <w:sz w:val="20"/>
                  <w:u w:val="single"/>
                </w:rPr>
                <w:t>34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5a3d6d1271f4233b4510962f5d08ad9_97">
              <w:r>
                <w:rPr>
                  <w:rStyle w:val="InternetLink"/>
                  <w:rFonts w:ascii="Times New Roman;sans-serif" w:hAnsi="Times New Roman;sans-serif"/>
                  <w:b/>
                  <w:color w:val="0000FF"/>
                  <w:sz w:val="20"/>
                  <w:u w:val="single"/>
                </w:rPr>
                <w:t>Part II: 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a3d6d1271f4233b4510962f5d08ad9_100">
              <w:r>
                <w:rPr>
                  <w:rStyle w:val="InternetLink"/>
                  <w:rFonts w:ascii="Times New Roman;sans-serif" w:hAnsi="Times New Roman;sans-serif"/>
                  <w:b/>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a3d6d1271f4233b4510962f5d08ad9_100">
              <w:r>
                <w:rPr>
                  <w:rStyle w:val="InternetLink"/>
                  <w:rFonts w:ascii="Times New Roman;sans-serif" w:hAnsi="Times New Roman;sans-serif"/>
                  <w:b w:val="false"/>
                  <w:color w:val="0000FF"/>
                  <w:sz w:val="20"/>
                  <w:u w:val="single"/>
                </w:rPr>
                <w:t>35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1A.</w:t>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a3d6d1271f4233b4510962f5d08ad9_103">
              <w:r>
                <w:rPr>
                  <w:rStyle w:val="InternetLink"/>
                  <w:rFonts w:ascii="Times New Roman;sans-serif" w:hAnsi="Times New Roman;sans-serif"/>
                  <w:b/>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a3d6d1271f4233b4510962f5d08ad9_103">
              <w:r>
                <w:rPr>
                  <w:rStyle w:val="InternetLink"/>
                  <w:rFonts w:ascii="Times New Roman;sans-serif" w:hAnsi="Times New Roman;sans-serif"/>
                  <w:b w:val="false"/>
                  <w:color w:val="0000FF"/>
                  <w:sz w:val="20"/>
                  <w:u w:val="single"/>
                </w:rPr>
                <w:t>35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a3d6d1271f4233b4510962f5d08ad9_106">
              <w:r>
                <w:rPr>
                  <w:rStyle w:val="InternetLink"/>
                  <w:rFonts w:ascii="Times New Roman;sans-serif" w:hAnsi="Times New Roman;sans-serif"/>
                  <w:b/>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a3d6d1271f4233b4510962f5d08ad9_106">
              <w:r>
                <w:rPr>
                  <w:rStyle w:val="InternetLink"/>
                  <w:rFonts w:ascii="Times New Roman;sans-serif" w:hAnsi="Times New Roman;sans-serif"/>
                  <w:b w:val="false"/>
                  <w:color w:val="0000FF"/>
                  <w:sz w:val="20"/>
                  <w:u w:val="single"/>
                </w:rPr>
                <w:t>35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a3d6d1271f4233b4510962f5d08ad9_109">
              <w:r>
                <w:rPr>
                  <w:rStyle w:val="InternetLink"/>
                  <w:rFonts w:ascii="Times New Roman;sans-serif" w:hAnsi="Times New Roman;sans-serif"/>
                  <w:b/>
                  <w:color w:val="0000FF"/>
                  <w:sz w:val="20"/>
                  <w:u w:val="single"/>
                </w:rPr>
                <w:t>Defaults 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a3d6d1271f4233b4510962f5d08ad9_109">
              <w:r>
                <w:rPr>
                  <w:rStyle w:val="InternetLink"/>
                  <w:rFonts w:ascii="Times New Roman;sans-serif" w:hAnsi="Times New Roman;sans-serif"/>
                  <w:b w:val="false"/>
                  <w:color w:val="0000FF"/>
                  <w:sz w:val="20"/>
                  <w:u w:val="single"/>
                </w:rPr>
                <w:t>35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a3d6d1271f4233b4510962f5d08ad9_112">
              <w:r>
                <w:rPr>
                  <w:rStyle w:val="InternetLink"/>
                  <w:rFonts w:ascii="Times New Roman;sans-serif" w:hAnsi="Times New Roman;sans-serif"/>
                  <w:b/>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a3d6d1271f4233b4510962f5d08ad9_112">
              <w:r>
                <w:rPr>
                  <w:rStyle w:val="InternetLink"/>
                  <w:rFonts w:ascii="Times New Roman;sans-serif" w:hAnsi="Times New Roman;sans-serif"/>
                  <w:b w:val="false"/>
                  <w:color w:val="0000FF"/>
                  <w:sz w:val="20"/>
                  <w:u w:val="single"/>
                </w:rPr>
                <w:t>35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5.</w:t>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a3d6d1271f4233b4510962f5d08ad9_115">
              <w:r>
                <w:rPr>
                  <w:rStyle w:val="InternetLink"/>
                  <w:rFonts w:ascii="Times New Roman;sans-serif" w:hAnsi="Times New Roman;sans-serif"/>
                  <w:b/>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a3d6d1271f4233b4510962f5d08ad9_115">
              <w:r>
                <w:rPr>
                  <w:rStyle w:val="InternetLink"/>
                  <w:rFonts w:ascii="Times New Roman;sans-serif" w:hAnsi="Times New Roman;sans-serif"/>
                  <w:b w:val="false"/>
                  <w:color w:val="0000FF"/>
                  <w:sz w:val="20"/>
                  <w:u w:val="single"/>
                </w:rPr>
                <w:t>35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6.</w:t>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a3d6d1271f4233b4510962f5d08ad9_118">
              <w:r>
                <w:rPr>
                  <w:rStyle w:val="InternetLink"/>
                  <w:rFonts w:ascii="Times New Roman;sans-serif" w:hAnsi="Times New Roman;sans-serif"/>
                  <w:b/>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a3d6d1271f4233b4510962f5d08ad9_118">
              <w:r>
                <w:rPr>
                  <w:rStyle w:val="InternetLink"/>
                  <w:rFonts w:ascii="Times New Roman;sans-serif" w:hAnsi="Times New Roman;sans-serif"/>
                  <w:b w:val="false"/>
                  <w:color w:val="0000FF"/>
                  <w:sz w:val="20"/>
                  <w:u w:val="single"/>
                </w:rPr>
                <w:t>37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1.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AngioDynamics, Inc. and Subsidiaries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dollars, except per share data)</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26"/>
        <w:gridCol w:w="1338"/>
        <w:gridCol w:w="1363"/>
        <w:gridCol w:w="109"/>
        <w:gridCol w:w="109"/>
        <w:gridCol w:w="109"/>
        <w:gridCol w:w="211"/>
        <w:gridCol w:w="898"/>
        <w:gridCol w:w="109"/>
        <w:gridCol w:w="109"/>
        <w:gridCol w:w="109"/>
        <w:gridCol w:w="109"/>
        <w:gridCol w:w="211"/>
        <w:gridCol w:w="721"/>
        <w:gridCol w:w="109"/>
        <w:gridCol w:w="109"/>
        <w:gridCol w:w="109"/>
        <w:gridCol w:w="109"/>
        <w:gridCol w:w="211"/>
        <w:gridCol w:w="898"/>
        <w:gridCol w:w="109"/>
        <w:gridCol w:w="109"/>
        <w:gridCol w:w="109"/>
        <w:gridCol w:w="109"/>
        <w:gridCol w:w="211"/>
        <w:gridCol w:w="826"/>
        <w:gridCol w:w="156"/>
      </w:tblGrid>
      <w:tr>
        <w:trPr/>
        <w:tc>
          <w:tcPr>
            <w:tcW w:w="152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sales (exclusive of intangible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restructuring and other items,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158,231 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AngioDynamics, Inc. and Subsidiaries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COMPREHENSIVE LOSS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dollars)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43"/>
        <w:gridCol w:w="1337"/>
        <w:gridCol w:w="1362"/>
        <w:gridCol w:w="109"/>
        <w:gridCol w:w="109"/>
        <w:gridCol w:w="109"/>
        <w:gridCol w:w="211"/>
        <w:gridCol w:w="884"/>
        <w:gridCol w:w="109"/>
        <w:gridCol w:w="109"/>
        <w:gridCol w:w="109"/>
        <w:gridCol w:w="109"/>
        <w:gridCol w:w="211"/>
        <w:gridCol w:w="779"/>
        <w:gridCol w:w="109"/>
        <w:gridCol w:w="109"/>
        <w:gridCol w:w="109"/>
        <w:gridCol w:w="109"/>
        <w:gridCol w:w="211"/>
        <w:gridCol w:w="884"/>
        <w:gridCol w:w="109"/>
        <w:gridCol w:w="109"/>
        <w:gridCol w:w="109"/>
        <w:gridCol w:w="109"/>
        <w:gridCol w:w="211"/>
        <w:gridCol w:w="779"/>
        <w:gridCol w:w="158"/>
      </w:tblGrid>
      <w:tr>
        <w:trPr/>
        <w:tc>
          <w:tcPr>
            <w:tcW w:w="154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4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related to items of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(36,182)</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AngioDynamics,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dollars, except share data)</w:t>
      </w:r>
    </w:p>
    <w:tbl>
      <w:tblPr>
        <w:tblW w:w="10205" w:type="dxa"/>
        <w:jc w:val="center"/>
        <w:tblInd w:w="0" w:type="dxa"/>
        <w:tblLayout w:type="fixed"/>
        <w:tblCellMar>
          <w:top w:w="28" w:type="dxa"/>
          <w:left w:w="28" w:type="dxa"/>
          <w:bottom w:w="28" w:type="dxa"/>
          <w:right w:w="28" w:type="dxa"/>
        </w:tblCellMar>
      </w:tblPr>
      <w:tblGrid>
        <w:gridCol w:w="2868"/>
        <w:gridCol w:w="2368"/>
        <w:gridCol w:w="2304"/>
        <w:gridCol w:w="211"/>
        <w:gridCol w:w="826"/>
        <w:gridCol w:w="109"/>
        <w:gridCol w:w="109"/>
        <w:gridCol w:w="109"/>
        <w:gridCol w:w="109"/>
        <w:gridCol w:w="211"/>
        <w:gridCol w:w="826"/>
        <w:gridCol w:w="155"/>
      </w:tblGrid>
      <w:tr>
        <w:trPr/>
        <w:tc>
          <w:tcPr>
            <w:tcW w:w="28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31, 2023</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 of $2,560 and $2,150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held for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163,542 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 held for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154,341 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14)</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par value $0.01 per share, 5,000,000 shares authorized; no shares issued and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 75,000,000 shares authorized; 40,794,533 and 39,981,422 shares issued and 40,424,533 and 39,611,422 shares outstanding at February 29, 2024 and May 31, 2023,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Accumulated deficit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(210,855)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370,000 shares at February 29, 2024 and May 31, 2023,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532,637 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AngioDynamics, Inc. and Subsidiaries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dollars)</w:t>
      </w:r>
    </w:p>
    <w:tbl>
      <w:tblPr>
        <w:tblW w:w="8859" w:type="dxa"/>
        <w:jc w:val="center"/>
        <w:tblInd w:w="0" w:type="dxa"/>
        <w:tblLayout w:type="fixed"/>
        <w:tblCellMar>
          <w:top w:w="28" w:type="dxa"/>
          <w:left w:w="28" w:type="dxa"/>
          <w:bottom w:w="28" w:type="dxa"/>
          <w:right w:w="28" w:type="dxa"/>
        </w:tblCellMar>
      </w:tblPr>
      <w:tblGrid>
        <w:gridCol w:w="2224"/>
        <w:gridCol w:w="1956"/>
        <w:gridCol w:w="1970"/>
        <w:gridCol w:w="211"/>
        <w:gridCol w:w="901"/>
        <w:gridCol w:w="109"/>
        <w:gridCol w:w="109"/>
        <w:gridCol w:w="109"/>
        <w:gridCol w:w="109"/>
        <w:gridCol w:w="211"/>
        <w:gridCol w:w="796"/>
        <w:gridCol w:w="154"/>
      </w:tblGrid>
      <w:tr>
        <w:trPr/>
        <w:tc>
          <w:tcPr>
            <w:tcW w:w="2224"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 of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for disposition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 on indefinite-lived intangible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accounts receivable allowances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and intangible asset impairments and disposals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Write-off of other assets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and other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plant and equipment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placement and evaluation units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intangibles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long-term debt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borrowings on long-term debt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on long-term debt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of acquisition related contingent consideration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 and employee stock purchase plan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cash and cash equivalents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investing and financing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 for capital expenditures incurred during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AngioDynamics, Inc. and Subsidiaries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dollars, except share data)</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11500" w:type="dxa"/>
        <w:jc w:val="left"/>
        <w:tblInd w:w="0" w:type="dxa"/>
        <w:tblLayout w:type="fixed"/>
        <w:tblCellMar>
          <w:top w:w="28" w:type="dxa"/>
          <w:left w:w="28" w:type="dxa"/>
          <w:bottom w:w="28" w:type="dxa"/>
          <w:right w:w="28" w:type="dxa"/>
        </w:tblCellMar>
      </w:tblPr>
      <w:tblGrid>
        <w:gridCol w:w="726"/>
        <w:gridCol w:w="229"/>
        <w:gridCol w:w="231"/>
        <w:gridCol w:w="480"/>
        <w:gridCol w:w="481"/>
        <w:gridCol w:w="186"/>
        <w:gridCol w:w="109"/>
        <w:gridCol w:w="109"/>
        <w:gridCol w:w="109"/>
        <w:gridCol w:w="196"/>
        <w:gridCol w:w="421"/>
        <w:gridCol w:w="109"/>
        <w:gridCol w:w="109"/>
        <w:gridCol w:w="109"/>
        <w:gridCol w:w="109"/>
        <w:gridCol w:w="196"/>
        <w:gridCol w:w="736"/>
        <w:gridCol w:w="109"/>
        <w:gridCol w:w="109"/>
        <w:gridCol w:w="109"/>
        <w:gridCol w:w="109"/>
        <w:gridCol w:w="196"/>
        <w:gridCol w:w="751"/>
        <w:gridCol w:w="109"/>
        <w:gridCol w:w="109"/>
        <w:gridCol w:w="109"/>
        <w:gridCol w:w="109"/>
        <w:gridCol w:w="258"/>
        <w:gridCol w:w="753"/>
        <w:gridCol w:w="145"/>
        <w:gridCol w:w="109"/>
        <w:gridCol w:w="109"/>
        <w:gridCol w:w="109"/>
        <w:gridCol w:w="375"/>
        <w:gridCol w:w="376"/>
        <w:gridCol w:w="186"/>
        <w:gridCol w:w="109"/>
        <w:gridCol w:w="109"/>
        <w:gridCol w:w="109"/>
        <w:gridCol w:w="196"/>
        <w:gridCol w:w="571"/>
        <w:gridCol w:w="109"/>
        <w:gridCol w:w="109"/>
        <w:gridCol w:w="109"/>
        <w:gridCol w:w="109"/>
        <w:gridCol w:w="196"/>
        <w:gridCol w:w="73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 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May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39,981,422 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(4,723)</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Issuance/Cancellation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386,031 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Issuance/Cancellation of performance share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87,377 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common stock under ESPP</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August 31, 2023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40,586,641 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(5,653)</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427,804 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Issuance/Cancellation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Issuance/Cancellation of performance share units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November 30, 2023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40,594,406 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(194,019)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(4,708)</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401,226 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Issuance/Cancellation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49,701 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common stock under ESPP</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150,426 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February 29, 2024</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40,794,533 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608,588 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(381,755)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(2,806)</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218,698 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tbl>
      <w:tblPr>
        <w:tblW w:w="11500" w:type="dxa"/>
        <w:jc w:val="left"/>
        <w:tblInd w:w="0" w:type="dxa"/>
        <w:tblLayout w:type="fixed"/>
        <w:tblCellMar>
          <w:top w:w="28" w:type="dxa"/>
          <w:left w:w="28" w:type="dxa"/>
          <w:bottom w:w="28" w:type="dxa"/>
          <w:right w:w="28" w:type="dxa"/>
        </w:tblCellMar>
      </w:tblPr>
      <w:tblGrid>
        <w:gridCol w:w="726"/>
        <w:gridCol w:w="229"/>
        <w:gridCol w:w="231"/>
        <w:gridCol w:w="480"/>
        <w:gridCol w:w="481"/>
        <w:gridCol w:w="186"/>
        <w:gridCol w:w="109"/>
        <w:gridCol w:w="109"/>
        <w:gridCol w:w="109"/>
        <w:gridCol w:w="196"/>
        <w:gridCol w:w="421"/>
        <w:gridCol w:w="109"/>
        <w:gridCol w:w="109"/>
        <w:gridCol w:w="109"/>
        <w:gridCol w:w="109"/>
        <w:gridCol w:w="196"/>
        <w:gridCol w:w="736"/>
        <w:gridCol w:w="109"/>
        <w:gridCol w:w="109"/>
        <w:gridCol w:w="109"/>
        <w:gridCol w:w="109"/>
        <w:gridCol w:w="196"/>
        <w:gridCol w:w="751"/>
        <w:gridCol w:w="109"/>
        <w:gridCol w:w="109"/>
        <w:gridCol w:w="109"/>
        <w:gridCol w:w="109"/>
        <w:gridCol w:w="258"/>
        <w:gridCol w:w="753"/>
        <w:gridCol w:w="145"/>
        <w:gridCol w:w="109"/>
        <w:gridCol w:w="109"/>
        <w:gridCol w:w="109"/>
        <w:gridCol w:w="375"/>
        <w:gridCol w:w="376"/>
        <w:gridCol w:w="186"/>
        <w:gridCol w:w="109"/>
        <w:gridCol w:w="109"/>
        <w:gridCol w:w="109"/>
        <w:gridCol w:w="196"/>
        <w:gridCol w:w="571"/>
        <w:gridCol w:w="109"/>
        <w:gridCol w:w="109"/>
        <w:gridCol w:w="109"/>
        <w:gridCol w:w="109"/>
        <w:gridCol w:w="196"/>
        <w:gridCol w:w="73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 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May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39,541,173 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424,489 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Issuance/Cancellation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213,241 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Issuance/Cancellation of performance share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29,826 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common stock under ESPP</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56,894 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August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39,847,751 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414,041 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Issuance/Cancellation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November 30,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39,874,144 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407,958 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(9,485)</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Issuance/Cancellation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common stock under ESPP</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92,884 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February 28, 2023</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39,976,422 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397,655 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AngioDynamics, Inc. and Subsidiaries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 CONSOLIDATED FINANCIAL STATEMENTS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Statements of Operations and the Consolidated Statements of Comprehensive Income (Loss) for the three and nine months ended February 29, 2024 and February 28, 2023, the Consolidated Balance Sheet as of February 29, 2024, the Consolidated Statements of Cash Flows for the nine months ended February 29, 2024 and February 28, 2023, and the Consolidated Statements of Stockholders’ Equity for the nine months ended February 29, 2024 and February 28, 2023 have been prepared by the Company and are unaudited. The Consolidated Balance Sheet as of May 31, 2023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February 29, 2024 (and for all periods presented) have been made.</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interim consolidated financial statements for the three and nine months ended February 29, 2024 and February 28, 2023 include the accounts of AngioDynamics, Inc. and its wholly owned subsidiaries (collectively, the "Company", "we", "our" or "us"). All intercompany balances and transactions have been eliminated.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2. DIVESTITURES</w:t>
      </w:r>
    </w:p>
    <w:p>
      <w:pPr>
        <w:pStyle w:val="TextBody"/>
        <w:bidi w:val="0"/>
        <w:spacing w:lineRule="auto" w:line="288" w:before="240" w:after="180"/>
        <w:jc w:val="left"/>
        <w:rPr>
          <w:rFonts w:ascii="Times New Roman;sans-serif" w:hAnsi="Times New Roman;sans-serif"/>
          <w:b/>
          <w:i/>
          <w:color w:val="000000"/>
          <w:sz w:val="20"/>
        </w:rPr>
      </w:pPr>
      <w:r>
        <w:rPr>
          <w:rFonts w:ascii="Times New Roman;sans-serif" w:hAnsi="Times New Roman;sans-serif"/>
          <w:b/>
          <w:i/>
          <w:color w:val="000000"/>
          <w:sz w:val="20"/>
        </w:rPr>
        <w:t>PICCs and Midlines</w:t>
      </w:r>
    </w:p>
    <w:p>
      <w:pPr>
        <w:pStyle w:val="TextBody"/>
        <w:bidi w:val="0"/>
        <w:spacing w:lineRule="auto" w:line="288" w:before="24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an asset purchase agreement dated February 15, 2024 (the "Asset Purchase Agreement"), the Company completed the sale of the PICC and Midline businesses (the "Divestiture") to Spectrum Vascular ("Spectrum"). Total consideration received by the Company for the Divestiture in the third quarter of fiscal year 2024 was $34.5 million in cash and resulted in a pre-tax book gain of $6.7 million. Included in the agreement is a $5.5 million earn-out related to the sales of divested products over a two year period and a milestone payment of $5.0 million paid upon final transfer of the manufacturing to a third-party. </w:t>
      </w:r>
    </w:p>
    <w:p>
      <w:pPr>
        <w:pStyle w:val="TextBody"/>
        <w:bidi w:val="0"/>
        <w:spacing w:lineRule="auto" w:line="288" w:before="24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Spectrum entered into various agreements to facilitate the transition of the divested businesses to Spectrum, including a Transition Services Agreement and Contract Manufacturing Agreement. The Company determined that the sale of the businesses did not constitute a strategic shift that had a major effect on the Company's operations or financial results and as a result, this transaction will not be classified as discontinued operations. </w:t>
      </w:r>
    </w:p>
    <w:p>
      <w:pPr>
        <w:pStyle w:val="TextBody"/>
        <w:bidi w:val="0"/>
        <w:spacing w:lineRule="auto" w:line="288" w:before="24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major classes of assets sold on the date of the sale:</w:t>
      </w:r>
    </w:p>
    <w:tbl>
      <w:tblPr>
        <w:tblW w:w="4799" w:type="dxa"/>
        <w:jc w:val="left"/>
        <w:tblInd w:w="0" w:type="dxa"/>
        <w:tblLayout w:type="fixed"/>
        <w:tblCellMar>
          <w:top w:w="28" w:type="dxa"/>
          <w:left w:w="28" w:type="dxa"/>
          <w:bottom w:w="28" w:type="dxa"/>
          <w:right w:w="28" w:type="dxa"/>
        </w:tblCellMar>
      </w:tblPr>
      <w:tblGrid>
        <w:gridCol w:w="1061"/>
        <w:gridCol w:w="931"/>
        <w:gridCol w:w="932"/>
        <w:gridCol w:w="364"/>
        <w:gridCol w:w="1245"/>
        <w:gridCol w:w="266"/>
      </w:tblGrid>
      <w:tr>
        <w:trPr/>
        <w:tc>
          <w:tcPr>
            <w:tcW w:w="106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As of February 15, 2024</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current assets</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8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non-current assets </w:t>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20,979 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Dialysis and BioSentry</w:t>
      </w:r>
    </w:p>
    <w:p>
      <w:pPr>
        <w:pStyle w:val="TextBody"/>
        <w:bidi w:val="0"/>
        <w:spacing w:lineRule="auto" w:line="288" w:before="24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an asset purchase agreement dated June 8, 2023 (the "Asset Purchase Agreement"), the Company completed the sale of the dialysis and BioSentry tract sealant system biopsy businesses (the "Divestiture") to Merit Medical Systems, Inc. ("Merit"). Total consideration received by the Company for the Divestiture in the first quarter of fiscal year 2024 was $100.0 million in cash and resulted in a pre-tax book gain of $47.8 million.</w:t>
      </w:r>
    </w:p>
    <w:p>
      <w:pPr>
        <w:pStyle w:val="TextBody"/>
        <w:bidi w:val="0"/>
        <w:spacing w:lineRule="auto" w:line="288" w:before="24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Merit entered into various agreements to facilitate the transition of the divested businesses to Merit, including a Transition Services Agreement and Contract Manufacturing Agreement. The Company determined that the sale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24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businesses did not constitute a strategic shift that had a major effect on the Company's operations or financial results and as a result, this transaction will not be classified as discontinued operations. </w:t>
      </w:r>
    </w:p>
    <w:p>
      <w:pPr>
        <w:pStyle w:val="TextBody"/>
        <w:bidi w:val="0"/>
        <w:spacing w:lineRule="auto" w:line="288" w:before="24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major classes of assets sold on the date of the sale:</w:t>
      </w:r>
    </w:p>
    <w:tbl>
      <w:tblPr>
        <w:tblW w:w="4393" w:type="dxa"/>
        <w:jc w:val="left"/>
        <w:tblInd w:w="0" w:type="dxa"/>
        <w:tblLayout w:type="fixed"/>
        <w:tblCellMar>
          <w:top w:w="28" w:type="dxa"/>
          <w:left w:w="28" w:type="dxa"/>
          <w:bottom w:w="28" w:type="dxa"/>
          <w:right w:w="28" w:type="dxa"/>
        </w:tblCellMar>
      </w:tblPr>
      <w:tblGrid>
        <w:gridCol w:w="1060"/>
        <w:gridCol w:w="931"/>
        <w:gridCol w:w="933"/>
        <w:gridCol w:w="285"/>
        <w:gridCol w:w="976"/>
        <w:gridCol w:w="208"/>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As of June 8, 2023</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current assets</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non-current assets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43,663 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3. REVENUE FROM CONTRACTS WITH CUSTOMERS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0" w:after="180"/>
        <w:ind w:left="0" w:right="0" w:firstLine="450"/>
        <w:jc w:val="left"/>
        <w:rPr/>
      </w:pPr>
      <w:r>
        <w:rPr>
          <w:rFonts w:ascii="Times New Roman;sans-serif" w:hAnsi="Times New Roman;sans-serif"/>
          <w:b w:val="false"/>
          <w:color w:val="000000"/>
          <w:sz w:val="20"/>
        </w:rPr>
        <w:t xml:space="preserve">Under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one primary revenue stream which is the sales of its products.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bidi w:val="0"/>
        <w:spacing w:lineRule="auto" w:line="288" w:before="0" w:after="180"/>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net sales by Med Tech, Med Device and by geography:</w:t>
      </w:r>
    </w:p>
    <w:tbl>
      <w:tblPr>
        <w:tblW w:w="9035" w:type="dxa"/>
        <w:jc w:val="left"/>
        <w:tblInd w:w="0" w:type="dxa"/>
        <w:tblLayout w:type="fixed"/>
        <w:tblCellMar>
          <w:top w:w="28" w:type="dxa"/>
          <w:left w:w="28" w:type="dxa"/>
          <w:bottom w:w="28" w:type="dxa"/>
          <w:right w:w="28" w:type="dxa"/>
        </w:tblCellMar>
      </w:tblPr>
      <w:tblGrid>
        <w:gridCol w:w="402"/>
        <w:gridCol w:w="353"/>
        <w:gridCol w:w="35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 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 February 28, 2023</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Med Tech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 Device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55" w:type="dxa"/>
        <w:jc w:val="left"/>
        <w:tblInd w:w="0" w:type="dxa"/>
        <w:tblLayout w:type="fixed"/>
        <w:tblCellMar>
          <w:top w:w="28" w:type="dxa"/>
          <w:left w:w="28" w:type="dxa"/>
          <w:bottom w:w="28" w:type="dxa"/>
          <w:right w:w="28" w:type="dxa"/>
        </w:tblCellMar>
      </w:tblPr>
      <w:tblGrid>
        <w:gridCol w:w="402"/>
        <w:gridCol w:w="353"/>
        <w:gridCol w:w="354"/>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 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 February 28, 2023</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Med Tech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 Device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Net Product Revenue</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products consist of a wide range of medical, surgical and diagnostic devices used by professional healthcare providers for vascular access, for the treatment of peripheral vascular disease and for use in oncology and surgical settings. The Company's products are generally used in minimally invasive, image-guided procedures. Most of the Company's products are intended to be used once and then discarded, or they may be implanted for short or long term use. The Company sells its products to its distributors and to end users, such as interventional radiologists, interventional cardiologists, vascular surgeons, urologists, interventional and surgical oncologists and critical care nurses.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Contracts and Performance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Transaction Price and Allocation to Performance Obligations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prices of products are typically based on contracted rates. Product revenue is measured as the amount of consideration the Company expects to receive in exchange for transferring products to a customer, net of any variable consideration as described below.</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shipping terms of a contract.</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whether control has transferred, the Company considers if there is a present right to payment from the customer and when physical possession, legal title and risks and rewards of ownership have transferred to the customer.</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typically invoices customers upon satisfaction of identified performance obligations. As the Company’s standard payment terms are 30 to 90 days from invoicing, the Company does not provide any significant financing to its customers.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enters into agreements to place placement and evaluation units (“units”) at customer sites, but the Company retains title to the units. For the duration of these agreements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 between the disposal revenue and lease revenue due to the insignificant value of the units in relation to the total agreement value.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Sales, value add, and other taxes collected on behalf of third parties are excluded from revenue.</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Variable Consideration</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Reserves: Revenue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contra asset.</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Rebates and Allowances: 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expenses in the accompanying Consolidated Balance Sheets. These rebates and allowances result from performance-based offers that are primarily based on attaining contractually specified sales volumes. The Company is also required to pay administrative fees to group purchasing organizations.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Returns: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nine months ended February 29, 2024, such product returns were not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Contract Balances with Customers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changes in the Company’s receivables, contract assets and contract liabilities with customers:</w:t>
      </w:r>
    </w:p>
    <w:tbl>
      <w:tblPr>
        <w:tblW w:w="4157" w:type="dxa"/>
        <w:jc w:val="left"/>
        <w:tblInd w:w="0" w:type="dxa"/>
        <w:tblLayout w:type="fixed"/>
        <w:tblCellMar>
          <w:top w:w="28" w:type="dxa"/>
          <w:left w:w="28" w:type="dxa"/>
          <w:bottom w:w="28" w:type="dxa"/>
          <w:right w:w="28" w:type="dxa"/>
        </w:tblCellMar>
      </w:tblPr>
      <w:tblGrid>
        <w:gridCol w:w="597"/>
        <w:gridCol w:w="524"/>
        <w:gridCol w:w="529"/>
        <w:gridCol w:w="211"/>
        <w:gridCol w:w="721"/>
        <w:gridCol w:w="109"/>
        <w:gridCol w:w="109"/>
        <w:gridCol w:w="109"/>
        <w:gridCol w:w="109"/>
        <w:gridCol w:w="221"/>
        <w:gridCol w:w="757"/>
        <w:gridCol w:w="161"/>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May 31, 2023</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February 29, 2024, the Company had additions to contract liabilities of $0.6 million. This was offset by $0.3 million in revenue that was recognized during the nine months ended February 29, 2024.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Costs to Obtain or Fulfill a Customer Contract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ASC 606, the Company may recognize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and handling are recorded in net sales.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4. INVENTORIES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lower of cost and net realizable value (using the first-in, first-out method). Inventories consisted of the following:</w:t>
      </w:r>
    </w:p>
    <w:tbl>
      <w:tblPr>
        <w:tblW w:w="3931" w:type="dxa"/>
        <w:jc w:val="left"/>
        <w:tblInd w:w="0" w:type="dxa"/>
        <w:tblLayout w:type="fixed"/>
        <w:tblCellMar>
          <w:top w:w="28" w:type="dxa"/>
          <w:left w:w="28" w:type="dxa"/>
          <w:bottom w:w="28" w:type="dxa"/>
          <w:right w:w="28" w:type="dxa"/>
        </w:tblCellMar>
      </w:tblPr>
      <w:tblGrid>
        <w:gridCol w:w="517"/>
        <w:gridCol w:w="453"/>
        <w:gridCol w:w="454"/>
        <w:gridCol w:w="211"/>
        <w:gridCol w:w="721"/>
        <w:gridCol w:w="109"/>
        <w:gridCol w:w="109"/>
        <w:gridCol w:w="109"/>
        <w:gridCol w:w="109"/>
        <w:gridCol w:w="221"/>
        <w:gridCol w:w="757"/>
        <w:gridCol w:w="161"/>
      </w:tblGrid>
      <w:tr>
        <w:trPr/>
        <w:tc>
          <w:tcPr>
            <w:tcW w:w="51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31, 2023</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55,325 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periodically reviews inventory for both obsolescence and loss of value. The Company makes assumptions about the future demand for and market value of the inventory. Based on these assumptions, the Company estimates the amount of obsolete, expiring and slow-moving inventory. The total inventory reserve at February 29, 2024 and May 31, 2023 was $3.6 million and $3.1 million, respectively. </w:t>
      </w:r>
    </w:p>
    <w:p>
      <w:pPr>
        <w:pStyle w:val="TextBody"/>
        <w:bidi w:val="0"/>
        <w:spacing w:before="0" w:after="18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5. GOODWILL AND INTANGIBLE ASSETS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annual testing for impairment of goodwill was completed as of April 30, 2023. To determine the fair value of the two reporting units as of April 30, 2023, the Company utilized the income approach for Med Tech and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combination of the income approach and market approach for Med Device. Based on the results of this evaluation, there were no adjustments to goodwill for either reporting unit as of April 30, 2023.</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fiscal year 2023, the Company concluded that the sale of the dialysis and BioSentry businesses to Merit Medical Systems, Inc. was a triggering event for the Med Device reporting unit. As the Company concluded that this was the sale of a business, goodwill was allocated to the sale based on the relative fair value of the dialysis and BioSentry businesses and is included in assets held for sale as of May 31, 2023. To determine the fair value of the remaining Med Device reporting unit as of May 31, 2023, the Company utilized the income approach, as it was determined to be a better representation of the remaining Med Device reporting unit's projected long-term performance. Based on the results of this evaluation, the Company recorded a goodwill impairment charge of $14.5 million for the year ended May 31, 2023 to write down the carrying value of the Med Device reporting unit to fair value.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fiscal year 2024, the Company concluded that the sustained decline in our stock price was a triggering event for the Med Tech reporting unit. To determine the fair value of the remaining Med Tech reporting unit as of February 29, 2024, the Company utilized the income approach, as it was determined to be a better representation of the remaining Med Tech reporting unit's projected long-term performance. The income approach is based on the projected cash flows discounted to their present value using discount rates, that in the Company's judgment, consider the timing and risk of the forecasted cash flows using internally developed forecasts and assumptions. Under the income approach, the discount rate used is the average estimated value of a market participant’s cost of capital and debt, derived using customary market metrics. Other significant assumptions include revenue growth rates, profitability projections, and terminal value growth rates. Based on the results of this evaluation, the Company recorded a goodwill impairment charge of $159.5 million for the quarter ended February 29, 2024 to write down the carrying value of the Med Tech reporting unit to fair value. The impairment loss is disclosed separately on the face of the accompanying consolidated statements of operations.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Goodwill for each reporting unit is allocated as follows:</w:t>
      </w:r>
    </w:p>
    <w:tbl>
      <w:tblPr>
        <w:tblW w:w="7460" w:type="dxa"/>
        <w:jc w:val="left"/>
        <w:tblInd w:w="0" w:type="dxa"/>
        <w:tblLayout w:type="fixed"/>
        <w:tblCellMar>
          <w:top w:w="28" w:type="dxa"/>
          <w:left w:w="28" w:type="dxa"/>
          <w:bottom w:w="28" w:type="dxa"/>
          <w:right w:w="28" w:type="dxa"/>
        </w:tblCellMar>
      </w:tblPr>
      <w:tblGrid>
        <w:gridCol w:w="1261"/>
        <w:gridCol w:w="1107"/>
        <w:gridCol w:w="1111"/>
        <w:gridCol w:w="211"/>
        <w:gridCol w:w="826"/>
        <w:gridCol w:w="109"/>
        <w:gridCol w:w="109"/>
        <w:gridCol w:w="109"/>
        <w:gridCol w:w="109"/>
        <w:gridCol w:w="288"/>
        <w:gridCol w:w="554"/>
        <w:gridCol w:w="148"/>
        <w:gridCol w:w="109"/>
        <w:gridCol w:w="109"/>
        <w:gridCol w:w="109"/>
        <w:gridCol w:w="211"/>
        <w:gridCol w:w="826"/>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 Feb 29, 2024</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Med Tech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Med Device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Total </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translation adjustments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August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November 30,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February 29,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Definite Lived Intangible Assets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other than goodwill are amortized over their estimated useful lives on a straight-line basis. Useful lives range from two to eighteen years. The Company periodically reviews, and adjusts, if necessary, the estimated useful lives of its intangible assets and reviews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fiscal year 2024, the Company made the decision to abandon the Syntrax product line. This resulted in an impairment charge of $3.3 million for the Syntrax product technology intangible. The impairment charge is recorded in "Acquisition, Restructuring and Other" in the consolidated financial statements included in this Form 10-Q (see Note 15 "Acquisition, Restructuring, and Other Items, Net" set forth in the Notes to our consolidated financial statements in this Quarterly Report on Form 10 -Q).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w:t>
      </w:r>
    </w:p>
    <w:tbl>
      <w:tblPr>
        <w:tblW w:w="7784" w:type="dxa"/>
        <w:jc w:val="left"/>
        <w:tblInd w:w="0" w:type="dxa"/>
        <w:tblLayout w:type="fixed"/>
        <w:tblCellMar>
          <w:top w:w="28" w:type="dxa"/>
          <w:left w:w="28" w:type="dxa"/>
          <w:bottom w:w="28" w:type="dxa"/>
          <w:right w:w="28" w:type="dxa"/>
        </w:tblCellMar>
      </w:tblPr>
      <w:tblGrid>
        <w:gridCol w:w="722"/>
        <w:gridCol w:w="633"/>
        <w:gridCol w:w="639"/>
        <w:gridCol w:w="284"/>
        <w:gridCol w:w="1114"/>
        <w:gridCol w:w="147"/>
        <w:gridCol w:w="109"/>
        <w:gridCol w:w="109"/>
        <w:gridCol w:w="109"/>
        <w:gridCol w:w="334"/>
        <w:gridCol w:w="1428"/>
        <w:gridCol w:w="172"/>
        <w:gridCol w:w="109"/>
        <w:gridCol w:w="109"/>
        <w:gridCol w:w="109"/>
        <w:gridCol w:w="282"/>
        <w:gridCol w:w="966"/>
        <w:gridCol w:w="146"/>
        <w:gridCol w:w="109"/>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263" w:type="dxa"/>
            <w:gridSpan w:val="2"/>
            <w:tcBorders/>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 carrying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technologies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178,522 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(100,707)</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77,815 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193,482 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(111,912)</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81,570 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785" w:type="dxa"/>
        <w:jc w:val="left"/>
        <w:tblInd w:w="0" w:type="dxa"/>
        <w:tblLayout w:type="fixed"/>
        <w:tblCellMar>
          <w:top w:w="28" w:type="dxa"/>
          <w:left w:w="28" w:type="dxa"/>
          <w:bottom w:w="28" w:type="dxa"/>
          <w:right w:w="28" w:type="dxa"/>
        </w:tblCellMar>
      </w:tblPr>
      <w:tblGrid>
        <w:gridCol w:w="722"/>
        <w:gridCol w:w="633"/>
        <w:gridCol w:w="639"/>
        <w:gridCol w:w="284"/>
        <w:gridCol w:w="1114"/>
        <w:gridCol w:w="147"/>
        <w:gridCol w:w="109"/>
        <w:gridCol w:w="109"/>
        <w:gridCol w:w="109"/>
        <w:gridCol w:w="334"/>
        <w:gridCol w:w="1428"/>
        <w:gridCol w:w="172"/>
        <w:gridCol w:w="109"/>
        <w:gridCol w:w="109"/>
        <w:gridCol w:w="109"/>
        <w:gridCol w:w="257"/>
        <w:gridCol w:w="1006"/>
        <w:gridCol w:w="132"/>
        <w:gridCol w:w="109"/>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31, 2023</w:t>
            </w:r>
          </w:p>
        </w:tc>
        <w:tc>
          <w:tcPr>
            <w:tcW w:w="263" w:type="dxa"/>
            <w:gridSpan w:val="2"/>
            <w:tcBorders/>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 carrying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technologies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211,751 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(118,314)</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93,437 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(40,755)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281,547 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(170,403)</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111,144 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three months ended February 29, 2024 and February 28, 2023 was $3.3 million and $4.7 million, respectively. Amortization expense for the nine months ended February 29, 2024 and February 28, 2023 was $10.5 million and $14.4 million, respectively.</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Expected future amortization expense related to the intangible assets for each of the following fiscal years is as follows:</w:t>
      </w:r>
    </w:p>
    <w:tbl>
      <w:tblPr>
        <w:tblW w:w="2781" w:type="dxa"/>
        <w:jc w:val="left"/>
        <w:tblInd w:w="0" w:type="dxa"/>
        <w:tblLayout w:type="fixed"/>
        <w:tblCellMar>
          <w:top w:w="28" w:type="dxa"/>
          <w:left w:w="28" w:type="dxa"/>
          <w:bottom w:w="28" w:type="dxa"/>
          <w:right w:w="28" w:type="dxa"/>
        </w:tblCellMar>
      </w:tblPr>
      <w:tblGrid>
        <w:gridCol w:w="614"/>
        <w:gridCol w:w="540"/>
        <w:gridCol w:w="541"/>
        <w:gridCol w:w="211"/>
        <w:gridCol w:w="721"/>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6. ACCRUED LIABILITIES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liabilities consisted of the following: </w:t>
      </w:r>
    </w:p>
    <w:tbl>
      <w:tblPr>
        <w:tblW w:w="4936" w:type="dxa"/>
        <w:jc w:val="left"/>
        <w:tblInd w:w="0" w:type="dxa"/>
        <w:tblLayout w:type="fixed"/>
        <w:tblCellMar>
          <w:top w:w="28" w:type="dxa"/>
          <w:left w:w="28" w:type="dxa"/>
          <w:bottom w:w="28" w:type="dxa"/>
          <w:right w:w="28" w:type="dxa"/>
        </w:tblCellMar>
      </w:tblPr>
      <w:tblGrid>
        <w:gridCol w:w="881"/>
        <w:gridCol w:w="773"/>
        <w:gridCol w:w="775"/>
        <w:gridCol w:w="211"/>
        <w:gridCol w:w="721"/>
        <w:gridCol w:w="109"/>
        <w:gridCol w:w="109"/>
        <w:gridCol w:w="109"/>
        <w:gridCol w:w="109"/>
        <w:gridCol w:w="221"/>
        <w:gridCol w:w="757"/>
        <w:gridCol w:w="161"/>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31, 2023</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related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franchise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Warranties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Freight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severance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7. LONG-TERM DEBT</w:t>
      </w:r>
    </w:p>
    <w:p>
      <w:pPr>
        <w:pStyle w:val="TextBody"/>
        <w:bidi w:val="0"/>
        <w:spacing w:lineRule="auto" w:line="288" w:before="0" w:after="0"/>
        <w:ind w:left="0" w:right="0" w:firstLine="43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8, 2023 and in connection with the completion of the dialysis and BioSentry divestiture, the Company repaid all amounts outstanding under its then existing Credit Agreement, dated as of August 30, 2022, with the lender parties thereto,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JPMorgan Chase Bank, N.A., as administrative agent, Bank of America, N.A. and KeyBank National Association, as co-syndication agents, and JPMorgan Chase Bank, N.A. as sole bookrunner and sole lead arranger (the "Credit Agreement"), and as a result, the Credit Agreement was extinguished. Pursuant to the terms of the Credit Agreement, AngioDynamics had the option to repay this facility prior to the maturity date without penalty.</w:t>
      </w:r>
    </w:p>
    <w:p>
      <w:pPr>
        <w:pStyle w:val="TextBody"/>
        <w:bidi w:val="0"/>
        <w:spacing w:before="0" w:after="0"/>
        <w:ind w:left="0" w:right="0" w:firstLine="43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8. INCOME TAXES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5.6% as of the third quarter of fiscal year 2024, as compared to 5.2% for the same period in fiscal year 2023. In fiscal year 2024,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as of February 29, 2024.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9. SHARE-BASED COMPENSATION</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13, 2020, the Company's shareholders approved the 2020 Stock and Incentive Award Plan (the “2020 Plan”). The 2020 Plan provides for the grant of incentive stock options, non-statutory stock options, restricted stock, restricted stock units, stock appreciation rights, performance share units, performance shares and other incentive awards to the Company's employees, directors and other service providers. On November 14, 2023 the Company's shareholders approved an amendment to the 2020 Plan to increase the reserve of shares of common stock available for future grants by 1.5 million shares. As of February 29, 2024, there was a maximum of 2.7 million shares of common stock available for future grant under the 2020 Plan.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adoption of the 2020 Plan, equity awards were issued under the 2004 Stock and Incentive Award Plan (the “2004 Plan”). The adoption of the 2020 Plan did not impact the administration of equity awards issued under the 2004 Plan but following the adoption of the 2020 Plan, equity award grants are no longer made under the 2004 Plan.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has an employee stock purchase plan. On November 3, 2022 the Company's shareholders approved an amendment to the employee stock purchase plan to increase the reserve of shares of common stock available for future grants by 1.0 million shares. As of February 29, 2024, there was a maximum of 2.9 million shares of common stock available for future grant under the employee stock purchase plan.</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February 29, 2024 and February 28, 2023, share-based compensation expense was $2.6 million and $1.8 million, respectively. For the nine months ended February 29, 2024 and February 28, 2023, share-based compensation expense was $8.6 million and $8.2 million, respectively.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February 29, 2024 and February 28, 2023, the Company granted stock options and restricted stock units under the 2020 Plan to certain employees and members of the Board of Directors. Stock option awards are valued using the Black-Scholes option-pricing model and then amortized on a straight-line basis over the requisite service period of the award. Generally, restricted stock unit awards are valued based on the closing trading value of the Company’s common stock on the date of grant and then amortized on a straight-line basis over the requisite service period of the award. In July 2023, the Board of Directors approved a change in terms of restricted stock units granted to non-employee directors to provide for immediate vesting upon grant of the award.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February 29, 2024 and February 28, 2023, the Company granted performance share units under the 2020 Plan to certain employees. The awards may be earned by achieving performance levels over the requisite service period. The performance criteria are based on achieving certain performance targets and the total shareholder return (“TSR”) of the Company’s common stock relative to the TSR of the common stock of a pre-defined industry peer-group. The fair value of these awards is based on a Monte Carlo simulation model.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29, 2024, there was $16.5 million of unrecognized compensation expense related to share-based payment arrangements. These costs are expected to be recognized over a weighted-average period of approximately three years. The Company has sufficient shares to satisfy expected share-based payment arrangements.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10. EARNINGS PER SHARE</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basic to diluted weighted-average shares outstanding: </w:t>
      </w:r>
    </w:p>
    <w:tbl>
      <w:tblPr>
        <w:tblW w:w="10205" w:type="dxa"/>
        <w:jc w:val="left"/>
        <w:tblInd w:w="0" w:type="dxa"/>
        <w:tblLayout w:type="fixed"/>
        <w:tblCellMar>
          <w:top w:w="28" w:type="dxa"/>
          <w:left w:w="28" w:type="dxa"/>
          <w:bottom w:w="28" w:type="dxa"/>
          <w:right w:w="28" w:type="dxa"/>
        </w:tblCellMar>
      </w:tblPr>
      <w:tblGrid>
        <w:gridCol w:w="1682"/>
        <w:gridCol w:w="1445"/>
        <w:gridCol w:w="1448"/>
        <w:gridCol w:w="360"/>
        <w:gridCol w:w="361"/>
        <w:gridCol w:w="325"/>
        <w:gridCol w:w="175"/>
        <w:gridCol w:w="175"/>
        <w:gridCol w:w="175"/>
        <w:gridCol w:w="360"/>
        <w:gridCol w:w="361"/>
        <w:gridCol w:w="326"/>
        <w:gridCol w:w="109"/>
        <w:gridCol w:w="109"/>
        <w:gridCol w:w="109"/>
        <w:gridCol w:w="409"/>
        <w:gridCol w:w="341"/>
        <w:gridCol w:w="318"/>
        <w:gridCol w:w="157"/>
        <w:gridCol w:w="157"/>
        <w:gridCol w:w="157"/>
        <w:gridCol w:w="409"/>
        <w:gridCol w:w="315"/>
        <w:gridCol w:w="422"/>
      </w:tblGrid>
      <w:tr>
        <w:trPr/>
        <w:tc>
          <w:tcPr>
            <w:tcW w:w="168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40,234 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39,509 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40,098 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39,436 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40,234 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39,509 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40,098 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39,436 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excluded as their inclusion would be anti-dilutive</w:t>
            </w:r>
          </w:p>
        </w:tc>
        <w:tc>
          <w:tcPr>
            <w:tcW w:w="7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4,134 </w:t>
            </w:r>
          </w:p>
        </w:tc>
        <w:tc>
          <w:tcPr>
            <w:tcW w:w="3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3,706 </w:t>
            </w:r>
          </w:p>
        </w:tc>
        <w:tc>
          <w:tcPr>
            <w:tcW w:w="3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4,134 </w:t>
            </w:r>
          </w:p>
        </w:tc>
        <w:tc>
          <w:tcPr>
            <w:tcW w:w="3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3,706 </w:t>
            </w:r>
          </w:p>
        </w:tc>
        <w:tc>
          <w:tcPr>
            <w:tcW w:w="4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11. SEGMENT AND GEOGRAPHIC INFORMATION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lineRule="auto" w:line="288" w:before="0" w:after="180"/>
        <w:ind w:left="0" w:right="0" w:firstLine="43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regularly reviews its segments and the approach used by the chief operating decision maker, the President and Chief Executive Officer ("CEO"), and management to evaluate performance and allocate resources. The Company manages its operations through two segments, Med Tech and Med Device. The CEO evaluates these two segments based on net sales and gross margin to, among other items, allocate resources and assess performance. Executives reporting to the CEO include those responsible for commercial operations, manufacturing operations, regulatory and quality and certain corporate functions. The CEO evaluates all other elements of profitability, investment and cash flow metrics on a consolidated global basis due to shared infrastructure and resources. </w:t>
      </w:r>
    </w:p>
    <w:p>
      <w:pPr>
        <w:pStyle w:val="TextBody"/>
        <w:bidi w:val="0"/>
        <w:spacing w:lineRule="auto" w:line="26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manages its assets on a total company basis, not by operating segment; therefore, the CEO does not review any asset information by operating segment and, accordingly, asset information is not reported or evaluated by operating segment. Total assets were $324.8 million as of February 29, 2024.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net sales and gross margin by Med Tech and Med Device:</w:t>
      </w:r>
    </w:p>
    <w:tbl>
      <w:tblPr>
        <w:tblW w:w="7952" w:type="dxa"/>
        <w:jc w:val="left"/>
        <w:tblInd w:w="0" w:type="dxa"/>
        <w:tblLayout w:type="fixed"/>
        <w:tblCellMar>
          <w:top w:w="28" w:type="dxa"/>
          <w:left w:w="28" w:type="dxa"/>
          <w:bottom w:w="28" w:type="dxa"/>
          <w:right w:w="28" w:type="dxa"/>
        </w:tblCellMar>
      </w:tblPr>
      <w:tblGrid>
        <w:gridCol w:w="691"/>
        <w:gridCol w:w="606"/>
        <w:gridCol w:w="607"/>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6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 Tech 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70,193 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Gross margin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 Device 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177,485 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83,071 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Gross margin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247,678 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127,887 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Geographic information</w:t>
      </w:r>
    </w:p>
    <w:p>
      <w:pPr>
        <w:pStyle w:val="TextBody"/>
        <w:bidi w:val="0"/>
        <w:spacing w:lineRule="auto" w:line="288" w:before="0" w:after="18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net sales by geographic area based on external customer location:</w:t>
      </w:r>
    </w:p>
    <w:tbl>
      <w:tblPr>
        <w:tblW w:w="6600" w:type="dxa"/>
        <w:jc w:val="left"/>
        <w:tblInd w:w="0" w:type="dxa"/>
        <w:tblLayout w:type="fixed"/>
        <w:tblCellMar>
          <w:top w:w="28" w:type="dxa"/>
          <w:left w:w="28" w:type="dxa"/>
          <w:bottom w:w="28" w:type="dxa"/>
          <w:right w:w="28" w:type="dxa"/>
        </w:tblCellMar>
      </w:tblPr>
      <w:tblGrid>
        <w:gridCol w:w="435"/>
        <w:gridCol w:w="382"/>
        <w:gridCol w:w="383"/>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February 29, 2024 and February 28, 2023, international sales as a percentage of total net sales were 17.1% and 16.2%, respectively. For the nine months ended February 29, 2024 and February 28, 2023, international sales as a percentage of total net sales were 18.1% and 15.9%, respectively. Sales to any one country outside the U.S., as determined by shipment destination, did not comprise a material portion of net sales in any of the last three fiscal years. In addition, no one customer represents more than 10% of consolidated net sales and 66% of long-lived assets are located within the United States.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12. FAIR VALUE</w:t>
      </w:r>
    </w:p>
    <w:p>
      <w:pPr>
        <w:pStyle w:val="TextBody"/>
        <w:bidi w:val="0"/>
        <w:spacing w:lineRule="auto" w:line="288" w:before="0" w:after="180"/>
        <w:ind w:left="0" w:right="0" w:firstLine="450"/>
        <w:jc w:val="left"/>
        <w:rPr/>
      </w:pPr>
      <w:r>
        <w:rPr>
          <w:rFonts w:ascii="Times New Roman;sans-serif" w:hAnsi="Times New Roman;sans-serif"/>
          <w:b w:val="false"/>
          <w:color w:val="000000"/>
          <w:sz w:val="20"/>
        </w:rPr>
        <w:t>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Times New Roman;sans-serif" w:hAnsi="Times New Roman;sans-serif"/>
          <w:b w:val="false"/>
          <w:i/>
          <w:color w:val="000000"/>
          <w:sz w:val="20"/>
        </w:rPr>
        <w:t xml:space="preserve">Fair Value Measurements and Disclosures, </w:t>
      </w:r>
      <w:r>
        <w:rPr>
          <w:rFonts w:ascii="Times New Roman;sans-serif" w:hAnsi="Times New Roman;sans-serif"/>
          <w:b w:val="false"/>
          <w:color w:val="000000"/>
          <w:sz w:val="20"/>
        </w:rPr>
        <w:t>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Level 1 - Inputs to the valuation methodology are quoted market prices for identical assets or liabilities.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Level 2 - Inputs to the valuation methodology are other observable inputs, including quoted market prices for similar assets or liabilities and market-corroborated inputs.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Level 3 - Inputs to the valuation methodology are significant unobservable inputs based on management’s best estimate of inputs market participants would use in pricing the asset or liability at the measurement date, including assumptions about risk.</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include cash and cash equivalents, accounts receivable, accounts payable and contingent consideration. The carrying amount of cash and cash equivalents, accounts receivable, and accounts payable approximates fair value due to their immediate or short-term maturities. The recurring fair value measurements using significant unobservable inputs (Level 3) relate to contingent consideration liabilities.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by level for assets and liabilities that are measured at fair value on a recurring basis:</w:t>
      </w:r>
    </w:p>
    <w:tbl>
      <w:tblPr>
        <w:tblW w:w="10205" w:type="dxa"/>
        <w:jc w:val="left"/>
        <w:tblInd w:w="0" w:type="dxa"/>
        <w:tblLayout w:type="fixed"/>
        <w:tblCellMar>
          <w:top w:w="28" w:type="dxa"/>
          <w:left w:w="28" w:type="dxa"/>
          <w:bottom w:w="28" w:type="dxa"/>
          <w:right w:w="28" w:type="dxa"/>
        </w:tblCellMar>
      </w:tblPr>
      <w:tblGrid>
        <w:gridCol w:w="1494"/>
        <w:gridCol w:w="1304"/>
        <w:gridCol w:w="1306"/>
        <w:gridCol w:w="250"/>
        <w:gridCol w:w="483"/>
        <w:gridCol w:w="129"/>
        <w:gridCol w:w="129"/>
        <w:gridCol w:w="129"/>
        <w:gridCol w:w="129"/>
        <w:gridCol w:w="250"/>
        <w:gridCol w:w="483"/>
        <w:gridCol w:w="129"/>
        <w:gridCol w:w="129"/>
        <w:gridCol w:w="129"/>
        <w:gridCol w:w="129"/>
        <w:gridCol w:w="250"/>
        <w:gridCol w:w="857"/>
        <w:gridCol w:w="129"/>
        <w:gridCol w:w="109"/>
        <w:gridCol w:w="109"/>
        <w:gridCol w:w="109"/>
        <w:gridCol w:w="394"/>
        <w:gridCol w:w="1351"/>
        <w:gridCol w:w="295"/>
      </w:tblGrid>
      <w:tr>
        <w:trPr/>
        <w:tc>
          <w:tcPr>
            <w:tcW w:w="149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4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 Measurements using inputs considered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 at Feb 29, 2024</w:t>
            </w:r>
          </w:p>
        </w:tc>
      </w:tr>
      <w:tr>
        <w:trPr/>
        <w:tc>
          <w:tcPr>
            <w:tcW w:w="4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Level 1</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Level 2</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Liabilities</w:t>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for acquisition earn outs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 Measurements using inputs considered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 at May 31, 2023</w:t>
            </w:r>
          </w:p>
        </w:tc>
      </w:tr>
      <w:tr>
        <w:trPr/>
        <w:tc>
          <w:tcPr>
            <w:tcW w:w="4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Level 1</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Level 2</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Liabilities</w:t>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4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for acquisition earn outs</w:t>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19,296 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19,296 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19,296 </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2 and 3 for the three and nine months ended February 29, 2024 and February 28,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changes in fair value components of Level 3 instruments:</w:t>
      </w:r>
    </w:p>
    <w:tbl>
      <w:tblPr>
        <w:tblW w:w="9914" w:type="dxa"/>
        <w:jc w:val="left"/>
        <w:tblInd w:w="0" w:type="dxa"/>
        <w:tblLayout w:type="fixed"/>
        <w:tblCellMar>
          <w:top w:w="28" w:type="dxa"/>
          <w:left w:w="28" w:type="dxa"/>
          <w:bottom w:w="28" w:type="dxa"/>
          <w:right w:w="28" w:type="dxa"/>
        </w:tblCellMar>
      </w:tblPr>
      <w:tblGrid>
        <w:gridCol w:w="1663"/>
        <w:gridCol w:w="1461"/>
        <w:gridCol w:w="1465"/>
        <w:gridCol w:w="1145"/>
        <w:gridCol w:w="3345"/>
        <w:gridCol w:w="835"/>
      </w:tblGrid>
      <w:tr>
        <w:trPr/>
        <w:tc>
          <w:tcPr>
            <w:tcW w:w="1663"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334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 Feb 29, 2024</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53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 Measurements Using Significant Unobservable Inputs (Level 3)</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November 30, 2023</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9,387 </w:t>
            </w:r>
          </w:p>
        </w:tc>
        <w:tc>
          <w:tcPr>
            <w:tcW w:w="8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5325"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Change in present value of contingent consideration </w:t>
            </w:r>
            <w:r>
              <w:rPr>
                <w:rFonts w:ascii="Times New Roman;sans-serif" w:hAnsi="Times New Roman;sans-serif"/>
                <w:b w:val="false"/>
                <w:color w:val="000000"/>
                <w:sz w:val="13"/>
              </w:rPr>
              <w:t>(1)</w:t>
            </w:r>
          </w:p>
        </w:tc>
        <w:tc>
          <w:tcPr>
            <w:tcW w:w="4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gain from remeasurement</w:t>
            </w:r>
          </w:p>
        </w:tc>
        <w:tc>
          <w:tcPr>
            <w:tcW w:w="4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payment</w:t>
            </w:r>
          </w:p>
        </w:tc>
        <w:tc>
          <w:tcPr>
            <w:tcW w:w="4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February 29, 2024</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913" w:type="dxa"/>
        <w:jc w:val="left"/>
        <w:tblInd w:w="0" w:type="dxa"/>
        <w:tblLayout w:type="fixed"/>
        <w:tblCellMar>
          <w:top w:w="28" w:type="dxa"/>
          <w:left w:w="28" w:type="dxa"/>
          <w:bottom w:w="28" w:type="dxa"/>
          <w:right w:w="28" w:type="dxa"/>
        </w:tblCellMar>
      </w:tblPr>
      <w:tblGrid>
        <w:gridCol w:w="1663"/>
        <w:gridCol w:w="1462"/>
        <w:gridCol w:w="1464"/>
        <w:gridCol w:w="1033"/>
        <w:gridCol w:w="3537"/>
        <w:gridCol w:w="754"/>
      </w:tblGrid>
      <w:tr>
        <w:trPr/>
        <w:tc>
          <w:tcPr>
            <w:tcW w:w="1663"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53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 Feb 29, 2024</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5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 Measurements Using Significant Unobservable Inputs (Level 3)</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May 31, 2023</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19,296 </w:t>
            </w:r>
          </w:p>
        </w:tc>
        <w:tc>
          <w:tcPr>
            <w:tcW w:w="7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5324"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Change in present value of contingent consideration </w:t>
            </w:r>
            <w:r>
              <w:rPr>
                <w:rFonts w:ascii="Times New Roman;sans-serif" w:hAnsi="Times New Roman;sans-serif"/>
                <w:b w:val="false"/>
                <w:color w:val="000000"/>
                <w:sz w:val="13"/>
              </w:rPr>
              <w:t>(1)</w:t>
            </w:r>
          </w:p>
        </w:tc>
        <w:tc>
          <w:tcPr>
            <w:tcW w:w="4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gain from remeasurement</w:t>
            </w:r>
          </w:p>
        </w:tc>
        <w:tc>
          <w:tcPr>
            <w:tcW w:w="4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7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payment</w:t>
            </w:r>
          </w:p>
        </w:tc>
        <w:tc>
          <w:tcPr>
            <w:tcW w:w="4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February 29, 2024</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18"/>
        </w:rPr>
        <w:t>(1) Change in the fair value of contingent consideration is included in earnings and comprised of changes in estimated earn out payments based on projections of Company performance and amortization of the present value discount.</w:t>
      </w:r>
      <w:r>
        <w:rPr>
          <w:color w:val="000000"/>
        </w:rPr>
        <w:t xml:space="preserve"> </w:t>
      </w:r>
    </w:p>
    <w:p>
      <w:pPr>
        <w:pStyle w:val="TextBody"/>
        <w:bidi w:val="0"/>
        <w:spacing w:lineRule="auto" w:line="288" w:before="0" w:after="180"/>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Contingent Liability for Acquisition Earn Outs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the Company's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Operations.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measures the initial liability and remeasures the liability on a recurring basis using Level 3 inputs as defined under authoritative guidance for fair value measurements, which is determined using a discounted cash flow model applied to projected net sales, using probabilities of achieving projected net sales and projected payment dates. Projected net sales are based on internal projections and extensive analysis of the target market and the sales potential. Increases or decreases in any valuation inputs in isolation may result in a significantly lower or higher fair value measurement in the future.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recurring Level 3 fair value measurements of the contingent consideration liabilities include the following significant unobservable inputs as of February 29, 2024:</w:t>
      </w:r>
    </w:p>
    <w:tbl>
      <w:tblPr>
        <w:tblW w:w="9789" w:type="dxa"/>
        <w:jc w:val="left"/>
        <w:tblInd w:w="0" w:type="dxa"/>
        <w:tblLayout w:type="fixed"/>
        <w:tblCellMar>
          <w:top w:w="28" w:type="dxa"/>
          <w:left w:w="28" w:type="dxa"/>
          <w:bottom w:w="28" w:type="dxa"/>
          <w:right w:w="28" w:type="dxa"/>
        </w:tblCellMar>
      </w:tblPr>
      <w:tblGrid>
        <w:gridCol w:w="788"/>
        <w:gridCol w:w="692"/>
        <w:gridCol w:w="694"/>
        <w:gridCol w:w="211"/>
        <w:gridCol w:w="616"/>
        <w:gridCol w:w="109"/>
        <w:gridCol w:w="109"/>
        <w:gridCol w:w="109"/>
        <w:gridCol w:w="109"/>
        <w:gridCol w:w="614"/>
        <w:gridCol w:w="614"/>
        <w:gridCol w:w="616"/>
        <w:gridCol w:w="109"/>
        <w:gridCol w:w="109"/>
        <w:gridCol w:w="109"/>
        <w:gridCol w:w="898"/>
        <w:gridCol w:w="898"/>
        <w:gridCol w:w="903"/>
        <w:gridCol w:w="109"/>
        <w:gridCol w:w="109"/>
        <w:gridCol w:w="109"/>
        <w:gridCol w:w="337"/>
        <w:gridCol w:w="337"/>
        <w:gridCol w:w="481"/>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Range</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based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Probability of 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 - 100%</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Projected fiscal year of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2024 - 2025</w:t>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February 29, 2024, the amount of undiscounted future contingent consideration that the Company expects to pay as a result of all completed acquisitions is approximately $10.0 million. The milestones, including revenue projections and technical milestones associated with the contingent consideration, must be reached in future periods ranging from fiscal years 2024 to 2029 in order for the associated consideration to be paid.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13. LEASES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a lease at inception of the contract. The Company has operating leases for buildings, primarily for office space, R&amp;D, manufacturing and warehousing.</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balance sheet information related to leases:</w:t>
      </w:r>
    </w:p>
    <w:tbl>
      <w:tblPr>
        <w:tblW w:w="8242" w:type="dxa"/>
        <w:jc w:val="left"/>
        <w:tblInd w:w="0" w:type="dxa"/>
        <w:tblLayout w:type="fixed"/>
        <w:tblCellMar>
          <w:top w:w="28" w:type="dxa"/>
          <w:left w:w="28" w:type="dxa"/>
          <w:bottom w:w="28" w:type="dxa"/>
          <w:right w:w="28" w:type="dxa"/>
        </w:tblCellMar>
      </w:tblPr>
      <w:tblGrid>
        <w:gridCol w:w="1158"/>
        <w:gridCol w:w="1017"/>
        <w:gridCol w:w="1020"/>
        <w:gridCol w:w="739"/>
        <w:gridCol w:w="739"/>
        <w:gridCol w:w="741"/>
        <w:gridCol w:w="109"/>
        <w:gridCol w:w="109"/>
        <w:gridCol w:w="109"/>
        <w:gridCol w:w="233"/>
        <w:gridCol w:w="681"/>
        <w:gridCol w:w="120"/>
        <w:gridCol w:w="109"/>
        <w:gridCol w:w="109"/>
        <w:gridCol w:w="109"/>
        <w:gridCol w:w="245"/>
        <w:gridCol w:w="716"/>
        <w:gridCol w:w="179"/>
      </w:tblGrid>
      <w:tr>
        <w:trPr/>
        <w:tc>
          <w:tcPr>
            <w:tcW w:w="115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31, 2023</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2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tbl>
      <w:tblPr>
        <w:tblW w:w="4738" w:type="dxa"/>
        <w:jc w:val="left"/>
        <w:tblInd w:w="0" w:type="dxa"/>
        <w:tblLayout w:type="fixed"/>
        <w:tblCellMar>
          <w:top w:w="28" w:type="dxa"/>
          <w:left w:w="28" w:type="dxa"/>
          <w:bottom w:w="28" w:type="dxa"/>
          <w:right w:w="28" w:type="dxa"/>
        </w:tblCellMar>
      </w:tblPr>
      <w:tblGrid>
        <w:gridCol w:w="1323"/>
        <w:gridCol w:w="1164"/>
        <w:gridCol w:w="1172"/>
        <w:gridCol w:w="220"/>
        <w:gridCol w:w="220"/>
        <w:gridCol w:w="639"/>
      </w:tblGrid>
      <w:tr>
        <w:trPr/>
        <w:tc>
          <w:tcPr>
            <w:tcW w:w="132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term (in years)</w:t>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maturities of the lease liabilities for each of the following fiscal years is:</w:t>
      </w:r>
    </w:p>
    <w:tbl>
      <w:tblPr>
        <w:tblW w:w="4559" w:type="dxa"/>
        <w:jc w:val="left"/>
        <w:tblInd w:w="0" w:type="dxa"/>
        <w:tblLayout w:type="fixed"/>
        <w:tblCellMar>
          <w:top w:w="28" w:type="dxa"/>
          <w:left w:w="28" w:type="dxa"/>
          <w:bottom w:w="28" w:type="dxa"/>
          <w:right w:w="28" w:type="dxa"/>
        </w:tblCellMar>
      </w:tblPr>
      <w:tblGrid>
        <w:gridCol w:w="1260"/>
        <w:gridCol w:w="1109"/>
        <w:gridCol w:w="1111"/>
        <w:gridCol w:w="232"/>
        <w:gridCol w:w="678"/>
        <w:gridCol w:w="169"/>
      </w:tblGrid>
      <w:tr>
        <w:trPr/>
        <w:tc>
          <w:tcPr>
            <w:tcW w:w="126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obligations</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lease obligations</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obligations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February 29, 2024 and February 28, 2023, the Company recognized $0.7 million and $0.7 million of operating lease expense, respectively, which includes immaterial short-term leases. During the nine months ended February 29, 2024 and February 28, 2023, the Company recognized $1.9 million and $2.0 million of operating lease expense, respectively, which includes immaterial short-term leases. The expenses on the Consolidated Statement of Operations were classified as follows:</w:t>
      </w:r>
    </w:p>
    <w:tbl>
      <w:tblPr>
        <w:tblW w:w="7473" w:type="dxa"/>
        <w:jc w:val="left"/>
        <w:tblInd w:w="0" w:type="dxa"/>
        <w:tblLayout w:type="fixed"/>
        <w:tblCellMar>
          <w:top w:w="28" w:type="dxa"/>
          <w:left w:w="28" w:type="dxa"/>
          <w:bottom w:w="28" w:type="dxa"/>
          <w:right w:w="28" w:type="dxa"/>
        </w:tblCellMar>
      </w:tblPr>
      <w:tblGrid>
        <w:gridCol w:w="835"/>
        <w:gridCol w:w="734"/>
        <w:gridCol w:w="740"/>
        <w:gridCol w:w="278"/>
        <w:gridCol w:w="614"/>
        <w:gridCol w:w="143"/>
        <w:gridCol w:w="109"/>
        <w:gridCol w:w="109"/>
        <w:gridCol w:w="109"/>
        <w:gridCol w:w="278"/>
        <w:gridCol w:w="614"/>
        <w:gridCol w:w="143"/>
        <w:gridCol w:w="109"/>
        <w:gridCol w:w="109"/>
        <w:gridCol w:w="109"/>
        <w:gridCol w:w="233"/>
        <w:gridCol w:w="681"/>
        <w:gridCol w:w="120"/>
        <w:gridCol w:w="109"/>
        <w:gridCol w:w="109"/>
        <w:gridCol w:w="109"/>
        <w:gridCol w:w="232"/>
        <w:gridCol w:w="678"/>
        <w:gridCol w:w="169"/>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cash flow and other information related to leases:</w:t>
      </w:r>
    </w:p>
    <w:tbl>
      <w:tblPr>
        <w:tblW w:w="8245" w:type="dxa"/>
        <w:jc w:val="left"/>
        <w:tblInd w:w="0" w:type="dxa"/>
        <w:tblLayout w:type="fixed"/>
        <w:tblCellMar>
          <w:top w:w="28" w:type="dxa"/>
          <w:left w:w="28" w:type="dxa"/>
          <w:bottom w:w="28" w:type="dxa"/>
          <w:right w:w="28" w:type="dxa"/>
        </w:tblCellMar>
      </w:tblPr>
      <w:tblGrid>
        <w:gridCol w:w="2100"/>
        <w:gridCol w:w="1845"/>
        <w:gridCol w:w="1860"/>
        <w:gridCol w:w="233"/>
        <w:gridCol w:w="681"/>
        <w:gridCol w:w="120"/>
        <w:gridCol w:w="109"/>
        <w:gridCol w:w="109"/>
        <w:gridCol w:w="109"/>
        <w:gridCol w:w="232"/>
        <w:gridCol w:w="678"/>
        <w:gridCol w:w="169"/>
      </w:tblGrid>
      <w:tr>
        <w:trPr/>
        <w:tc>
          <w:tcPr>
            <w:tcW w:w="210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lease liabilities</w:t>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
        <w:jc w:val="left"/>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bidi w:val="0"/>
        <w:spacing w:before="0" w:after="18"/>
        <w:jc w:val="left"/>
        <w:rPr/>
      </w:pPr>
      <w:r>
        <w:rPr/>
      </w:r>
    </w:p>
    <w:p>
      <w:pPr>
        <w:pStyle w:val="TextBody"/>
        <w:bidi w:val="0"/>
        <w:spacing w:lineRule="auto" w:line="288" w:before="0" w:after="18"/>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pStyle w:val="TextBody"/>
        <w:bidi w:val="0"/>
        <w:spacing w:before="0" w:after="18"/>
        <w:ind w:left="0" w:right="0" w:firstLine="450"/>
        <w:jc w:val="left"/>
        <w:rPr/>
      </w:pPr>
      <w:r>
        <w:rPr/>
      </w:r>
    </w:p>
    <w:p>
      <w:pPr>
        <w:pStyle w:val="TextBody"/>
        <w:bidi w:val="0"/>
        <w:spacing w:lineRule="auto" w:line="288" w:before="0" w:after="18"/>
        <w:jc w:val="left"/>
        <w:rPr>
          <w:rFonts w:ascii="Times New Roman;sans-serif" w:hAnsi="Times New Roman;sans-serif"/>
          <w:b/>
          <w:color w:val="000000"/>
          <w:sz w:val="20"/>
        </w:rPr>
      </w:pPr>
      <w:r>
        <w:rPr>
          <w:rFonts w:ascii="Times New Roman;sans-serif" w:hAnsi="Times New Roman;sans-serif"/>
          <w:b/>
          <w:color w:val="000000"/>
          <w:sz w:val="20"/>
        </w:rPr>
        <w:t>C.R. Bard, Inc. v. AngioDynamics, Inc.</w:t>
      </w:r>
    </w:p>
    <w:p>
      <w:pPr>
        <w:pStyle w:val="TextBody"/>
        <w:bidi w:val="0"/>
        <w:spacing w:before="0" w:after="18"/>
        <w:jc w:val="left"/>
        <w:rPr/>
      </w:pPr>
      <w:r>
        <w:rPr/>
      </w:r>
    </w:p>
    <w:p>
      <w:pPr>
        <w:pStyle w:val="TextBody"/>
        <w:bidi w:val="0"/>
        <w:spacing w:lineRule="auto" w:line="288" w:before="0" w:after="18"/>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11, 2012, C.R. Bard, Inc. (“Bard”) filed a suit in the United States District Court of Utah claiming certain of the Company's implantable port products infringe on three U.S. patents held by Bard (US Patent Nos. 7,785,302 ("302"), 7,959,615 (“615”) and 7,947,022 ("022")). </w:t>
      </w:r>
    </w:p>
    <w:p>
      <w:pPr>
        <w:pStyle w:val="TextBody"/>
        <w:bidi w:val="0"/>
        <w:spacing w:before="0" w:after="18"/>
        <w:ind w:left="0" w:right="0" w:firstLine="450"/>
        <w:jc w:val="left"/>
        <w:rPr/>
      </w:pPr>
      <w:r>
        <w:rPr/>
      </w:r>
    </w:p>
    <w:p>
      <w:pPr>
        <w:pStyle w:val="TextBody"/>
        <w:bidi w:val="0"/>
        <w:spacing w:lineRule="auto" w:line="288" w:before="0" w:after="18"/>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March 10, 2015, Bard and Bard Peripheral Vascular filed suit in the District of Delaware claiming certain of the Company's implantable port products infringe on three U.S. patents held by Bard (US Patent Nos. 8,475,417, 8,545,460, 8,805,478). The Court entered Judgement on June 1, 2023 in favor of the Company. Bard has appealed to the Federal Circuit, where Bard has its reply brief in support of its appeal due May 6, 2024. A hearing date has not yet been set.</w:t>
      </w:r>
    </w:p>
    <w:p>
      <w:pPr>
        <w:pStyle w:val="TextBody"/>
        <w:bidi w:val="0"/>
        <w:spacing w:before="0" w:after="18"/>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March 8, 2021, Bard filed suit in the District of Delaware asserting certain of the Company’s port products (including certain related infusion sets) infringe U.S. Patent Nos. 8,025,639, 9,603,992 and 9,603,993. The Company counterclaimed, alleging that certain of Bard’s catheter products infringe U.S. Patent Nos. 8,377,011, 10,729,881, 8,454,574.</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March 31, 2024, the Company and Bard’s parent company Becton, Dickinson and Company (collectively, “BD”) entered into a settlement agreement (the “Settlement Agreement”) to resolve the ongoing litigations. Under the terms of the Settlement Agreement, BD will grant a license to the Company under certain of BD’s port patents and AngioDynamics will grant BD a license under certain of the Company’s catheter patents. The Company will make a one-time lump sum payment to BD in the amount of $7.0 million which will be payable in installments over the next 12 months. The Company will also make six minimum annual payments to BD of $2.5 million through February, 2029, and potential additional payments if six percent (6%) of annual net sales of the Company’s port products exceed the minimum payment. The parties will participate in the pending appeal before the Federal Circuit of the case that was filed March 10, 2015 and a contingent payment of $3.0 million will be due from the Company to BD if the Federal Circuit reverses or vacates the District Court’s findings of invalidity with respect to the patent claims at issue in the case. Neither party admitted any liability and the agreement contains mutual covenants not to sue and releases.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before="0" w:after="18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15. ACQUISITION, RESTRUCTURING, AND OTHER ITEMS, NET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Acquisition, Restructuring and Other Items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restructuring and other items, net, consisted of:</w:t>
      </w:r>
    </w:p>
    <w:tbl>
      <w:tblPr>
        <w:tblW w:w="8798" w:type="dxa"/>
        <w:jc w:val="left"/>
        <w:tblInd w:w="0" w:type="dxa"/>
        <w:tblLayout w:type="fixed"/>
        <w:tblCellMar>
          <w:top w:w="28" w:type="dxa"/>
          <w:left w:w="28" w:type="dxa"/>
          <w:bottom w:w="28" w:type="dxa"/>
          <w:right w:w="28" w:type="dxa"/>
        </w:tblCellMar>
      </w:tblPr>
      <w:tblGrid>
        <w:gridCol w:w="1308"/>
        <w:gridCol w:w="1149"/>
        <w:gridCol w:w="1158"/>
        <w:gridCol w:w="211"/>
        <w:gridCol w:w="721"/>
        <w:gridCol w:w="109"/>
        <w:gridCol w:w="109"/>
        <w:gridCol w:w="109"/>
        <w:gridCol w:w="109"/>
        <w:gridCol w:w="233"/>
        <w:gridCol w:w="681"/>
        <w:gridCol w:w="120"/>
        <w:gridCol w:w="109"/>
        <w:gridCol w:w="109"/>
        <w:gridCol w:w="109"/>
        <w:gridCol w:w="211"/>
        <w:gridCol w:w="721"/>
        <w:gridCol w:w="109"/>
        <w:gridCol w:w="109"/>
        <w:gridCol w:w="109"/>
        <w:gridCol w:w="109"/>
        <w:gridCol w:w="211"/>
        <w:gridCol w:w="721"/>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Legal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Mergers and acquisitions </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Plant closure </w:t>
            </w:r>
            <w:r>
              <w:rPr>
                <w:rFonts w:ascii="Times New Roman;sans-serif" w:hAnsi="Times New Roman;sans-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Intangible and other asset impairment </w:t>
            </w:r>
            <w:r>
              <w:rPr>
                <w:rFonts w:ascii="Times New Roman;sans-serif" w:hAnsi="Times New Roman;sans-serif"/>
                <w:b w:val="false"/>
                <w:color w:val="000000"/>
                <w:sz w:val="13"/>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Transition service agreement </w:t>
            </w:r>
            <w:r>
              <w:rPr>
                <w:rFonts w:ascii="Times New Roman;sans-serif" w:hAnsi="Times New Roman;sans-serif"/>
                <w:b w:val="false"/>
                <w:color w:val="000000"/>
                <w:sz w:val="13"/>
              </w:rPr>
              <w:t>(5)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Manufacturing relocation </w:t>
            </w:r>
            <w:r>
              <w:rPr>
                <w:rFonts w:ascii="Times New Roman;sans-serif" w:hAnsi="Times New Roman;sans-serif"/>
                <w:b w:val="false"/>
                <w:color w:val="000000"/>
                <w:sz w:val="13"/>
              </w:rPr>
              <w:t>(6)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Israeli Innovation Authority prepayment </w:t>
            </w:r>
            <w:r>
              <w:rPr>
                <w:rFonts w:ascii="Times New Roman;sans-serif" w:hAnsi="Times New Roman;sans-serif"/>
                <w:b w:val="false"/>
                <w:color w:val="000000"/>
                <w:sz w:val="13"/>
              </w:rPr>
              <w:t>(7)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pPr>
      <w:r>
        <w:rPr>
          <w:rFonts w:ascii="Times New Roman;sans-serif" w:hAnsi="Times New Roman;sans-serif"/>
          <w:b w:val="false"/>
          <w:color w:val="000000"/>
          <w:sz w:val="18"/>
        </w:rPr>
        <w:t xml:space="preserve">(1) Legal expenses related to litigation that is outside the normal course of business. For the three and nine months ended </w:t>
      </w:r>
      <w:r>
        <w:rPr>
          <w:rFonts w:ascii="Times New Roman;sans-serif" w:hAnsi="Times New Roman;sans-serif"/>
          <w:b w:val="false"/>
          <w:color w:val="000000"/>
          <w:sz w:val="18"/>
          <w:shd w:fill="FFFFFF" w:val="clear"/>
        </w:rPr>
        <w:t xml:space="preserve">February 29, 2024, a $19.3 million settlement expense was recorded as a result of the Settlement Agreement that was entered into between the Company and BD.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 Mergers and acquisitions expense related to legal and due diligence. </w:t>
      </w:r>
    </w:p>
    <w:p>
      <w:pPr>
        <w:pStyle w:val="TextBody"/>
        <w:bidi w:val="0"/>
        <w:spacing w:lineRule="auto" w:line="288" w:before="0" w:after="0"/>
        <w:jc w:val="left"/>
        <w:rPr/>
      </w:pPr>
      <w:r>
        <w:rPr>
          <w:rFonts w:ascii="Times New Roman;sans-serif" w:hAnsi="Times New Roman;sans-serif"/>
          <w:b w:val="false"/>
          <w:color w:val="000000"/>
          <w:sz w:val="18"/>
        </w:rPr>
        <w:t xml:space="preserve">(3) Included in the $6.1 million in plant closure for the nine months ended </w:t>
      </w:r>
      <w:r>
        <w:rPr>
          <w:rFonts w:ascii="Times New Roman;sans-serif" w:hAnsi="Times New Roman;sans-serif"/>
          <w:b w:val="false"/>
          <w:color w:val="000000"/>
          <w:sz w:val="18"/>
          <w:shd w:fill="FFFFFF" w:val="clear"/>
        </w:rPr>
        <w:t xml:space="preserve">February 29, 2024 is </w:t>
      </w:r>
      <w:r>
        <w:rPr>
          <w:rFonts w:ascii="Times New Roman;sans-serif" w:hAnsi="Times New Roman;sans-serif"/>
          <w:b w:val="false"/>
          <w:color w:val="000000"/>
          <w:sz w:val="18"/>
        </w:rPr>
        <w:t xml:space="preserve">$0.7 million that was previously included in manufacturing relocation.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 An impairment of $3.4 million on intangible and fixed assets and an inventory write-off of $2.9 million was taken in the third quarter of fiscal year 2024 relating to the abandonment of the Syntrax and RF product lines.</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 Transition services agreements that were entered into with Merit and Spectrum.</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(6) Expenses to relocate certain manufacturing lines out of Queensbury, NY. </w:t>
      </w:r>
    </w:p>
    <w:p>
      <w:pPr>
        <w:pStyle w:val="TextBody"/>
        <w:bidi w:val="0"/>
        <w:spacing w:lineRule="auto" w:line="288" w:before="0" w:after="0"/>
        <w:jc w:val="left"/>
        <w:rPr/>
      </w:pPr>
      <w:r>
        <w:rPr>
          <w:rFonts w:ascii="Times New Roman;sans-serif" w:hAnsi="Times New Roman;sans-serif"/>
          <w:b w:val="false"/>
          <w:color w:val="000000"/>
          <w:sz w:val="18"/>
        </w:rPr>
        <w:t>(7) I</w:t>
      </w:r>
      <w:r>
        <w:rPr>
          <w:rFonts w:ascii="Times New Roman;sans-serif" w:hAnsi="Times New Roman;sans-serif"/>
          <w:b w:val="false"/>
          <w:color w:val="000000"/>
          <w:sz w:val="18"/>
          <w:shd w:fill="FFFFFF" w:val="clear"/>
        </w:rPr>
        <w:t xml:space="preserve">n the first quarter of fiscal year 2023, a $3.5 million payment was made to the Israeli Innovation Authority to fully satisfy the obligation related to grant funds that were provided to Eximo for development of the Auryon laser prior to the acquisition in the second quarter of fiscal year 2020. </w:t>
      </w:r>
    </w:p>
    <w:p>
      <w:pPr>
        <w:pStyle w:val="TextBody"/>
        <w:bidi w:val="0"/>
        <w:spacing w:lineRule="auto" w:line="288" w:before="0" w:after="18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 xml:space="preserve">(8) Included in the $1.6 million in other for the nine months ended February 29, 2024 is $0.9 million of deferred financing fees that were written-off in conjunction with the sale of the Dialysis and BioSentry businesses and concurrent extinguishment of the debt.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Restructuring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performance and looks for opportunities to improve the overall operations of the Company on an ongoing basis. As a result of this evaluation, certain restructuring initiatives are taken to enhance the Company’s overall operations. On January 5, 2024, the Company announced a restructuring of its manufacturing footprint and a shift to an outsourced model (the "Plan"). This Plan will transfer all product manufacturing processes to third-party manufacturers. The restructuring activities associated with the Plan are expected to be completed in the third quarter of fiscal year 2026.</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our estimated costs associated with the plan:</w:t>
      </w:r>
    </w:p>
    <w:p>
      <w:pPr>
        <w:pStyle w:val="TextBody"/>
        <w:bidi w:val="0"/>
        <w:spacing w:before="0" w:after="0"/>
        <w:jc w:val="left"/>
        <w:rPr/>
      </w:pPr>
      <w:r>
        <w:rPr/>
      </w:r>
    </w:p>
    <w:tbl>
      <w:tblPr>
        <w:tblW w:w="6657" w:type="dxa"/>
        <w:jc w:val="left"/>
        <w:tblInd w:w="0" w:type="dxa"/>
        <w:tblLayout w:type="fixed"/>
        <w:tblCellMar>
          <w:top w:w="28" w:type="dxa"/>
          <w:left w:w="28" w:type="dxa"/>
          <w:bottom w:w="28" w:type="dxa"/>
          <w:right w:w="28" w:type="dxa"/>
        </w:tblCellMar>
      </w:tblPr>
      <w:tblGrid>
        <w:gridCol w:w="786"/>
        <w:gridCol w:w="692"/>
        <w:gridCol w:w="696"/>
        <w:gridCol w:w="385"/>
        <w:gridCol w:w="1318"/>
        <w:gridCol w:w="199"/>
        <w:gridCol w:w="199"/>
        <w:gridCol w:w="199"/>
        <w:gridCol w:w="199"/>
        <w:gridCol w:w="385"/>
        <w:gridCol w:w="1318"/>
        <w:gridCol w:w="281"/>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Type of cost</w:t>
            </w:r>
          </w:p>
        </w:tc>
        <w:tc>
          <w:tcPr>
            <w:tcW w:w="4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estimated amount expected to be incurred (in thousands)</w:t>
            </w:r>
          </w:p>
        </w:tc>
      </w:tr>
      <w:tr>
        <w:trPr/>
        <w:tc>
          <w:tcPr>
            <w:tcW w:w="2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Facilities closeout fees </w:t>
            </w:r>
            <w:r>
              <w:rPr>
                <w:rFonts w:ascii="Times New Roman;sans-serif" w:hAnsi="Times New Roman;sans-serif"/>
                <w:b w:val="false"/>
                <w:color w:val="000000"/>
                <w:sz w:val="13"/>
              </w:rPr>
              <w:t>(1)</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 benefits</w:t>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consultants</w:t>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Validation expenses</w:t>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filings</w:t>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43,250 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Included in this estimate is approximately $13.6 million of non-cash charges for accelerated depreciation and building impairment.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recorded restructuring charges related to the plan during the three and nine months ended </w:t>
      </w:r>
      <w:r>
        <w:rPr>
          <w:rFonts w:ascii="Times New Roman;sans-serif" w:hAnsi="Times New Roman;sans-serif"/>
          <w:b w:val="false"/>
          <w:color w:val="000000"/>
          <w:sz w:val="20"/>
          <w:shd w:fill="FFFFFF" w:val="clear"/>
        </w:rPr>
        <w:t>February 29, 2024</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val="false"/>
          <w:color w:val="000000"/>
          <w:sz w:val="20"/>
          <w:shd w:fill="FFFFFF" w:val="clear"/>
        </w:rPr>
        <w:t>$5.4 million</w:t>
      </w:r>
      <w:r>
        <w:rPr>
          <w:color w:val="000000"/>
        </w:rPr>
        <w:t xml:space="preserve"> </w:t>
      </w:r>
      <w:r>
        <w:rPr>
          <w:rFonts w:ascii="Times New Roman;sans-serif" w:hAnsi="Times New Roman;sans-serif"/>
          <w:b w:val="false"/>
          <w:color w:val="000000"/>
          <w:sz w:val="20"/>
        </w:rPr>
        <w:t xml:space="preserve">and $6.1 million, respectively. Total restructuring charges recorded to date are $6.1 million. Termination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benefits are only earned if an employee stays until their termination date; therefore, the expenses related to termination benefits are being recorded ratably over the service period.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table below presents the restructuring reserve for the three and nine months ended </w:t>
      </w:r>
      <w:r>
        <w:rPr>
          <w:rFonts w:ascii="Times New Roman;sans-serif" w:hAnsi="Times New Roman;sans-serif"/>
          <w:b w:val="false"/>
          <w:color w:val="000000"/>
          <w:sz w:val="18"/>
          <w:shd w:fill="FFFFFF" w:val="clear"/>
        </w:rPr>
        <w:t>February 29, 2024</w:t>
      </w:r>
      <w:r>
        <w:rPr>
          <w:rFonts w:ascii="Times New Roman;sans-serif" w:hAnsi="Times New Roman;sans-serif"/>
          <w:b w:val="false"/>
          <w:color w:val="000000"/>
          <w:sz w:val="20"/>
        </w:rPr>
        <w: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46"/>
        <w:gridCol w:w="442"/>
        <w:gridCol w:w="412"/>
        <w:gridCol w:w="299"/>
        <w:gridCol w:w="663"/>
        <w:gridCol w:w="157"/>
        <w:gridCol w:w="109"/>
        <w:gridCol w:w="109"/>
        <w:gridCol w:w="109"/>
        <w:gridCol w:w="281"/>
        <w:gridCol w:w="623"/>
        <w:gridCol w:w="146"/>
        <w:gridCol w:w="109"/>
        <w:gridCol w:w="109"/>
        <w:gridCol w:w="109"/>
        <w:gridCol w:w="293"/>
        <w:gridCol w:w="563"/>
        <w:gridCol w:w="152"/>
        <w:gridCol w:w="109"/>
        <w:gridCol w:w="109"/>
        <w:gridCol w:w="109"/>
        <w:gridCol w:w="295"/>
        <w:gridCol w:w="549"/>
        <w:gridCol w:w="147"/>
        <w:gridCol w:w="109"/>
        <w:gridCol w:w="109"/>
        <w:gridCol w:w="109"/>
        <w:gridCol w:w="292"/>
        <w:gridCol w:w="562"/>
        <w:gridCol w:w="151"/>
        <w:gridCol w:w="109"/>
        <w:gridCol w:w="109"/>
        <w:gridCol w:w="109"/>
        <w:gridCol w:w="211"/>
        <w:gridCol w:w="406"/>
        <w:gridCol w:w="109"/>
        <w:gridCol w:w="109"/>
        <w:gridCol w:w="109"/>
        <w:gridCol w:w="109"/>
        <w:gridCol w:w="212"/>
        <w:gridCol w:w="468"/>
        <w:gridCol w:w="164"/>
      </w:tblGrid>
      <w:tr>
        <w:trPr/>
        <w:tc>
          <w:tcPr>
            <w:tcW w:w="6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5"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 Feb 29, 2024</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Termination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Outside Consultants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Validation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Facilities Closeout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Regulatory Filings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November 30, 2023</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adjustments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February 29, 2024</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68"/>
        <w:gridCol w:w="404"/>
        <w:gridCol w:w="406"/>
        <w:gridCol w:w="300"/>
        <w:gridCol w:w="665"/>
        <w:gridCol w:w="157"/>
        <w:gridCol w:w="109"/>
        <w:gridCol w:w="109"/>
        <w:gridCol w:w="109"/>
        <w:gridCol w:w="282"/>
        <w:gridCol w:w="625"/>
        <w:gridCol w:w="147"/>
        <w:gridCol w:w="109"/>
        <w:gridCol w:w="109"/>
        <w:gridCol w:w="109"/>
        <w:gridCol w:w="294"/>
        <w:gridCol w:w="565"/>
        <w:gridCol w:w="153"/>
        <w:gridCol w:w="109"/>
        <w:gridCol w:w="109"/>
        <w:gridCol w:w="109"/>
        <w:gridCol w:w="297"/>
        <w:gridCol w:w="553"/>
        <w:gridCol w:w="148"/>
        <w:gridCol w:w="109"/>
        <w:gridCol w:w="109"/>
        <w:gridCol w:w="109"/>
        <w:gridCol w:w="293"/>
        <w:gridCol w:w="564"/>
        <w:gridCol w:w="151"/>
        <w:gridCol w:w="109"/>
        <w:gridCol w:w="109"/>
        <w:gridCol w:w="109"/>
        <w:gridCol w:w="211"/>
        <w:gridCol w:w="406"/>
        <w:gridCol w:w="109"/>
        <w:gridCol w:w="109"/>
        <w:gridCol w:w="109"/>
        <w:gridCol w:w="109"/>
        <w:gridCol w:w="212"/>
        <w:gridCol w:w="468"/>
        <w:gridCol w:w="165"/>
      </w:tblGrid>
      <w:tr>
        <w:trPr/>
        <w:tc>
          <w:tcPr>
            <w:tcW w:w="66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7"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 Feb 29, 2024</w:t>
            </w:r>
          </w:p>
        </w:tc>
      </w:tr>
      <w:tr>
        <w:trPr/>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Termination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Outside Consultants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Validation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Facilities Closeout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Regulatory Filings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May 31, 2023</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adjustments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February 29, 2024</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16. ACCUMULATED OTHER COMPREHENSIVE LOSS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each component of accumulated other comprehensive income, net of tax, are as follows:</w:t>
      </w:r>
    </w:p>
    <w:tbl>
      <w:tblPr>
        <w:tblW w:w="6014" w:type="dxa"/>
        <w:jc w:val="left"/>
        <w:tblInd w:w="0" w:type="dxa"/>
        <w:tblLayout w:type="fixed"/>
        <w:tblCellMar>
          <w:top w:w="28" w:type="dxa"/>
          <w:left w:w="28" w:type="dxa"/>
          <w:bottom w:w="28" w:type="dxa"/>
          <w:right w:w="28" w:type="dxa"/>
        </w:tblCellMar>
      </w:tblPr>
      <w:tblGrid>
        <w:gridCol w:w="1212"/>
        <w:gridCol w:w="1064"/>
        <w:gridCol w:w="1068"/>
        <w:gridCol w:w="533"/>
        <w:gridCol w:w="1748"/>
        <w:gridCol w:w="389"/>
      </w:tblGrid>
      <w:tr>
        <w:trPr/>
        <w:tc>
          <w:tcPr>
            <w:tcW w:w="12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 Feb 29, 2024</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income</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November 30, 2023</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2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income</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February 29, 2024</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14" w:type="dxa"/>
        <w:jc w:val="left"/>
        <w:tblInd w:w="0" w:type="dxa"/>
        <w:tblLayout w:type="fixed"/>
        <w:tblCellMar>
          <w:top w:w="28" w:type="dxa"/>
          <w:left w:w="28" w:type="dxa"/>
          <w:bottom w:w="28" w:type="dxa"/>
          <w:right w:w="28" w:type="dxa"/>
        </w:tblCellMar>
      </w:tblPr>
      <w:tblGrid>
        <w:gridCol w:w="1213"/>
        <w:gridCol w:w="1064"/>
        <w:gridCol w:w="1067"/>
        <w:gridCol w:w="533"/>
        <w:gridCol w:w="1748"/>
        <w:gridCol w:w="389"/>
      </w:tblGrid>
      <w:tr>
        <w:trPr/>
        <w:tc>
          <w:tcPr>
            <w:tcW w:w="121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 Feb 29, 2024</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income</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May 31, 2023</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2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income</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February 29, 2024</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17. RECENTLY ISSUED ACCOUNTING PRONOUNCEMENTS</w:t>
      </w:r>
    </w:p>
    <w:tbl>
      <w:tblPr>
        <w:tblW w:w="4779" w:type="dxa"/>
        <w:jc w:val="left"/>
        <w:tblInd w:w="0" w:type="dxa"/>
        <w:tblLayout w:type="fixed"/>
        <w:tblCellMar>
          <w:top w:w="28" w:type="dxa"/>
          <w:left w:w="28" w:type="dxa"/>
          <w:bottom w:w="28" w:type="dxa"/>
          <w:right w:w="28" w:type="dxa"/>
        </w:tblCellMar>
      </w:tblPr>
      <w:tblGrid>
        <w:gridCol w:w="431"/>
        <w:gridCol w:w="379"/>
        <w:gridCol w:w="379"/>
        <w:gridCol w:w="379"/>
        <w:gridCol w:w="379"/>
        <w:gridCol w:w="379"/>
        <w:gridCol w:w="379"/>
        <w:gridCol w:w="379"/>
        <w:gridCol w:w="379"/>
        <w:gridCol w:w="379"/>
        <w:gridCol w:w="379"/>
        <w:gridCol w:w="558"/>
      </w:tblGrid>
      <w:tr>
        <w:trPr/>
        <w:tc>
          <w:tcPr>
            <w:tcW w:w="43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477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 - Adopted</w:t>
            </w:r>
          </w:p>
        </w:tc>
      </w:tr>
      <w:tr>
        <w:trPr/>
        <w:tc>
          <w:tcPr>
            <w:tcW w:w="1189"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1189"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1189"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tbl>
      <w:tblPr>
        <w:tblW w:w="10205" w:type="dxa"/>
        <w:jc w:val="left"/>
        <w:tblInd w:w="0" w:type="dxa"/>
        <w:tblLayout w:type="fixed"/>
        <w:tblCellMar>
          <w:top w:w="28" w:type="dxa"/>
          <w:left w:w="28" w:type="dxa"/>
          <w:bottom w:w="28" w:type="dxa"/>
          <w:right w:w="28" w:type="dxa"/>
        </w:tblCellMar>
      </w:tblPr>
      <w:tblGrid>
        <w:gridCol w:w="921"/>
        <w:gridCol w:w="809"/>
        <w:gridCol w:w="819"/>
        <w:gridCol w:w="1381"/>
        <w:gridCol w:w="1381"/>
        <w:gridCol w:w="1395"/>
        <w:gridCol w:w="266"/>
        <w:gridCol w:w="266"/>
        <w:gridCol w:w="267"/>
        <w:gridCol w:w="854"/>
        <w:gridCol w:w="762"/>
        <w:gridCol w:w="1084"/>
      </w:tblGrid>
      <w:tr>
        <w:trPr/>
        <w:tc>
          <w:tcPr>
            <w:tcW w:w="92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Standard</w:t>
            </w:r>
          </w:p>
        </w:tc>
        <w:tc>
          <w:tcPr>
            <w:tcW w:w="4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on the Consolidated Financial Statements</w:t>
            </w:r>
          </w:p>
        </w:tc>
      </w:tr>
      <w:tr>
        <w:trPr/>
        <w:tc>
          <w:tcPr>
            <w:tcW w:w="25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ASU 2021-08, </w:t>
            </w:r>
            <w:r>
              <w:rPr>
                <w:rFonts w:ascii="Times New Roman;sans-serif" w:hAnsi="Times New Roman;sans-serif"/>
                <w:b w:val="false"/>
                <w:i/>
                <w:color w:val="000000"/>
                <w:sz w:val="20"/>
              </w:rPr>
              <w:t>Business Combinations (Topic 805): Accounting for Contract Assets and Contract Liabilities from Contracts with Customers</w:t>
            </w:r>
          </w:p>
          <w:p>
            <w:pPr>
              <w:pStyle w:val="TableContents"/>
              <w:bidi w:val="0"/>
              <w:spacing w:before="0" w:after="0"/>
              <w:jc w:val="left"/>
              <w:rPr/>
            </w:pPr>
            <w:r>
              <w:rPr/>
            </w:r>
          </w:p>
        </w:tc>
        <w:tc>
          <w:tcPr>
            <w:tcW w:w="415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20"/>
              </w:rPr>
              <w:t>This ASU</w:t>
            </w:r>
            <w:r>
              <w:rPr>
                <w:color w:val="000000"/>
                <w:shd w:fill="FFFFFF" w:val="clear"/>
              </w:rPr>
              <w:t xml:space="preserve"> </w:t>
            </w:r>
            <w:r>
              <w:rPr>
                <w:rFonts w:ascii="Times New Roman;sans-serif" w:hAnsi="Times New Roman;sans-serif"/>
                <w:b w:val="false"/>
                <w:color w:val="000000"/>
                <w:sz w:val="20"/>
                <w:shd w:fill="FFFFFF" w:val="clear"/>
              </w:rPr>
              <w:t xml:space="preserve">improves the accounting for acquired revenue contracts with customers in a business combination by addressing diversity in practice and inconsistency related to recognition of an acquired contract liability and payment terms and their effect on subsequent revenue recognized by the acquirer. </w:t>
            </w:r>
          </w:p>
        </w:tc>
        <w:tc>
          <w:tcPr>
            <w:tcW w:w="7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 2023</w:t>
            </w:r>
          </w:p>
        </w:tc>
        <w:tc>
          <w:tcPr>
            <w:tcW w:w="27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adopted the new standard in the first quarter of fiscal year 2024 and it did not have an impact on the Company's consolidated financial statements.</w:t>
            </w:r>
          </w:p>
        </w:tc>
      </w:tr>
    </w:tbl>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 - Not Yet Applicable or Adopted</w:t>
      </w:r>
    </w:p>
    <w:tbl>
      <w:tblPr>
        <w:tblW w:w="10205" w:type="dxa"/>
        <w:jc w:val="left"/>
        <w:tblInd w:w="0" w:type="dxa"/>
        <w:tblLayout w:type="fixed"/>
        <w:tblCellMar>
          <w:top w:w="28" w:type="dxa"/>
          <w:left w:w="28" w:type="dxa"/>
          <w:bottom w:w="28" w:type="dxa"/>
          <w:right w:w="28" w:type="dxa"/>
        </w:tblCellMar>
      </w:tblPr>
      <w:tblGrid>
        <w:gridCol w:w="845"/>
        <w:gridCol w:w="743"/>
        <w:gridCol w:w="752"/>
        <w:gridCol w:w="1320"/>
        <w:gridCol w:w="1282"/>
        <w:gridCol w:w="1295"/>
        <w:gridCol w:w="269"/>
        <w:gridCol w:w="269"/>
        <w:gridCol w:w="270"/>
        <w:gridCol w:w="987"/>
        <w:gridCol w:w="897"/>
        <w:gridCol w:w="1276"/>
      </w:tblGrid>
      <w:tr>
        <w:trPr/>
        <w:tc>
          <w:tcPr>
            <w:tcW w:w="84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Standard</w:t>
            </w:r>
          </w:p>
        </w:tc>
        <w:tc>
          <w:tcPr>
            <w:tcW w:w="3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3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on the Consolidated Financial Statements</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ASU 2023-07, </w:t>
            </w:r>
            <w:r>
              <w:rPr>
                <w:rFonts w:ascii="Times New Roman;sans-serif" w:hAnsi="Times New Roman;sans-serif"/>
                <w:b w:val="false"/>
                <w:i/>
                <w:color w:val="000000"/>
                <w:sz w:val="20"/>
              </w:rPr>
              <w:t>Segment Reporting (Topic 280): Improvements to Reportable Segment Disclosures</w:t>
            </w:r>
          </w:p>
        </w:tc>
        <w:tc>
          <w:tcPr>
            <w:tcW w:w="38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20"/>
              </w:rPr>
              <w:t>This ASU</w:t>
            </w:r>
            <w:r>
              <w:rPr>
                <w:color w:val="000000"/>
                <w:shd w:fill="FFFFFF" w:val="clear"/>
              </w:rPr>
              <w:t xml:space="preserve"> </w:t>
            </w:r>
            <w:r>
              <w:rPr>
                <w:rFonts w:ascii="Times New Roman;sans-serif" w:hAnsi="Times New Roman;sans-serif"/>
                <w:b w:val="false"/>
                <w:color w:val="000000"/>
                <w:sz w:val="20"/>
                <w:shd w:fill="FFFFFF" w:val="clear"/>
              </w:rPr>
              <w:t xml:space="preserve">improves the reportable segment disclosure requirements, primarily through enhanced disclosures about significant segment expenses. </w:t>
            </w:r>
          </w:p>
        </w:tc>
        <w:tc>
          <w:tcPr>
            <w:tcW w:w="8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 2024</w:t>
            </w:r>
          </w:p>
        </w:tc>
        <w:tc>
          <w:tcPr>
            <w:tcW w:w="31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plans to adopt the new standard in the first quarter of fiscal year 2025 and does not expect there to be a material impact to the consolidated financial statements. </w:t>
            </w:r>
          </w:p>
        </w:tc>
      </w:tr>
      <w:tr>
        <w:trPr/>
        <w:tc>
          <w:tcPr>
            <w:tcW w:w="23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ASU 2023-09, </w:t>
            </w:r>
            <w:r>
              <w:rPr>
                <w:rFonts w:ascii="Times New Roman;sans-serif" w:hAnsi="Times New Roman;sans-serif"/>
                <w:b w:val="false"/>
                <w:i/>
                <w:color w:val="000000"/>
                <w:sz w:val="20"/>
              </w:rPr>
              <w:t>Income Taxes (Topic 740): Improvements to Income Tax Disclosures</w:t>
            </w:r>
          </w:p>
        </w:tc>
        <w:tc>
          <w:tcPr>
            <w:tcW w:w="389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20"/>
              </w:rPr>
              <w:t>This ASU</w:t>
            </w:r>
            <w:r>
              <w:rPr>
                <w:color w:val="000000"/>
                <w:shd w:fill="FFFFFF" w:val="clear"/>
              </w:rPr>
              <w:t xml:space="preserve"> </w:t>
            </w:r>
            <w:r>
              <w:rPr>
                <w:rFonts w:ascii="Times New Roman;sans-serif" w:hAnsi="Times New Roman;sans-serif"/>
                <w:b w:val="false"/>
                <w:color w:val="000000"/>
                <w:sz w:val="20"/>
                <w:shd w:fill="FFFFFF" w:val="clear"/>
              </w:rPr>
              <w:t xml:space="preserve">improves the income tax disclosure requirements on an annual basis by (1) disclose specific categories in the rate reconciliation and (2) provide additional information for reconciling items that meet a quantitative threshold. </w:t>
            </w:r>
          </w:p>
        </w:tc>
        <w:tc>
          <w:tcPr>
            <w:tcW w:w="80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 2025</w:t>
            </w:r>
          </w:p>
        </w:tc>
        <w:tc>
          <w:tcPr>
            <w:tcW w:w="31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plans to adopt the new standard in the first quarter of fiscal year 2026 and does not expect there to be a material impact to the consolidated financial statements.</w:t>
            </w:r>
          </w:p>
        </w:tc>
      </w:tr>
    </w:tbl>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since our Annual Report on Form 10-K for fiscal year ended May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18. SUBSEQUENT EVENTS</w:t>
      </w:r>
    </w:p>
    <w:p>
      <w:pPr>
        <w:pStyle w:val="TextBody"/>
        <w:bidi w:val="0"/>
        <w:spacing w:lineRule="auto" w:line="288" w:before="0" w:after="180"/>
        <w:ind w:left="0" w:right="0" w:firstLine="450"/>
        <w:jc w:val="left"/>
        <w:rPr/>
      </w:pPr>
      <w:r>
        <w:rPr>
          <w:rFonts w:ascii="Times New Roman;sans-serif" w:hAnsi="Times New Roman;sans-serif"/>
          <w:b w:val="false"/>
          <w:color w:val="000000"/>
          <w:sz w:val="20"/>
        </w:rPr>
        <w:t xml:space="preserve">On March 31, 2024, the Company and BD entered into a Settlement Agreement as described in Note 14 "Commitments and Contingencies" set forth in the Notes to our consolidated financial statements in this Quarterly Report on Form 10 -Q. The Company will make a one-time lump sum payment to BD in the amount of $7.0 million, $3.0 million of which will be payable within 5 business days, and the remainder of which will be payable in installments over the next 12 months. The Company will also make six minimum annual payments to BD of $2.5 million through February, 2029, and potential additional payments if six percent (6%) of annual net sales of AngioDynamics’ port products exceed the minimum payment. The parties will participate in the pending appeal before the Federal Circuit of the case titled C.R. Bard, Inc. and Bard Peripheral Vascular, Inc. v. AngioDynamics, Inc. (C.A. 15-00218–JFB; and CAFC appeal No. 23-2056) and a contingent payment of $3.0 million will be due from AngioDynamics to BD if the Federal Circuit reverses or vacates the District Court’s findings of invalidity with respect to the patent claims at issue in the case. Neither party admitted any liability and the agreement contains mutual covenants not to sue and releases. The agreement contains mutual covenants not to sue and releases. As of </w:t>
      </w:r>
      <w:r>
        <w:rPr>
          <w:rFonts w:ascii="Times New Roman;sans-serif" w:hAnsi="Times New Roman;sans-serif"/>
          <w:b w:val="false"/>
          <w:color w:val="000000"/>
          <w:sz w:val="20"/>
          <w:shd w:fill="FFFFFF" w:val="clear"/>
        </w:rPr>
        <w:t xml:space="preserve">February 29, 2024, the lump sum and the present value of the minimum annual payments of $19.3 million was recorded in "Acquisition, restructuring and other items, net" on the </w:t>
      </w:r>
      <w:r>
        <w:rPr>
          <w:rFonts w:ascii="Times New Roman;sans-serif" w:hAnsi="Times New Roman;sans-serif"/>
          <w:b w:val="false"/>
          <w:color w:val="000000"/>
          <w:sz w:val="20"/>
        </w:rPr>
        <w:t xml:space="preserve">accompanying consolidated statements of operations and a long-term asset of </w:t>
      </w:r>
      <w:r>
        <w:rPr>
          <w:rFonts w:ascii="Times New Roman;sans-serif" w:hAnsi="Times New Roman;sans-serif"/>
          <w:b w:val="false"/>
          <w:color w:val="000000"/>
          <w:sz w:val="20"/>
          <w:shd w:fill="FFFFFF" w:val="clear"/>
        </w:rPr>
        <w:t xml:space="preserve">$1.3 million, other current liabilities of $8.5 million and other long-term liabilities of $12.0 million was recorded on the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information should be read together with the consolidated financial statements and the notes thereto and other information included elsewhere in this quarterly report on Form 10-Q. The following discussion should be read in conjunction with the Company's 2023 Annual Report on Form 10-K, and the consolidated financial statements and notes thereto included elsewhere in the Form 10-Q.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Disclosure Regarding Forward-Looking Statements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Other risks and uncertainties include, but are not limited to, the factors described from time to time in our reports filed with the Securities and Exchange Commission (the "SEC").</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investors are cautioned not to place undue reliance on these forward-looking statements which speak only as of the date stated, or if no date is stated, as of the date of this report. AngioDynamics disclaims any obligation to update the forward-looking statements.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Disclosure Regarding Trademarks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includes trademarks, tradenames and service marks that are our property or the property of other third parties.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 For a complete listing of all our trademarks, tradenames and service marks please visit www.angiodynamics.com/IP. Information on our website or connected to our website is not incorporated by reference into this Quarterly Report on Form 10-Q.</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Executive Overview</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AngioDynamics is a leading and transformative medical technology company focused on restoring healthy blood flow in the body's vascular system, expanding cancer treatment options and improving quality of life for patients. 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long-term use.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operations cross a variety of markets. Our financial performance is impacted by changing market dynamics, which have included an emergence of value-based purchasing by healthcare providers, consolidation of healthcare providers,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devices; and fluctuations in the global economy.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and profitability growth also depends, in part, on the introduction of new and innovative products, together with ongoing enhancements to our existing products. Expansions of our product offerings are created through internal and external product development, technology licensing and strategic alliances. We recognize the importance of, and intend to continue to make investments in research and development activities and selective business development opportunities to provide growth opportunities.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products in the United States primarily through a direct sales force, and outside the U.S. through a combination of direct sales and distributor relationships. Our end users include interventional radiologists, interventional cardiologists, vascular surgeons, urologists, interventional and surgical oncologists and critical care nurses. We expect our businesses to grow in both sales and profitability by expanding geographically, penetrating new markets, introducing new products and increasing our presence internationally.</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macroeconomic environment continues to impact our business and may continue to pose future risks. The Company's ability to manufacture products, the reliability of our supply chain, labor shortages, backlog and inflation (including the cost and availability of raw materials, direct labor and shipping) have impacted our business, trends that may continue. Accordingly, management continues to evaluate the Company’s liquidity position, communicate with and monitor the actions of our customers and suppliers, and review our near-term financial performance. </w:t>
      </w:r>
    </w:p>
    <w:p>
      <w:pPr>
        <w:pStyle w:val="TextBody"/>
        <w:bidi w:val="0"/>
        <w:spacing w:lineRule="auto" w:line="288" w:before="24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8, 2023, the Company completed the sale of the dialysis and BioSentry businesses to Merit Medical Systems, Inc. The Company also entered into various agreements to facilitate the transition to Merit, including a Transition Services Agreement and Contract Manufacturing Agreement. Total consideration received by the Company for the Divestiture was $100.0 million in cash and resulted in a pre-tax book gain of $47.8 million. </w:t>
      </w:r>
    </w:p>
    <w:p>
      <w:pPr>
        <w:pStyle w:val="TextBody"/>
        <w:bidi w:val="0"/>
        <w:spacing w:lineRule="auto" w:line="288" w:before="24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8, 2023 and in connection with the completion of the Divestiture, the Company repaid all amounts outstanding under its existing Credit Agreement, and as a result, the Credit Agreement was extinguished. </w:t>
      </w:r>
    </w:p>
    <w:p>
      <w:pPr>
        <w:pStyle w:val="TextBody"/>
        <w:bidi w:val="0"/>
        <w:spacing w:lineRule="auto" w:line="288" w:before="24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5, 2024, the Company announced a restructuring of its manufacturing footprint and a shift to an outsourced model (the "Plan"). This Plan will transfer all product manufacturing processes to third-party manufacturers. The restructuring activities associated with the Plan are expected to be completed in the third quarter of fiscal year 2026 and will allow the Company to more effectively compete in chosen markets and fundamentally change its corporate gross margin profile. </w:t>
      </w:r>
    </w:p>
    <w:p>
      <w:pPr>
        <w:pStyle w:val="TextBody"/>
        <w:bidi w:val="0"/>
        <w:spacing w:lineRule="auto" w:line="288" w:before="24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15, 2024, the Company completed the sale of the PICC and Midline businesses to Spectrum Vascular. The Company also entered into various agreements to facilitate the transition to Spectrum, including a Transition Services Agreement and Contract Manufacturing Agreement. Total consideration received by the Company for the Divestiture was $34.5 million in cash and resulted in a pre-tax book gain of $6.7 million. Included in the agreement is a $5.5 million earn-out related to the sales of divested products over a two year period and a milestone payment of $5.0 million paid upon final transfer of the manufacturing to a third-party. </w:t>
      </w:r>
    </w:p>
    <w:p>
      <w:pPr>
        <w:pStyle w:val="TextBody"/>
        <w:bidi w:val="0"/>
        <w:spacing w:lineRule="auto" w:line="288" w:before="24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fiscal year 2024, the Company concluded that the sustained decline in our stock price was a triggering event for the Med Tech reporting unit. The Company utilized the income approach to determine the fair value of the remaining Med Tech reporting unit. Based on the results of this evaluation, the Company recorded a goodwill impairment charge of $159.5 million for the quarter ended February 29, 2024 to write down the carrying value of the Med Tech reporting unit to fair value.</w:t>
      </w:r>
    </w:p>
    <w:p>
      <w:pPr>
        <w:pStyle w:val="TextBody"/>
        <w:bidi w:val="0"/>
        <w:spacing w:lineRule="auto" w:line="288" w:before="240" w:after="180"/>
        <w:ind w:left="0" w:right="0" w:firstLine="450"/>
        <w:jc w:val="left"/>
        <w:rPr/>
      </w:pPr>
      <w:r>
        <w:rPr>
          <w:rFonts w:ascii="Times New Roman;sans-serif" w:hAnsi="Times New Roman;sans-serif"/>
          <w:b w:val="false"/>
          <w:color w:val="000000"/>
          <w:sz w:val="20"/>
        </w:rPr>
        <w:t xml:space="preserve">On March 31, 2024, the Company and BD entered into a Settlement Agreement as described in Note 14 "Commitments and Contingencies" set forth in the Notes to our consolidated financial statements in this Quarterly Report on Form 10 -Q. The Company will make a one-time lump sum payment to BD in the amount of $7.0 million, $3.0 million of which will be payable within 5 business days, and the remainder of which will be payable in installments over the next 12 months. The Company will also make six minimum annual payments to BD of $2.5 million through February, 2029, and potential additional payments if six percent (6%) of annual net sales of AngioDynamics’ port products exceed the minimum payment. The parties will participate in the pending appeal before the Federal Circuit of the case titled C.R. Bard, Inc. and Bard Peripheral Vascular, Inc. v. AngioDynamics, Inc. (C.A. 15-00218–JFB; and CAFC appeal No. 23-2056) and a contingent payment of $3.0 million will be due from AngioDynamics to BD if the Federal Circuit reverses or vacates the District Court’s findings of invalidity with respect to the patent claims at issue in the case. Neither party admitted any liability and the agreement contains mutual covenants not to sue and releases. The agreement contains mutual covenants not to sue and releases. As of </w:t>
      </w:r>
      <w:r>
        <w:rPr>
          <w:rFonts w:ascii="Times New Roman;sans-serif" w:hAnsi="Times New Roman;sans-serif"/>
          <w:b w:val="false"/>
          <w:color w:val="000000"/>
          <w:sz w:val="20"/>
          <w:shd w:fill="FFFFFF" w:val="clear"/>
        </w:rPr>
        <w:t xml:space="preserve">February 29,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240" w:after="180"/>
        <w:jc w:val="left"/>
        <w:rPr/>
      </w:pPr>
      <w:r>
        <w:rPr>
          <w:rFonts w:ascii="Times New Roman;sans-serif" w:hAnsi="Times New Roman;sans-serif"/>
          <w:b w:val="false"/>
          <w:color w:val="000000"/>
          <w:sz w:val="20"/>
          <w:shd w:fill="FFFFFF" w:val="clear"/>
        </w:rPr>
        <w:t xml:space="preserve">the present value of the lump sum and minimum annual payments of $19.3 million was recorded in "Acquisition, restructuring and other items, net" on the </w:t>
      </w:r>
      <w:r>
        <w:rPr>
          <w:rFonts w:ascii="Times New Roman;sans-serif" w:hAnsi="Times New Roman;sans-serif"/>
          <w:b w:val="false"/>
          <w:color w:val="000000"/>
          <w:sz w:val="20"/>
        </w:rPr>
        <w:t xml:space="preserve">accompanying consolidated statements of operations and a long-term asset of </w:t>
      </w:r>
      <w:r>
        <w:rPr>
          <w:rFonts w:ascii="Times New Roman;sans-serif" w:hAnsi="Times New Roman;sans-serif"/>
          <w:b w:val="false"/>
          <w:color w:val="000000"/>
          <w:sz w:val="20"/>
          <w:shd w:fill="FFFFFF" w:val="clear"/>
        </w:rPr>
        <w:t xml:space="preserve">$1.3 million, other current liabilities of $8.5 million and other long-term liabilities of $12.0 million was recorded on the consolidated balance sheets. </w:t>
      </w:r>
    </w:p>
    <w:p>
      <w:pPr>
        <w:pStyle w:val="TextBody"/>
        <w:bidi w:val="0"/>
        <w:spacing w:lineRule="auto" w:line="288" w:before="24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evaluating the operating performance of our business, management focuses on company-wide and segment revenue and gross margin and company-wide operating income, earnings per share and cash flow from operations. A summary of these key financial metrics for the three and nine months ended February 29, 2024 compared to the three and nine months ended February 28, 2023 are as follows: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February 29, 2024:</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Revenue decreased by 6.9% to $75.2 million</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Med Tech growth of 13.0% and Med Device declined by 14.7%</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Gross profit decreased 250 bps to 47.7%</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Med Tech gross profit decreased 320 bps to 61.4% and Med Device gross profit decreased 400 bps to 40.5%</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Net loss increased by $178.3 million to $187.7 million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Loss per share increased by $4.43 to $4.67</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Nine months ended February 29, 2024:</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Revenue decreased by 6.0% to $232.9 million</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Med Tech growth of 9.8% and Med Device declined by 12.2%</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Gross profit decreased 170 bps to 49.9%</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Med Tech gross profit decreased 100 bps 62.8% and Med Device gross profit decreased 330 bps to 43.5%</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Net loss increased by $139.9 million to $170.9 million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Loss per share increased by $3.47 to $4.26</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Cash used in operations increased by $17.3 million to $33.2 million</w:t>
      </w:r>
    </w:p>
    <w:p>
      <w:pPr>
        <w:pStyle w:val="TextBody"/>
        <w:bidi w:val="0"/>
        <w:spacing w:before="0" w:after="0"/>
        <w:jc w:val="left"/>
        <w:rPr/>
      </w:pPr>
      <w:r>
        <w:rPr/>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February 29, 2024, the decrease in revenue is partially due to the sale of the PICCs, Midline, dialysis and BioSentry businesses which impacted sales by $9.6 million and $25.6 million compared to the three and nine months ended February 28, 2023, respectively. Our Med Tech revenue, comprised of Auryon, the thrombus management platform and NanoKnife, grew 13.0% in the third quarter of fiscal year 2024. The growth in Auryon and NanoKnife was partially offset by continued softness in the thrombus management platform. Our Med Device revenue declined by 14.7% in the third quarter of fiscal year 2024 driven mainly by the sale of the PICCs, Midlines, dialysis and BioSentry businesses.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February 29, 2024, the Company reported net loss of $187.7 million, or diluted loss per share of $4.67, on net sales of $75.2 million, compared with a net loss of $9.5 million, or a loss of $0.24 per diluted share, on net sales of $80.7 million during the same quarter of the prior year. For the nine months ended February 29, 2024, the Company reported net loss of $170.9 million, or diluted loss per share of $4.26, on net sales of $232.9 million, compared with a net loss of $31.0 million, or a loss of $0.79 per diluted share, on net sales of $247.7 million during the same quarter of the prior year. </w:t>
      </w:r>
    </w:p>
    <w:p>
      <w:pPr>
        <w:pStyle w:val="TextBody"/>
        <w:bidi w:val="0"/>
        <w:spacing w:lineRule="auto" w:line="288" w:before="0" w:after="180"/>
        <w:jc w:val="left"/>
        <w:rPr/>
      </w:pPr>
      <w:r>
        <w:rPr>
          <w:rFonts w:ascii="Times New Roman;sans-serif" w:hAnsi="Times New Roman;sans-serif"/>
          <w:b w:val="false"/>
          <w:color w:val="000000"/>
          <w:sz w:val="20"/>
          <w:u w:val="single"/>
        </w:rPr>
        <w:t>Net sales</w:t>
      </w:r>
      <w:r>
        <w:rPr>
          <w:color w:val="000000"/>
        </w:rPr>
        <w:t xml:space="preserve"> </w:t>
      </w:r>
      <w:r>
        <w:rPr>
          <w:rFonts w:ascii="Times New Roman;sans-serif" w:hAnsi="Times New Roman;sans-serif"/>
          <w:b w:val="false"/>
          <w:color w:val="000000"/>
          <w:sz w:val="20"/>
        </w:rPr>
        <w:t xml:space="preserve">- Net sales are derived from the sale of products and related freight charges, less discounts, rebates and returns. </w:t>
      </w:r>
    </w:p>
    <w:tbl>
      <w:tblPr>
        <w:tblW w:w="9290" w:type="dxa"/>
        <w:jc w:val="left"/>
        <w:tblInd w:w="0" w:type="dxa"/>
        <w:tblLayout w:type="fixed"/>
        <w:tblCellMar>
          <w:top w:w="28" w:type="dxa"/>
          <w:left w:w="28" w:type="dxa"/>
          <w:bottom w:w="28" w:type="dxa"/>
          <w:right w:w="28" w:type="dxa"/>
        </w:tblCellMar>
      </w:tblPr>
      <w:tblGrid>
        <w:gridCol w:w="402"/>
        <w:gridCol w:w="353"/>
        <w:gridCol w:w="354"/>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11"/>
        <w:gridCol w:w="826"/>
        <w:gridCol w:w="109"/>
        <w:gridCol w:w="109"/>
        <w:gridCol w:w="109"/>
        <w:gridCol w:w="109"/>
        <w:gridCol w:w="211"/>
        <w:gridCol w:w="826"/>
        <w:gridCol w:w="109"/>
        <w:gridCol w:w="109"/>
        <w:gridCol w:w="109"/>
        <w:gridCol w:w="109"/>
        <w:gridCol w:w="211"/>
        <w:gridCol w:w="796"/>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 Tech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 Device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tbl>
      <w:tblPr>
        <w:tblW w:w="9800" w:type="dxa"/>
        <w:jc w:val="center"/>
        <w:tblInd w:w="0" w:type="dxa"/>
        <w:tblLayout w:type="fixed"/>
        <w:tblCellMar>
          <w:top w:w="28" w:type="dxa"/>
          <w:left w:w="28" w:type="dxa"/>
          <w:bottom w:w="28" w:type="dxa"/>
          <w:right w:w="28" w:type="dxa"/>
        </w:tblCellMar>
      </w:tblPr>
      <w:tblGrid>
        <w:gridCol w:w="587"/>
        <w:gridCol w:w="515"/>
        <w:gridCol w:w="517"/>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11"/>
        <w:gridCol w:w="826"/>
        <w:gridCol w:w="109"/>
        <w:gridCol w:w="109"/>
        <w:gridCol w:w="109"/>
        <w:gridCol w:w="109"/>
        <w:gridCol w:w="211"/>
        <w:gridCol w:w="826"/>
        <w:gridCol w:w="109"/>
        <w:gridCol w:w="109"/>
        <w:gridCol w:w="109"/>
        <w:gridCol w:w="109"/>
        <w:gridCol w:w="211"/>
        <w:gridCol w:w="796"/>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February 29, 2024, net sales decreased $5.5 million to $75.2 million compared to the three months ended February 28, 2023. For the nine months ended February 29, 2024, net sales decreased $14.7 million to $232.9 million compared to the nine months ended February 28, 2023. At February 29, 2024, the Company had a backlog of $1.2 million, a decrease of $0.9 million from November 30, 2023.</w:t>
      </w:r>
    </w:p>
    <w:p>
      <w:pPr>
        <w:pStyle w:val="TextBody"/>
        <w:bidi w:val="0"/>
        <w:spacing w:lineRule="auto" w:line="288" w:before="0" w:after="180"/>
        <w:ind w:left="0" w:right="0" w:firstLine="450"/>
        <w:jc w:val="left"/>
        <w:rPr/>
      </w:pPr>
      <w:r>
        <w:rPr>
          <w:rFonts w:ascii="Times New Roman;sans-serif" w:hAnsi="Times New Roman;sans-serif"/>
          <w:b w:val="false"/>
          <w:color w:val="000000"/>
          <w:sz w:val="20"/>
          <w:shd w:fill="FFFFFF" w:val="clear"/>
        </w:rPr>
        <w:t>The Med Tec</w:t>
      </w:r>
      <w:r>
        <w:rPr>
          <w:rFonts w:ascii="Times New Roman;sans-serif" w:hAnsi="Times New Roman;sans-serif"/>
          <w:b w:val="false"/>
          <w:color w:val="000000"/>
          <w:sz w:val="20"/>
        </w:rPr>
        <w:t>h segment net sales increased $3.0 million and $6.9 million fo</w:t>
      </w:r>
      <w:r>
        <w:rPr>
          <w:rFonts w:ascii="Times New Roman;sans-serif" w:hAnsi="Times New Roman;sans-serif"/>
          <w:b w:val="false"/>
          <w:color w:val="000000"/>
          <w:sz w:val="20"/>
          <w:shd w:fill="FFFFFF" w:val="clear"/>
        </w:rPr>
        <w:t>r the three and nine months ended February 29, 2024</w:t>
      </w:r>
      <w:r>
        <w:rPr>
          <w:color w:val="000000"/>
        </w:rPr>
        <w:t xml:space="preserve"> </w:t>
      </w:r>
      <w:r>
        <w:rPr>
          <w:rFonts w:ascii="Times New Roman;sans-serif" w:hAnsi="Times New Roman;sans-serif"/>
          <w:b w:val="false"/>
          <w:color w:val="000000"/>
          <w:sz w:val="20"/>
        </w:rPr>
        <w:t>compared to the three and nine months ended February 28, 2023, respectively. The change in sales for both periods was primarily driven by: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Increased Auryon sales of $1.5 million and $5.0 million compared to the three and nine months ended February 28, 2023, respectively;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Decreased sales of the thrombus management platform of $0.5 million and $1.8 million compared to the three and nine months ended February 28, 2023, respectively. This was driven by AngioVac sales remaining consistent and decreasing $1.2 million compared to the three and nine months ended February 28, 2023, respectively. This was also driven by AlphaVac sales decreasing $0.9 million and $0.6 million, respectively; and </w:t>
      </w:r>
    </w:p>
    <w:p>
      <w:pPr>
        <w:pStyle w:val="TextBody"/>
        <w:bidi w:val="0"/>
        <w:spacing w:lineRule="auto" w:line="288" w:before="0" w:after="180"/>
        <w:ind w:left="0" w:right="0" w:hanging="360"/>
        <w:jc w:val="left"/>
        <w:rPr/>
      </w:pPr>
      <w:r>
        <w:rPr>
          <w:color w:val="000000"/>
          <w:shd w:fill="FFFFFF" w:val="clear"/>
        </w:rPr>
        <w:t>•</w:t>
      </w:r>
      <w:r>
        <w:rPr>
          <w:rFonts w:ascii="Times New Roman;sans-serif" w:hAnsi="Times New Roman;sans-serif"/>
          <w:b w:val="false"/>
          <w:color w:val="000000"/>
          <w:sz w:val="20"/>
        </w:rPr>
        <w:t xml:space="preserve">Increased NanoKnife sales of $1.9 million and $3.5 million compared to the three and nine months ended February 28, 2023, respectively, which was driven by increased capital and disposable sales for the three and </w:t>
      </w:r>
      <w:r>
        <w:rPr>
          <w:rFonts w:ascii="Times New Roman;sans-serif" w:hAnsi="Times New Roman;sans-serif"/>
          <w:b w:val="false"/>
          <w:color w:val="000000"/>
          <w:sz w:val="20"/>
          <w:shd w:fill="FFFFFF" w:val="clear"/>
        </w:rPr>
        <w:t>nine</w:t>
      </w:r>
      <w:r>
        <w:rPr>
          <w:color w:val="000000"/>
        </w:rPr>
        <w:t xml:space="preserve"> </w:t>
      </w:r>
      <w:r>
        <w:rPr>
          <w:rFonts w:ascii="Times New Roman;sans-serif" w:hAnsi="Times New Roman;sans-serif"/>
          <w:b w:val="false"/>
          <w:color w:val="000000"/>
          <w:sz w:val="20"/>
        </w:rPr>
        <w:t xml:space="preserve">months ended February 29, 2024. </w:t>
      </w:r>
    </w:p>
    <w:p>
      <w:pPr>
        <w:pStyle w:val="TextBody"/>
        <w:bidi w:val="0"/>
        <w:spacing w:lineRule="auto" w:line="288" w:before="0" w:after="180"/>
        <w:ind w:left="0" w:right="0" w:firstLine="450"/>
        <w:jc w:val="left"/>
        <w:rPr/>
      </w:pPr>
      <w:r>
        <w:rPr>
          <w:rFonts w:ascii="Times New Roman;sans-serif" w:hAnsi="Times New Roman;sans-serif"/>
          <w:b w:val="false"/>
          <w:color w:val="000000"/>
          <w:sz w:val="20"/>
          <w:shd w:fill="FFFFFF" w:val="clear"/>
        </w:rPr>
        <w:t>The Me</w:t>
      </w:r>
      <w:r>
        <w:rPr>
          <w:rFonts w:ascii="Times New Roman;sans-serif" w:hAnsi="Times New Roman;sans-serif"/>
          <w:b w:val="false"/>
          <w:color w:val="000000"/>
          <w:sz w:val="20"/>
        </w:rPr>
        <w:t>d Device segment net sales decreased $8.5 million and $21.6 million for</w:t>
      </w:r>
      <w:r>
        <w:rPr>
          <w:color w:val="000000"/>
          <w:shd w:fill="FFFFFF" w:val="clear"/>
        </w:rPr>
        <w:t xml:space="preserve"> </w:t>
      </w:r>
      <w:r>
        <w:rPr>
          <w:rFonts w:ascii="Times New Roman;sans-serif" w:hAnsi="Times New Roman;sans-serif"/>
          <w:b w:val="false"/>
          <w:color w:val="000000"/>
          <w:sz w:val="20"/>
          <w:shd w:fill="FFFFFF" w:val="clear"/>
        </w:rPr>
        <w:t xml:space="preserve">the three and nine months ended February 29, 2024 </w:t>
      </w:r>
      <w:r>
        <w:rPr>
          <w:rFonts w:ascii="Times New Roman;sans-serif" w:hAnsi="Times New Roman;sans-serif"/>
          <w:b w:val="false"/>
          <w:color w:val="000000"/>
          <w:sz w:val="20"/>
        </w:rPr>
        <w:t>compared to the three and nine months ended February 28, 2023, respectively</w:t>
      </w:r>
      <w:r>
        <w:rPr>
          <w:rFonts w:ascii="Times New Roman;sans-serif" w:hAnsi="Times New Roman;sans-serif"/>
          <w:b w:val="false"/>
          <w:color w:val="000000"/>
          <w:sz w:val="20"/>
          <w:shd w:fill="FFFFFF" w:val="clear"/>
        </w:rPr>
        <w:t xml:space="preserve">. The backlog, which primarily impacted sales of Core and Vascular Access products, was </w:t>
      </w:r>
      <w:r>
        <w:rPr>
          <w:rFonts w:ascii="Times New Roman;sans-serif" w:hAnsi="Times New Roman;sans-serif"/>
          <w:b w:val="false"/>
          <w:color w:val="000000"/>
          <w:sz w:val="20"/>
        </w:rPr>
        <w:t>$1.2 million, a decrease of $0.9 million from November 30, 2023.</w:t>
      </w:r>
    </w:p>
    <w:p>
      <w:pPr>
        <w:pStyle w:val="TextBody"/>
        <w:bidi w:val="0"/>
        <w:spacing w:lineRule="auto" w:line="288" w:before="0" w:after="180"/>
        <w:ind w:left="0" w:right="0" w:firstLine="450"/>
        <w:jc w:val="left"/>
        <w:rPr/>
      </w:pPr>
      <w:r>
        <w:rPr>
          <w:rFonts w:ascii="Times New Roman;sans-serif" w:hAnsi="Times New Roman;sans-serif"/>
          <w:b w:val="false"/>
          <w:color w:val="000000"/>
          <w:sz w:val="20"/>
          <w:shd w:fill="FFFFFF" w:val="clear"/>
        </w:rPr>
        <w:t xml:space="preserve">The change in sales for the three months ended February 29, 2024 </w:t>
      </w:r>
      <w:r>
        <w:rPr>
          <w:rFonts w:ascii="Times New Roman;sans-serif" w:hAnsi="Times New Roman;sans-serif"/>
          <w:b w:val="false"/>
          <w:color w:val="000000"/>
          <w:sz w:val="20"/>
        </w:rPr>
        <w:t>compared to the three months ended February 28, 2023, respectively,</w:t>
      </w:r>
      <w:r>
        <w:rPr>
          <w:color w:val="000000"/>
          <w:shd w:fill="FFFFFF" w:val="clear"/>
        </w:rPr>
        <w:t xml:space="preserve"> </w:t>
      </w:r>
      <w:r>
        <w:rPr>
          <w:rFonts w:ascii="Times New Roman;sans-serif" w:hAnsi="Times New Roman;sans-serif"/>
          <w:b w:val="false"/>
          <w:color w:val="000000"/>
          <w:sz w:val="20"/>
          <w:shd w:fill="FFFFFF" w:val="clear"/>
        </w:rPr>
        <w:t>was primarily driven by: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Decreased sales of PICCs and Midline products of $1.6 million and $0.5 million, respectively, which was due to the divestiture of these businesses on February 15, 2024;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Decreased sales of dialysis and BioSentry products of $5.7 million and $1.8 million, respectively, which was due to the divestiture of these businesses on June 8, 2023;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Decreased sales of RadioFrequency Ablation and Syntrax of $0.9 million and $0.1 million, respectively. These products were discontinued as of February 29, 2024;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Increased sales of Core, Venous and Ports of $1.2 million, $1.2 million and $0.4 million, respectively. This increase was partially offset by decreased sales of Microwave and Other VA and Oncology products of $0.4 million and $0.5 million, respectively. </w:t>
      </w:r>
    </w:p>
    <w:p>
      <w:pPr>
        <w:pStyle w:val="TextBody"/>
        <w:bidi w:val="0"/>
        <w:spacing w:before="0" w:after="0"/>
        <w:jc w:val="left"/>
        <w:rPr/>
      </w:pPr>
      <w:r>
        <w:rPr/>
      </w:r>
    </w:p>
    <w:p>
      <w:pPr>
        <w:pStyle w:val="TextBody"/>
        <w:bidi w:val="0"/>
        <w:spacing w:lineRule="auto" w:line="288" w:before="0" w:after="180"/>
        <w:ind w:left="0" w:right="0" w:firstLine="450"/>
        <w:jc w:val="left"/>
        <w:rPr/>
      </w:pPr>
      <w:r>
        <w:rPr>
          <w:rFonts w:ascii="Times New Roman;sans-serif" w:hAnsi="Times New Roman;sans-serif"/>
          <w:b w:val="false"/>
          <w:color w:val="000000"/>
          <w:sz w:val="20"/>
          <w:shd w:fill="FFFFFF" w:val="clear"/>
        </w:rPr>
        <w:t xml:space="preserve">The change in sales for the nine months ended February 29, 2024 </w:t>
      </w:r>
      <w:r>
        <w:rPr>
          <w:rFonts w:ascii="Times New Roman;sans-serif" w:hAnsi="Times New Roman;sans-serif"/>
          <w:b w:val="false"/>
          <w:color w:val="000000"/>
          <w:sz w:val="20"/>
        </w:rPr>
        <w:t xml:space="preserve">compared to the nine months ended February 28, 2023, respectively, </w:t>
      </w:r>
      <w:r>
        <w:rPr>
          <w:rFonts w:ascii="Times New Roman;sans-serif" w:hAnsi="Times New Roman;sans-serif"/>
          <w:b w:val="false"/>
          <w:color w:val="000000"/>
          <w:sz w:val="20"/>
          <w:shd w:fill="FFFFFF" w:val="clear"/>
        </w:rPr>
        <w:t>was primarily driven by: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Decreased sales of PICCs and Midline products of $2.3 million and $0.2 million, respectively, which was due to the divestiture of these businesses on February 15, 2024;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Decreased sales of dialysis and BioSentry products of $17.9 million and $5.2 million, respectively, which was due to the divestiture of these businesses on June 8, 2023;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Decreased sales of RadioFrequency Ablation and Syntrax of $1.5 million and $0.1 million, respectively. These products were discontinued as of February 29, 2024;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Increased sales of Core, Ports, Venous and Microwave of $1.6 million, $2.4 million, $1.7 million and $0.3 million, respectively. This increase was partially offset by decreased sales of Other VA and Oncology products of $0.5 million.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Gross Profit </w:t>
      </w:r>
    </w:p>
    <w:tbl>
      <w:tblPr>
        <w:tblW w:w="10205" w:type="dxa"/>
        <w:jc w:val="left"/>
        <w:tblInd w:w="0" w:type="dxa"/>
        <w:tblLayout w:type="fixed"/>
        <w:tblCellMar>
          <w:top w:w="28" w:type="dxa"/>
          <w:left w:w="28" w:type="dxa"/>
          <w:bottom w:w="28" w:type="dxa"/>
          <w:right w:w="28" w:type="dxa"/>
        </w:tblCellMar>
      </w:tblPr>
      <w:tblGrid>
        <w:gridCol w:w="518"/>
        <w:gridCol w:w="454"/>
        <w:gridCol w:w="456"/>
        <w:gridCol w:w="211"/>
        <w:gridCol w:w="721"/>
        <w:gridCol w:w="271"/>
        <w:gridCol w:w="109"/>
        <w:gridCol w:w="109"/>
        <w:gridCol w:w="109"/>
        <w:gridCol w:w="211"/>
        <w:gridCol w:w="721"/>
        <w:gridCol w:w="271"/>
        <w:gridCol w:w="109"/>
        <w:gridCol w:w="109"/>
        <w:gridCol w:w="109"/>
        <w:gridCol w:w="211"/>
        <w:gridCol w:w="664"/>
        <w:gridCol w:w="109"/>
        <w:gridCol w:w="109"/>
        <w:gridCol w:w="109"/>
        <w:gridCol w:w="109"/>
        <w:gridCol w:w="211"/>
        <w:gridCol w:w="826"/>
        <w:gridCol w:w="271"/>
        <w:gridCol w:w="109"/>
        <w:gridCol w:w="109"/>
        <w:gridCol w:w="109"/>
        <w:gridCol w:w="211"/>
        <w:gridCol w:w="826"/>
        <w:gridCol w:w="271"/>
        <w:gridCol w:w="109"/>
        <w:gridCol w:w="109"/>
        <w:gridCol w:w="109"/>
        <w:gridCol w:w="211"/>
        <w:gridCol w:w="769"/>
        <w:gridCol w:w="156"/>
      </w:tblGrid>
      <w:tr>
        <w:trPr/>
        <w:tc>
          <w:tcPr>
            <w:tcW w:w="5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Med Tech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 Device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 of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180"/>
        <w:jc w:val="left"/>
        <w:rPr/>
      </w:pPr>
      <w:r>
        <w:rPr>
          <w:rFonts w:ascii="Times New Roman;sans-serif" w:hAnsi="Times New Roman;sans-serif"/>
          <w:b w:val="false"/>
          <w:color w:val="000000"/>
          <w:sz w:val="20"/>
          <w:u w:val="single"/>
        </w:rPr>
        <w:t>Gross profit</w:t>
      </w:r>
      <w:r>
        <w:rPr>
          <w:color w:val="000000"/>
        </w:rPr>
        <w:t xml:space="preserve"> </w:t>
      </w:r>
      <w:r>
        <w:rPr>
          <w:rFonts w:ascii="Times New Roman;sans-serif" w:hAnsi="Times New Roman;sans-serif"/>
          <w:b w:val="false"/>
          <w:color w:val="000000"/>
          <w:sz w:val="20"/>
        </w:rPr>
        <w:t xml:space="preserve">-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 </w:t>
      </w:r>
    </w:p>
    <w:p>
      <w:pPr>
        <w:pStyle w:val="TextBody"/>
        <w:bidi w:val="0"/>
        <w:spacing w:lineRule="auto" w:line="288" w:before="0" w:after="180"/>
        <w:jc w:val="left"/>
        <w:rPr/>
      </w:pPr>
      <w:r>
        <w:rPr>
          <w:rFonts w:ascii="Times New Roman;sans-serif" w:hAnsi="Times New Roman;sans-serif"/>
          <w:b w:val="false"/>
          <w:color w:val="000000"/>
          <w:sz w:val="20"/>
        </w:rPr>
        <w:t xml:space="preserve">Total Company gross profit decreased by $4.6 million and $11.7 million for the three and </w:t>
      </w:r>
      <w:r>
        <w:rPr>
          <w:rFonts w:ascii="Times New Roman;sans-serif" w:hAnsi="Times New Roman;sans-serif"/>
          <w:b w:val="false"/>
          <w:color w:val="000000"/>
          <w:sz w:val="20"/>
          <w:shd w:fill="FFFFFF" w:val="clear"/>
        </w:rPr>
        <w:t>nine</w:t>
      </w:r>
      <w:r>
        <w:rPr>
          <w:color w:val="000000"/>
        </w:rPr>
        <w:t xml:space="preserve"> </w:t>
      </w:r>
      <w:r>
        <w:rPr>
          <w:rFonts w:ascii="Times New Roman;sans-serif" w:hAnsi="Times New Roman;sans-serif"/>
          <w:b w:val="false"/>
          <w:color w:val="000000"/>
          <w:sz w:val="20"/>
        </w:rPr>
        <w:t>months ended February 29, 2024 compared to the three and nine months ended February 28, 2023, respectively. The change for both periods was primarily driven by: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sale of the PICCs, Midline, dialysis and BioSentry businesses, which negatively impacted gross profit by $5.4 million and $15.3 million, respectively;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Sales volume, which positively impacted gross profit by $2.5 million and $6.5 million, respectively;</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Price, which positively impacted gross profit by $1.1 million and $1.1 million, respectively;</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rPr>
        <w:t>Production volume and other costs, which negatively impacted gross profit by $1.9 million and $0.7 million, respectively and is inclusive of a $1.0 million recall reserve that was recorded in the third quarter of fiscal year 2024;</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Sales mix, which negatively impacted gross profit by $0.8 million and $1.7 million, respectively;</w:t>
      </w:r>
    </w:p>
    <w:p>
      <w:pPr>
        <w:pStyle w:val="TextBody"/>
        <w:bidi w:val="0"/>
        <w:spacing w:lineRule="auto" w:line="268" w:before="0" w:after="0"/>
        <w:ind w:left="0" w:right="0" w:hanging="360"/>
        <w:jc w:val="left"/>
        <w:rPr/>
      </w:pPr>
      <w:r>
        <w:rPr>
          <w:color w:val="000000"/>
          <w:shd w:fill="FFFFFF" w:val="clear"/>
        </w:rPr>
        <w:t>•</w:t>
      </w:r>
      <w:r>
        <w:rPr>
          <w:rFonts w:ascii="Times New Roman;sans-serif" w:hAnsi="Times New Roman;sans-serif"/>
          <w:b w:val="false"/>
          <w:color w:val="000000"/>
          <w:sz w:val="20"/>
        </w:rPr>
        <w:t>Inflationary costs on raw materials, labor shortages and freight costs had a consistent impact on gross profit for the three months ended February 29, 2024 compared to the three months ended February 28, 2023, and which negatively impacted gross profit by $0.7 million for the nine months ended February 29, 2024 compared to the nine months ended February 28, 2023;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Incremental depreciation on placement units of $0.2 million and $0.8 million, respectively.</w:t>
      </w:r>
    </w:p>
    <w:p>
      <w:pPr>
        <w:pStyle w:val="TextBody"/>
        <w:bidi w:val="0"/>
        <w:spacing w:before="0" w:after="0"/>
        <w:jc w:val="left"/>
        <w:rPr/>
      </w:pPr>
      <w:r>
        <w:rPr/>
      </w:r>
    </w:p>
    <w:p>
      <w:pPr>
        <w:pStyle w:val="TextBody"/>
        <w:bidi w:val="0"/>
        <w:spacing w:lineRule="auto" w:line="288" w:before="0" w:after="180"/>
        <w:jc w:val="left"/>
        <w:rPr/>
      </w:pPr>
      <w:r>
        <w:rPr>
          <w:rFonts w:ascii="Times New Roman;sans-serif" w:hAnsi="Times New Roman;sans-serif"/>
          <w:b w:val="false"/>
          <w:color w:val="000000"/>
          <w:sz w:val="20"/>
        </w:rPr>
        <w:t xml:space="preserve">The Med Tech segment gross profit increased by $1.1 million and $3.6 million for the three and </w:t>
      </w:r>
      <w:r>
        <w:rPr>
          <w:rFonts w:ascii="Times New Roman;sans-serif" w:hAnsi="Times New Roman;sans-serif"/>
          <w:b w:val="false"/>
          <w:color w:val="000000"/>
          <w:sz w:val="20"/>
          <w:shd w:fill="FFFFFF" w:val="clear"/>
        </w:rPr>
        <w:t xml:space="preserve">nine </w:t>
      </w:r>
      <w:r>
        <w:rPr>
          <w:rFonts w:ascii="Times New Roman;sans-serif" w:hAnsi="Times New Roman;sans-serif"/>
          <w:b w:val="false"/>
          <w:color w:val="000000"/>
          <w:sz w:val="20"/>
        </w:rPr>
        <w:t>months ended February 29, 2024 compared to the three and nine months ended February 28, 2023, respectively. The change for both periods was primarily driven by: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Sales volume, which positively impacted gross profit by $1.6 million and $4.4 million, respectively;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Price and other incentives which positively impacted gross profit by $0.4 million and $1.5 million, respectively;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Sales mix, which negatively impacted gross profit by $0.7 million and $1.5 million, respectively;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Incremental depreciation on placement units of $0.1 million and $0.5 million, respectively.</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The Med Device segment gross profit decreased by $5.7 million and $15.3 million for the three and </w:t>
      </w:r>
      <w:r>
        <w:rPr>
          <w:rFonts w:ascii="Times New Roman;sans-serif" w:hAnsi="Times New Roman;sans-serif"/>
          <w:b w:val="false"/>
          <w:color w:val="000000"/>
          <w:sz w:val="20"/>
          <w:shd w:fill="FFFFFF" w:val="clear"/>
        </w:rPr>
        <w:t>nine</w:t>
      </w:r>
      <w:r>
        <w:rPr>
          <w:color w:val="000000"/>
        </w:rPr>
        <w:t xml:space="preserve"> </w:t>
      </w:r>
      <w:r>
        <w:rPr>
          <w:rFonts w:ascii="Times New Roman;sans-serif" w:hAnsi="Times New Roman;sans-serif"/>
          <w:b w:val="false"/>
          <w:color w:val="000000"/>
          <w:sz w:val="20"/>
        </w:rPr>
        <w:t>months ended February 29, 2024 compared to the three and nine months ended February 28, 2023, respectively. The change for both periods was primarily driven by:</w:t>
      </w:r>
    </w:p>
    <w:p>
      <w:pPr>
        <w:pStyle w:val="TextBody"/>
        <w:bidi w:val="0"/>
        <w:spacing w:lineRule="auto" w:line="26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sale of the PICCs, Midline, dialysis and BioSentry businesses, which negatively impacted gross profit by $5.4 million and $15.3 million, respectively;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Sales volume, which positively impacted gross profit by $1.0 million and $2.3 million, respectively;</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rPr>
        <w:t>Production volume, price and other incentives, which negatively impacted gross profit by $0.9 million and $0.2 million, respectively and is inclusive of a $1.0 million recall reserve that was recorded in the third quarter of fiscal year 2024;</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Sales mix, which negatively impacted gross profit by $0.4 million and $0.9 million, respectively;</w:t>
      </w:r>
    </w:p>
    <w:p>
      <w:pPr>
        <w:pStyle w:val="TextBody"/>
        <w:bidi w:val="0"/>
        <w:spacing w:lineRule="auto" w:line="268" w:before="0" w:after="0"/>
        <w:ind w:left="0" w:right="0" w:hanging="360"/>
        <w:jc w:val="left"/>
        <w:rPr/>
      </w:pPr>
      <w:r>
        <w:rPr>
          <w:color w:val="000000"/>
          <w:shd w:fill="FFFFFF" w:val="clear"/>
        </w:rPr>
        <w:t>•</w:t>
      </w:r>
      <w:r>
        <w:rPr>
          <w:rFonts w:ascii="Times New Roman;sans-serif" w:hAnsi="Times New Roman;sans-serif"/>
          <w:b w:val="false"/>
          <w:color w:val="000000"/>
          <w:sz w:val="20"/>
        </w:rPr>
        <w:t>Inflationary costs on raw materials, labor shortages and freight costs had a consistent impact on gross profit for the three months ended February 29, 2024 compared to the three months ended February 28, 2023, and which negatively impacted gross profit by $0.9 million for the nine months ended February 29, 2024 compared to the nine months ended February 28, 2023;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68" w:before="0" w:after="0"/>
        <w:ind w:left="0" w:right="0" w:hanging="360"/>
        <w:jc w:val="left"/>
        <w:rPr/>
      </w:pPr>
      <w:r>
        <w:rPr>
          <w:color w:val="000000"/>
          <w:shd w:fill="FFFFFF" w:val="clear"/>
        </w:rPr>
        <w:t>•</w:t>
      </w:r>
      <w:r>
        <w:rPr>
          <w:rFonts w:ascii="Times New Roman;sans-serif" w:hAnsi="Times New Roman;sans-serif"/>
          <w:b w:val="false"/>
          <w:color w:val="000000"/>
          <w:sz w:val="20"/>
        </w:rPr>
        <w:t>Incremental depreciation on placement units remained consistent for the three months ended February 29, 2024 compared to the same period in the prior year, and negatively impacted gross profit by $0.2 million for the nine months ended February 29, 2024 compared to the same period in the prior year.</w:t>
      </w:r>
    </w:p>
    <w:p>
      <w:pPr>
        <w:pStyle w:val="TextBody"/>
        <w:bidi w:val="0"/>
        <w:spacing w:before="0" w:after="0"/>
        <w:jc w:val="left"/>
        <w:rPr/>
      </w:pPr>
      <w:r>
        <w:rPr/>
      </w:r>
    </w:p>
    <w:p>
      <w:pPr>
        <w:pStyle w:val="TextBody"/>
        <w:bidi w:val="0"/>
        <w:spacing w:lineRule="auto" w:line="276" w:before="0" w:after="180"/>
        <w:jc w:val="left"/>
        <w:rPr>
          <w:rFonts w:ascii="Times New Roman;sans-serif" w:hAnsi="Times New Roman;sans-serif"/>
          <w:b/>
          <w:i/>
          <w:color w:val="000000"/>
          <w:sz w:val="20"/>
        </w:rPr>
      </w:pPr>
      <w:r>
        <w:rPr>
          <w:rFonts w:ascii="Times New Roman;sans-serif" w:hAnsi="Times New Roman;sans-serif"/>
          <w:b/>
          <w:i/>
          <w:color w:val="000000"/>
          <w:sz w:val="20"/>
        </w:rPr>
        <w:t>Operating Expenses and Other Income (Expense)</w:t>
      </w:r>
    </w:p>
    <w:tbl>
      <w:tblPr>
        <w:tblW w:w="10205" w:type="dxa"/>
        <w:jc w:val="left"/>
        <w:tblInd w:w="0" w:type="dxa"/>
        <w:tblLayout w:type="fixed"/>
        <w:tblCellMar>
          <w:top w:w="28" w:type="dxa"/>
          <w:left w:w="28" w:type="dxa"/>
          <w:bottom w:w="28" w:type="dxa"/>
          <w:right w:w="28" w:type="dxa"/>
        </w:tblCellMar>
      </w:tblPr>
      <w:tblGrid>
        <w:gridCol w:w="696"/>
        <w:gridCol w:w="569"/>
        <w:gridCol w:w="574"/>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11"/>
        <w:gridCol w:w="721"/>
        <w:gridCol w:w="271"/>
        <w:gridCol w:w="109"/>
        <w:gridCol w:w="109"/>
        <w:gridCol w:w="109"/>
        <w:gridCol w:w="211"/>
        <w:gridCol w:w="721"/>
        <w:gridCol w:w="271"/>
        <w:gridCol w:w="109"/>
        <w:gridCol w:w="109"/>
        <w:gridCol w:w="109"/>
        <w:gridCol w:w="211"/>
        <w:gridCol w:w="616"/>
        <w:gridCol w:w="156"/>
      </w:tblGrid>
      <w:tr>
        <w:trPr/>
        <w:tc>
          <w:tcPr>
            <w:tcW w:w="6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80"/>
        <w:jc w:val="left"/>
        <w:rPr/>
      </w:pPr>
      <w:r>
        <w:rPr>
          <w:rFonts w:ascii="Times New Roman;sans-serif" w:hAnsi="Times New Roman;sans-serif"/>
          <w:b w:val="false"/>
          <w:color w:val="000000"/>
          <w:sz w:val="20"/>
          <w:u w:val="single"/>
          <w:shd w:fill="FFFFFF" w:val="clear"/>
        </w:rPr>
        <w:t>Research and development expense</w:t>
      </w:r>
      <w:r>
        <w:rPr>
          <w:color w:val="000000"/>
          <w:shd w:fill="FFFFFF" w:val="clear"/>
        </w:rPr>
        <w:t xml:space="preserve"> </w:t>
      </w:r>
      <w:r>
        <w:rPr>
          <w:rFonts w:ascii="Times New Roman;sans-serif" w:hAnsi="Times New Roman;sans-serif"/>
          <w:b w:val="false"/>
          <w:color w:val="000000"/>
          <w:sz w:val="20"/>
          <w:shd w:fill="FFFFFF" w:val="clear"/>
        </w:rPr>
        <w:t xml:space="preserve">- Research and development (“R&amp;D”) expense includes internal and external costs to develop new products, enhance existing products, validate new and enhanced products, and manage clinical, regulatory and medical affairs. </w:t>
      </w:r>
    </w:p>
    <w:p>
      <w:pPr>
        <w:pStyle w:val="TextBody"/>
        <w:bidi w:val="0"/>
        <w:spacing w:lineRule="auto" w:line="288" w:before="0" w:after="180"/>
        <w:jc w:val="left"/>
        <w:rPr/>
      </w:pPr>
      <w:r>
        <w:rPr>
          <w:rFonts w:ascii="Times New Roman;sans-serif" w:hAnsi="Times New Roman;sans-serif"/>
          <w:b w:val="false"/>
          <w:color w:val="000000"/>
          <w:sz w:val="20"/>
          <w:shd w:fill="FFFFFF" w:val="clear"/>
        </w:rPr>
        <w:t>R&amp;</w:t>
      </w:r>
      <w:r>
        <w:rPr>
          <w:rFonts w:ascii="Times New Roman;sans-serif" w:hAnsi="Times New Roman;sans-serif"/>
          <w:b w:val="false"/>
          <w:color w:val="000000"/>
          <w:sz w:val="20"/>
        </w:rPr>
        <w:t>D expense increased $1.3 million and $2.8 million for t</w:t>
      </w:r>
      <w:r>
        <w:rPr>
          <w:rFonts w:ascii="Times New Roman;sans-serif" w:hAnsi="Times New Roman;sans-serif"/>
          <w:b w:val="false"/>
          <w:color w:val="000000"/>
          <w:sz w:val="20"/>
          <w:shd w:fill="FFFFFF" w:val="clear"/>
        </w:rPr>
        <w:t xml:space="preserve">he three and nine months ended February 29, 2024 </w:t>
      </w:r>
      <w:r>
        <w:rPr>
          <w:rFonts w:ascii="Times New Roman;sans-serif" w:hAnsi="Times New Roman;sans-serif"/>
          <w:b w:val="false"/>
          <w:color w:val="000000"/>
          <w:sz w:val="20"/>
        </w:rPr>
        <w:t>compared to the three and nine months ended February 28, 2023, respectively</w:t>
      </w:r>
      <w:r>
        <w:rPr>
          <w:rFonts w:ascii="Times New Roman;sans-serif" w:hAnsi="Times New Roman;sans-serif"/>
          <w:b w:val="false"/>
          <w:color w:val="000000"/>
          <w:sz w:val="20"/>
          <w:shd w:fill="FFFFFF" w:val="clear"/>
        </w:rPr>
        <w:t>. The change for both periods was primarily driven by: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timing of certain projects and clinical spend associated with the ongoing clinical trials, which increased R&amp;D expense by $0.6 million and $1.4 million, respectively;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Compensation and benefits expenses, which increased $0.8 million and $1.3 million, respectively.</w:t>
      </w:r>
    </w:p>
    <w:p>
      <w:pPr>
        <w:pStyle w:val="TextBody"/>
        <w:bidi w:val="0"/>
        <w:spacing w:before="0" w:after="0"/>
        <w:jc w:val="left"/>
        <w:rPr/>
      </w:pPr>
      <w:r>
        <w:rPr/>
      </w:r>
    </w:p>
    <w:p>
      <w:pPr>
        <w:pStyle w:val="TextBody"/>
        <w:bidi w:val="0"/>
        <w:spacing w:lineRule="auto" w:line="288" w:before="0" w:after="180"/>
        <w:jc w:val="left"/>
        <w:rPr/>
      </w:pPr>
      <w:r>
        <w:rPr>
          <w:rFonts w:ascii="Times New Roman;sans-serif" w:hAnsi="Times New Roman;sans-serif"/>
          <w:b w:val="false"/>
          <w:color w:val="000000"/>
          <w:sz w:val="20"/>
          <w:u w:val="single"/>
        </w:rPr>
        <w:t>Sales and marketing expense</w:t>
      </w:r>
      <w:r>
        <w:rPr>
          <w:color w:val="000000"/>
        </w:rPr>
        <w:t xml:space="preserve"> </w:t>
      </w:r>
      <w:r>
        <w:rPr>
          <w:rFonts w:ascii="Times New Roman;sans-serif" w:hAnsi="Times New Roman;sans-serif"/>
          <w:b w:val="false"/>
          <w:color w:val="000000"/>
          <w:sz w:val="20"/>
        </w:rPr>
        <w:t xml:space="preserve">- Sales and marketing (“S&amp;M”) expense consists primarily of salaries, commissions, travel and related business expenses, attendance at medical society meetings, product promotions and marketing activities. </w:t>
      </w:r>
    </w:p>
    <w:p>
      <w:pPr>
        <w:pStyle w:val="TextBody"/>
        <w:bidi w:val="0"/>
        <w:spacing w:lineRule="auto" w:line="288" w:before="0" w:after="180"/>
        <w:jc w:val="left"/>
        <w:rPr/>
      </w:pPr>
      <w:r>
        <w:rPr>
          <w:rFonts w:ascii="Times New Roman;sans-serif" w:hAnsi="Times New Roman;sans-serif"/>
          <w:b w:val="false"/>
          <w:color w:val="000000"/>
          <w:sz w:val="20"/>
        </w:rPr>
        <w:t xml:space="preserve">S&amp;M expense remained consistent for the three months ending </w:t>
      </w:r>
      <w:r>
        <w:rPr>
          <w:rFonts w:ascii="Times New Roman;sans-serif" w:hAnsi="Times New Roman;sans-serif"/>
          <w:b w:val="false"/>
          <w:color w:val="000000"/>
          <w:sz w:val="20"/>
          <w:shd w:fill="FFFFFF" w:val="clear"/>
        </w:rPr>
        <w:t xml:space="preserve">February 29, 2024 </w:t>
      </w:r>
      <w:r>
        <w:rPr>
          <w:rFonts w:ascii="Times New Roman;sans-serif" w:hAnsi="Times New Roman;sans-serif"/>
          <w:b w:val="false"/>
          <w:color w:val="000000"/>
          <w:sz w:val="20"/>
        </w:rPr>
        <w:t>compared to the three months ended February 28, 2023, and increased $0.3 million for t</w:t>
      </w:r>
      <w:r>
        <w:rPr>
          <w:rFonts w:ascii="Times New Roman;sans-serif" w:hAnsi="Times New Roman;sans-serif"/>
          <w:b w:val="false"/>
          <w:color w:val="000000"/>
          <w:sz w:val="20"/>
          <w:shd w:fill="FFFFFF" w:val="clear"/>
        </w:rPr>
        <w:t xml:space="preserve">he nine months ended February 29, 2024 </w:t>
      </w:r>
      <w:r>
        <w:rPr>
          <w:rFonts w:ascii="Times New Roman;sans-serif" w:hAnsi="Times New Roman;sans-serif"/>
          <w:b w:val="false"/>
          <w:color w:val="000000"/>
          <w:sz w:val="20"/>
        </w:rPr>
        <w:t>compared to the nine months ended February 28, 2023</w:t>
      </w:r>
      <w:r>
        <w:rPr>
          <w:rFonts w:ascii="Times New Roman;sans-serif" w:hAnsi="Times New Roman;sans-serif"/>
          <w:b w:val="false"/>
          <w:color w:val="000000"/>
          <w:sz w:val="20"/>
          <w:shd w:fill="FFFFFF" w:val="clear"/>
        </w:rPr>
        <w:t>. The change for both periods was primarily driven by: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Compensation and benefits expense, which increased by $1.1 million and $3.1 million, respectively;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Trade show expenses, which decreased $0.1 million and increased $0.1 million, respectively. This was partially offset by travel and other selling expenses, which decreased $0.8 million and $2.7 million, respectively.</w:t>
      </w:r>
    </w:p>
    <w:p>
      <w:pPr>
        <w:pStyle w:val="TextBody"/>
        <w:bidi w:val="0"/>
        <w:spacing w:before="0" w:after="0"/>
        <w:jc w:val="left"/>
        <w:rPr/>
      </w:pPr>
      <w:r>
        <w:rPr/>
      </w:r>
    </w:p>
    <w:p>
      <w:pPr>
        <w:pStyle w:val="TextBody"/>
        <w:bidi w:val="0"/>
        <w:spacing w:lineRule="auto" w:line="288" w:before="0" w:after="180"/>
        <w:jc w:val="left"/>
        <w:rPr/>
      </w:pPr>
      <w:r>
        <w:rPr>
          <w:rFonts w:ascii="Times New Roman;sans-serif" w:hAnsi="Times New Roman;sans-serif"/>
          <w:b w:val="false"/>
          <w:color w:val="000000"/>
          <w:sz w:val="20"/>
          <w:u w:val="single"/>
        </w:rPr>
        <w:t>General and administrative expense</w:t>
      </w:r>
      <w:r>
        <w:rPr>
          <w:color w:val="000000"/>
        </w:rPr>
        <w:t xml:space="preserve"> </w:t>
      </w:r>
      <w:r>
        <w:rPr>
          <w:rFonts w:ascii="Times New Roman;sans-serif" w:hAnsi="Times New Roman;sans-serif"/>
          <w:b w:val="false"/>
          <w:color w:val="000000"/>
          <w:sz w:val="20"/>
        </w:rPr>
        <w:t xml:space="preserve">- General and administrative (“G&amp;A”) expense includes executive management, finance, information technology, human resources, business development, legal, and the administrative and professional costs associated with those activities. </w:t>
      </w:r>
    </w:p>
    <w:p>
      <w:pPr>
        <w:pStyle w:val="TextBody"/>
        <w:bidi w:val="0"/>
        <w:spacing w:lineRule="auto" w:line="288" w:before="0" w:after="180"/>
        <w:jc w:val="left"/>
        <w:rPr/>
      </w:pPr>
      <w:r>
        <w:rPr>
          <w:rFonts w:ascii="Times New Roman;sans-serif" w:hAnsi="Times New Roman;sans-serif"/>
          <w:b w:val="false"/>
          <w:color w:val="000000"/>
          <w:sz w:val="20"/>
          <w:shd w:fill="FFFFFF" w:val="clear"/>
        </w:rPr>
        <w:t>G&amp;A e</w:t>
      </w:r>
      <w:r>
        <w:rPr>
          <w:rFonts w:ascii="Times New Roman;sans-serif" w:hAnsi="Times New Roman;sans-serif"/>
          <w:b w:val="false"/>
          <w:color w:val="000000"/>
          <w:sz w:val="20"/>
        </w:rPr>
        <w:t>xpense increased $1.7 million and $0.9 million for th</w:t>
      </w:r>
      <w:r>
        <w:rPr>
          <w:rFonts w:ascii="Times New Roman;sans-serif" w:hAnsi="Times New Roman;sans-serif"/>
          <w:b w:val="false"/>
          <w:color w:val="000000"/>
          <w:sz w:val="20"/>
          <w:shd w:fill="FFFFFF" w:val="clear"/>
        </w:rPr>
        <w:t xml:space="preserve">e three and nine months ended February 29, 2024 </w:t>
      </w:r>
      <w:r>
        <w:rPr>
          <w:rFonts w:ascii="Times New Roman;sans-serif" w:hAnsi="Times New Roman;sans-serif"/>
          <w:b w:val="false"/>
          <w:color w:val="000000"/>
          <w:sz w:val="20"/>
        </w:rPr>
        <w:t>compared to the three and nine months ended February 28, 2023, respectively</w:t>
      </w:r>
      <w:r>
        <w:rPr>
          <w:rFonts w:ascii="Times New Roman;sans-serif" w:hAnsi="Times New Roman;sans-serif"/>
          <w:b w:val="false"/>
          <w:color w:val="000000"/>
          <w:sz w:val="20"/>
          <w:shd w:fill="FFFFFF" w:val="clear"/>
        </w:rPr>
        <w:t>. The change for both periods was primarily driven by: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Compensation and benefits expenses, which increased $1.5 million and $1.0 million, respectively; and </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rPr>
        <w:t xml:space="preserve">Other outside consultant spend for legal and IT, which increased $0.1 million for the three months ending </w:t>
      </w:r>
      <w:r>
        <w:rPr>
          <w:rFonts w:ascii="Times New Roman;sans-serif" w:hAnsi="Times New Roman;sans-serif"/>
          <w:b w:val="false"/>
          <w:color w:val="000000"/>
          <w:sz w:val="20"/>
          <w:shd w:fill="FFFFFF" w:val="clear"/>
        </w:rPr>
        <w:t xml:space="preserve">February 29, 2024 </w:t>
      </w:r>
      <w:r>
        <w:rPr>
          <w:rFonts w:ascii="Times New Roman;sans-serif" w:hAnsi="Times New Roman;sans-serif"/>
          <w:b w:val="false"/>
          <w:color w:val="000000"/>
          <w:sz w:val="20"/>
        </w:rPr>
        <w:t>compared to the three months ended February 28, 2023</w:t>
      </w:r>
      <w:r>
        <w:rPr>
          <w:color w:val="000000"/>
          <w:shd w:fill="FFFFFF" w:val="clear"/>
        </w:rPr>
        <w:t xml:space="preserve"> </w:t>
      </w:r>
      <w:r>
        <w:rPr>
          <w:rFonts w:ascii="Times New Roman;sans-serif" w:hAnsi="Times New Roman;sans-serif"/>
          <w:b w:val="false"/>
          <w:color w:val="000000"/>
          <w:sz w:val="20"/>
          <w:shd w:fill="FFFFFF" w:val="clear"/>
        </w:rPr>
        <w:t xml:space="preserve">and remained consistent for the nine months ending February 29, 2024 </w:t>
      </w:r>
      <w:r>
        <w:rPr>
          <w:rFonts w:ascii="Times New Roman;sans-serif" w:hAnsi="Times New Roman;sans-serif"/>
          <w:b w:val="false"/>
          <w:color w:val="000000"/>
          <w:sz w:val="20"/>
        </w:rPr>
        <w:t xml:space="preserve">compared to the nine months ended February 28, 2023, along with increased travel expenses of $0.3 million for the three months ending </w:t>
      </w:r>
      <w:r>
        <w:rPr>
          <w:rFonts w:ascii="Times New Roman;sans-serif" w:hAnsi="Times New Roman;sans-serif"/>
          <w:b w:val="false"/>
          <w:color w:val="000000"/>
          <w:sz w:val="20"/>
          <w:shd w:fill="FFFFFF" w:val="clear"/>
        </w:rPr>
        <w:t>February 29,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tbl>
      <w:tblPr>
        <w:tblW w:w="10205" w:type="dxa"/>
        <w:jc w:val="left"/>
        <w:tblInd w:w="0" w:type="dxa"/>
        <w:tblLayout w:type="fixed"/>
        <w:tblCellMar>
          <w:top w:w="28" w:type="dxa"/>
          <w:left w:w="28" w:type="dxa"/>
          <w:bottom w:w="28" w:type="dxa"/>
          <w:right w:w="28" w:type="dxa"/>
        </w:tblCellMar>
      </w:tblPr>
      <w:tblGrid>
        <w:gridCol w:w="716"/>
        <w:gridCol w:w="609"/>
        <w:gridCol w:w="613"/>
        <w:gridCol w:w="211"/>
        <w:gridCol w:w="826"/>
        <w:gridCol w:w="109"/>
        <w:gridCol w:w="109"/>
        <w:gridCol w:w="109"/>
        <w:gridCol w:w="109"/>
        <w:gridCol w:w="216"/>
        <w:gridCol w:w="632"/>
        <w:gridCol w:w="11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7"/>
      </w:tblGrid>
      <w:tr>
        <w:trPr/>
        <w:tc>
          <w:tcPr>
            <w:tcW w:w="71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1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restructuring and other items,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20"/>
          <w:u w:val="single"/>
        </w:rPr>
        <w:t>Amortization of intangibles</w:t>
      </w:r>
      <w:r>
        <w:rPr>
          <w:color w:val="000000"/>
        </w:rPr>
        <w:t xml:space="preserve"> </w:t>
      </w:r>
      <w:r>
        <w:rPr>
          <w:rFonts w:ascii="Times New Roman;sans-serif" w:hAnsi="Times New Roman;sans-serif"/>
          <w:b w:val="false"/>
          <w:color w:val="000000"/>
          <w:sz w:val="20"/>
        </w:rPr>
        <w:t>- Represents the amount of amortization expense that was taken on intangibles assets held by the Company.</w:t>
      </w:r>
    </w:p>
    <w:p>
      <w:pPr>
        <w:pStyle w:val="TextBody"/>
        <w:bidi w:val="0"/>
        <w:spacing w:lineRule="auto" w:line="288" w:before="0" w:after="180"/>
        <w:ind w:left="0" w:right="0" w:hanging="360"/>
        <w:jc w:val="left"/>
        <w:rPr/>
      </w:pPr>
      <w:r>
        <w:rPr>
          <w:color w:val="000000"/>
          <w:shd w:fill="FFFFFF" w:val="clear"/>
        </w:rPr>
        <w:t>•</w:t>
      </w:r>
      <w:r>
        <w:rPr>
          <w:rFonts w:ascii="Times New Roman;sans-serif" w:hAnsi="Times New Roman;sans-serif"/>
          <w:b w:val="false"/>
          <w:color w:val="000000"/>
          <w:sz w:val="20"/>
        </w:rPr>
        <w:t xml:space="preserve">Amortization expense decreased $1.5 million and $3.9 million for the three and nine months ended February 29, 2024 compared to the three and nine months ended February 28, 2023, respectively, due to the intangible assets that were included in the sale of the dialysis, BioSentry, PICCs and Midlines businesses and the abandonment of the Syntrax product line. </w:t>
      </w:r>
    </w:p>
    <w:p>
      <w:pPr>
        <w:pStyle w:val="TextBody"/>
        <w:bidi w:val="0"/>
        <w:spacing w:lineRule="auto" w:line="288" w:before="0" w:after="180"/>
        <w:jc w:val="left"/>
        <w:rPr/>
      </w:pPr>
      <w:r>
        <w:rPr>
          <w:rFonts w:ascii="Times New Roman;sans-serif" w:hAnsi="Times New Roman;sans-serif"/>
          <w:b w:val="false"/>
          <w:color w:val="000000"/>
          <w:sz w:val="20"/>
          <w:u w:val="single"/>
          <w:shd w:fill="FFFFFF" w:val="clear"/>
        </w:rPr>
        <w:t>Goodwill impairment</w:t>
      </w:r>
      <w:r>
        <w:rPr>
          <w:color w:val="000000"/>
          <w:shd w:fill="FFFFFF" w:val="clear"/>
        </w:rPr>
        <w:t xml:space="preserve"> </w:t>
      </w:r>
      <w:r>
        <w:rPr>
          <w:rFonts w:ascii="Times New Roman;sans-serif" w:hAnsi="Times New Roman;sans-serif"/>
          <w:b w:val="false"/>
          <w:color w:val="000000"/>
          <w:sz w:val="20"/>
          <w:shd w:fill="FFFFFF" w:val="clear"/>
        </w:rPr>
        <w:t>- Represents the impairment charge taken on goodwill.</w:t>
      </w:r>
    </w:p>
    <w:p>
      <w:pPr>
        <w:pStyle w:val="TextBody"/>
        <w:bidi w:val="0"/>
        <w:spacing w:lineRule="auto" w:line="288" w:before="0" w:after="180"/>
        <w:ind w:left="0" w:right="0" w:hanging="360"/>
        <w:jc w:val="left"/>
        <w:rPr/>
      </w:pPr>
      <w:r>
        <w:rPr>
          <w:color w:val="000000"/>
          <w:shd w:fill="FFFFFF" w:val="clear"/>
        </w:rPr>
        <w:t>•</w:t>
      </w:r>
      <w:r>
        <w:rPr>
          <w:rFonts w:ascii="Times New Roman;sans-serif" w:hAnsi="Times New Roman;sans-serif"/>
          <w:b w:val="false"/>
          <w:color w:val="000000"/>
          <w:sz w:val="20"/>
        </w:rPr>
        <w:t>The Company recorded a non-cash goodwill impairment charge of $159.5 million for the three and nine months ended February 29, 2024 as the fair value of the Med Tech reporting unit was less than its carrying value.</w:t>
      </w:r>
    </w:p>
    <w:p>
      <w:pPr>
        <w:pStyle w:val="TextBody"/>
        <w:bidi w:val="0"/>
        <w:spacing w:lineRule="auto" w:line="288" w:before="0" w:after="180"/>
        <w:jc w:val="left"/>
        <w:rPr/>
      </w:pPr>
      <w:r>
        <w:rPr>
          <w:rFonts w:ascii="Times New Roman;sans-serif" w:hAnsi="Times New Roman;sans-serif"/>
          <w:b w:val="false"/>
          <w:color w:val="000000"/>
          <w:sz w:val="20"/>
          <w:u w:val="single"/>
          <w:shd w:fill="FFFFFF" w:val="clear"/>
        </w:rPr>
        <w:t>Change in fair value of contingent consideration</w:t>
      </w:r>
      <w:r>
        <w:rPr>
          <w:color w:val="000000"/>
          <w:shd w:fill="FFFFFF" w:val="clear"/>
        </w:rPr>
        <w:t xml:space="preserve"> </w:t>
      </w:r>
      <w:r>
        <w:rPr>
          <w:rFonts w:ascii="Times New Roman;sans-serif" w:hAnsi="Times New Roman;sans-serif"/>
          <w:b w:val="false"/>
          <w:color w:val="000000"/>
          <w:sz w:val="20"/>
          <w:shd w:fill="FFFFFF" w:val="clear"/>
        </w:rPr>
        <w:t xml:space="preserve">- Represents changes in contingent consideration driven by changes to estimated future payments on earn-out liabilities created through acquisitions and amortization of present value discounts on long-term contingent consideration.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change in the fair value for the three and nine months ended February 29, 2024 is related to the Eximo contingent consideration. </w:t>
      </w:r>
    </w:p>
    <w:p>
      <w:pPr>
        <w:pStyle w:val="TextBody"/>
        <w:bidi w:val="0"/>
        <w:spacing w:lineRule="auto" w:line="288" w:before="0" w:after="180"/>
        <w:jc w:val="left"/>
        <w:rPr/>
      </w:pPr>
      <w:r>
        <w:rPr>
          <w:rFonts w:ascii="Times New Roman;sans-serif" w:hAnsi="Times New Roman;sans-serif"/>
          <w:b w:val="false"/>
          <w:color w:val="000000"/>
          <w:sz w:val="20"/>
          <w:u w:val="single"/>
          <w:shd w:fill="FFFFFF" w:val="clear"/>
        </w:rPr>
        <w:t>Acquisition, restructuring and other items, net</w:t>
      </w:r>
      <w:r>
        <w:rPr>
          <w:color w:val="000000"/>
          <w:shd w:fill="FFFFFF" w:val="clear"/>
        </w:rPr>
        <w:t xml:space="preserve"> </w:t>
      </w:r>
      <w:r>
        <w:rPr>
          <w:rFonts w:ascii="Times New Roman;sans-serif" w:hAnsi="Times New Roman;sans-serif"/>
          <w:b w:val="false"/>
          <w:color w:val="000000"/>
          <w:sz w:val="20"/>
          <w:shd w:fill="FFFFFF" w:val="clear"/>
        </w:rPr>
        <w:t>- Represents costs associated with mergers and acquisitions, restructuring expenses, legal costs that are related to litigation that is not in the ordinary course of business, legal settlements and other one-time items.</w:t>
      </w:r>
    </w:p>
    <w:p>
      <w:pPr>
        <w:pStyle w:val="TextBody"/>
        <w:bidi w:val="0"/>
        <w:spacing w:lineRule="auto" w:line="288" w:before="0" w:after="180"/>
        <w:jc w:val="left"/>
        <w:rPr/>
      </w:pPr>
      <w:r>
        <w:rPr>
          <w:rFonts w:ascii="Times New Roman;sans-serif" w:hAnsi="Times New Roman;sans-serif"/>
          <w:b w:val="false"/>
          <w:color w:val="000000"/>
          <w:sz w:val="20"/>
          <w:shd w:fill="FFFFFF" w:val="clear"/>
        </w:rPr>
        <w:t>Acquisition, restructuring and other item</w:t>
      </w:r>
      <w:r>
        <w:rPr>
          <w:rFonts w:ascii="Times New Roman;sans-serif" w:hAnsi="Times New Roman;sans-serif"/>
          <w:b w:val="false"/>
          <w:color w:val="000000"/>
          <w:sz w:val="20"/>
        </w:rPr>
        <w:t>s, net, increased by $32.0 million and $32.8 million for</w:t>
      </w:r>
      <w:r>
        <w:rPr>
          <w:color w:val="000000"/>
          <w:shd w:fill="FFFFFF" w:val="clear"/>
        </w:rPr>
        <w:t xml:space="preserve"> </w:t>
      </w:r>
      <w:r>
        <w:rPr>
          <w:rFonts w:ascii="Times New Roman;sans-serif" w:hAnsi="Times New Roman;sans-serif"/>
          <w:b w:val="false"/>
          <w:color w:val="000000"/>
          <w:sz w:val="20"/>
          <w:shd w:fill="FFFFFF" w:val="clear"/>
        </w:rPr>
        <w:t xml:space="preserve">the three and nine months ended February 29, 2024, </w:t>
      </w:r>
      <w:r>
        <w:rPr>
          <w:rFonts w:ascii="Times New Roman;sans-serif" w:hAnsi="Times New Roman;sans-serif"/>
          <w:b w:val="false"/>
          <w:color w:val="000000"/>
          <w:sz w:val="20"/>
        </w:rPr>
        <w:t>compared to the three and nine months ended February 28, 2023, respectively.</w:t>
      </w:r>
      <w:r>
        <w:rPr>
          <w:color w:val="000000"/>
          <w:shd w:fill="FFFFFF" w:val="clear"/>
        </w:rPr>
        <w:t xml:space="preserve"> </w:t>
      </w:r>
      <w:r>
        <w:rPr>
          <w:rFonts w:ascii="Times New Roman;sans-serif" w:hAnsi="Times New Roman;sans-serif"/>
          <w:b w:val="false"/>
          <w:color w:val="000000"/>
          <w:sz w:val="20"/>
          <w:shd w:fill="FFFFFF" w:val="clear"/>
        </w:rPr>
        <w:t>The change for both periods was primarily driven by: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Legal expense, related to litigation that is outside of the normal course of business, which increased $20.7 million and $23.6 million, respectively was driven by the $19.3 million settlement between the Company and BD;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Mergers and acquisition expense, which increased $0.1 million and $0.4 million, respectively;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Plant closure expense, related to the restructuring of our manufacturing footprint which was announced on January 5, 2024, which increased $5.4 million and $6.1 million, respectively;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An impairment of $3.4 million on the Syntrax product technology intangible asset and an inventory write-off of $2.9 million was taken in the third quarter of fiscal year 2024 related to the abandonment of the Syntrax and RF product lines;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Transaction services agreements that were entered into as a result of the sale of the PICCs, Midline, dialysis and BioSentry businesses. The Company invoiced Spectrum $0.1 million and $0.1 million for the three and nine months ended February 29, 2024, respectively. The Company invoiced Merit Medical Systems, Inc. $0.2 million and $0.5 million for the three and nine months ended February 29, 2024, respectively;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Manufacturing relocation expense related to the move of certain manufacturing lines from Queensbury, New York to a third party, which decreased $0.3 million and $0.5 million, respectively;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payment to the Israeli Innovation Authority of $3.5 million related to grant funds that were provided to Eximo to develop the Auryon laser prior to the acquisition in the second quarter of fiscal year 2020. These grant funds were fully repaid in the first quarter of fiscal year 2023 to satisfy the obligation which was otherwise being paid as a royalty based on a percentage of sales;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$0.9 million of deferred financing fees that were written-off in conjunction with the sale of the Dialysis and BioSentry businesses and concurrent extinguishment of the debt for the nine months ended February 29, 2024, compared to the same period in the prior year. </w:t>
      </w:r>
    </w:p>
    <w:p>
      <w:pPr>
        <w:pStyle w:val="TextBody"/>
        <w:bidi w:val="0"/>
        <w:spacing w:before="0" w:after="0"/>
        <w:jc w:val="left"/>
        <w:rPr/>
      </w:pPr>
      <w:r>
        <w:rPr/>
      </w:r>
    </w:p>
    <w:p>
      <w:pPr>
        <w:pStyle w:val="TextBody"/>
        <w:bidi w:val="0"/>
        <w:spacing w:lineRule="auto" w:line="288" w:before="0" w:after="180"/>
        <w:jc w:val="left"/>
        <w:rPr/>
      </w:pPr>
      <w:r>
        <w:rPr>
          <w:rFonts w:ascii="Times New Roman;sans-serif" w:hAnsi="Times New Roman;sans-serif"/>
          <w:b w:val="false"/>
          <w:color w:val="000000"/>
          <w:sz w:val="20"/>
          <w:u w:val="single"/>
          <w:shd w:fill="FFFFFF" w:val="clear"/>
        </w:rPr>
        <w:t>Other expense, net</w:t>
      </w:r>
      <w:r>
        <w:rPr>
          <w:color w:val="000000"/>
          <w:shd w:fill="FFFFFF" w:val="clear"/>
        </w:rPr>
        <w:t xml:space="preserve"> </w:t>
      </w:r>
      <w:r>
        <w:rPr>
          <w:rFonts w:ascii="Times New Roman;sans-serif" w:hAnsi="Times New Roman;sans-serif"/>
          <w:b w:val="false"/>
          <w:color w:val="000000"/>
          <w:sz w:val="20"/>
          <w:shd w:fill="FFFFFF" w:val="clear"/>
        </w:rPr>
        <w:t xml:space="preserve">- Other expenses include interest expense, foreign currency impacts, bank fees, and amortization of deferred financing costs. </w:t>
      </w:r>
    </w:p>
    <w:p>
      <w:pPr>
        <w:pStyle w:val="TextBody"/>
        <w:bidi w:val="0"/>
        <w:spacing w:lineRule="auto" w:line="288" w:before="0" w:after="18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change in other expe</w:t>
      </w:r>
      <w:r>
        <w:rPr>
          <w:rFonts w:ascii="Times New Roman;sans-serif" w:hAnsi="Times New Roman;sans-serif"/>
          <w:b w:val="false"/>
          <w:color w:val="000000"/>
          <w:sz w:val="20"/>
        </w:rPr>
        <w:t xml:space="preserve">nse of $0.9 million and $2.7 million for </w:t>
      </w:r>
      <w:r>
        <w:rPr>
          <w:rFonts w:ascii="Times New Roman;sans-serif" w:hAnsi="Times New Roman;sans-serif"/>
          <w:b w:val="false"/>
          <w:color w:val="000000"/>
          <w:sz w:val="20"/>
          <w:shd w:fill="FFFFFF" w:val="clear"/>
        </w:rPr>
        <w:t xml:space="preserve">the three and nine months ended February 29, 2024, </w:t>
      </w:r>
      <w:r>
        <w:rPr>
          <w:rFonts w:ascii="Times New Roman;sans-serif" w:hAnsi="Times New Roman;sans-serif"/>
          <w:b w:val="false"/>
          <w:color w:val="000000"/>
          <w:sz w:val="20"/>
        </w:rPr>
        <w:t>compared to the three and nine months ended February 28, 2023, respectively</w:t>
      </w:r>
      <w:r>
        <w:rPr>
          <w:rFonts w:ascii="Times New Roman;sans-serif" w:hAnsi="Times New Roman;sans-serif"/>
          <w:b w:val="false"/>
          <w:color w:val="000000"/>
          <w:sz w:val="20"/>
          <w:shd w:fill="FFFFFF" w:val="clear"/>
        </w:rPr>
        <w:t xml:space="preserve">, is primarily due to </w:t>
      </w:r>
      <w:r>
        <w:rPr>
          <w:rFonts w:ascii="Times New Roman;sans-serif" w:hAnsi="Times New Roman;sans-serif"/>
          <w:b w:val="false"/>
          <w:color w:val="000000"/>
          <w:sz w:val="20"/>
        </w:rPr>
        <w:t>decreased interest expense of $0.8 million and $1.7 million, respectively, increased interest income of $0.3 million and $1.0 million, respectively and unrealized foreign currency fluctuations of $0.2 million and $0.1 million, respectively.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Income Tax Benefit</w:t>
      </w:r>
    </w:p>
    <w:tbl>
      <w:tblPr>
        <w:tblW w:w="8690" w:type="dxa"/>
        <w:jc w:val="left"/>
        <w:tblInd w:w="0" w:type="dxa"/>
        <w:tblLayout w:type="fixed"/>
        <w:tblCellMar>
          <w:top w:w="28" w:type="dxa"/>
          <w:left w:w="28" w:type="dxa"/>
          <w:bottom w:w="28" w:type="dxa"/>
          <w:right w:w="28" w:type="dxa"/>
        </w:tblCellMar>
      </w:tblPr>
      <w:tblGrid>
        <w:gridCol w:w="1267"/>
        <w:gridCol w:w="1112"/>
        <w:gridCol w:w="1115"/>
        <w:gridCol w:w="211"/>
        <w:gridCol w:w="586"/>
        <w:gridCol w:w="271"/>
        <w:gridCol w:w="109"/>
        <w:gridCol w:w="109"/>
        <w:gridCol w:w="109"/>
        <w:gridCol w:w="226"/>
        <w:gridCol w:w="517"/>
        <w:gridCol w:w="291"/>
        <w:gridCol w:w="109"/>
        <w:gridCol w:w="109"/>
        <w:gridCol w:w="109"/>
        <w:gridCol w:w="226"/>
        <w:gridCol w:w="517"/>
        <w:gridCol w:w="291"/>
        <w:gridCol w:w="109"/>
        <w:gridCol w:w="109"/>
        <w:gridCol w:w="109"/>
        <w:gridCol w:w="226"/>
        <w:gridCol w:w="515"/>
        <w:gridCol w:w="338"/>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 including discrete items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 including discrete items for the three months ended February 29, 2024 and February 28, 2023 was 6.0% and 1.9%, respectively. Our effective tax rate including discrete items for the nine months ended February 29, 2024 and February 28, 2023 was 3.7% and 4.9%, respectively. In fiscal year 2024,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review our liquidity and anticipated capital requirements and we believe that our current cash on hand provides sufficient liquidity to meet our anticipated needs for capital for at least the next 12 months.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totaled $78.5 million as of February 29, 2024, compared with $44.6 million as of May 31, 2023. As of February 29, 2024 there was no outstanding debt as the Credit Agreement was extinguished in connection with the Divestiture (see Note 7 "Long-Term Debt" set forth in the Notes to our consolidated financial statements included in this Quarterly Report on Form 10-Q). As of May 31, 2023, total debt outstanding related to the Credit Agreement was $50.0 million. The fair value of contingent consideration liability as of February 29, 2024 and May 31, 2023, was $9.5 million and $19.3 million, respectively.</w:t>
      </w:r>
    </w:p>
    <w:p>
      <w:pPr>
        <w:pStyle w:val="TextBody"/>
        <w:bidi w:val="0"/>
        <w:spacing w:lineRule="auto" w:line="288" w:before="0" w:after="18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cash flows:</w:t>
      </w:r>
    </w:p>
    <w:tbl>
      <w:tblPr>
        <w:tblW w:w="7689" w:type="dxa"/>
        <w:jc w:val="left"/>
        <w:tblInd w:w="0" w:type="dxa"/>
        <w:tblLayout w:type="fixed"/>
        <w:tblCellMar>
          <w:top w:w="28" w:type="dxa"/>
          <w:left w:w="28" w:type="dxa"/>
          <w:bottom w:w="28" w:type="dxa"/>
          <w:right w:w="28" w:type="dxa"/>
        </w:tblCellMar>
      </w:tblPr>
      <w:tblGrid>
        <w:gridCol w:w="1844"/>
        <w:gridCol w:w="1618"/>
        <w:gridCol w:w="1623"/>
        <w:gridCol w:w="211"/>
        <w:gridCol w:w="796"/>
        <w:gridCol w:w="109"/>
        <w:gridCol w:w="109"/>
        <w:gridCol w:w="109"/>
        <w:gridCol w:w="109"/>
        <w:gridCol w:w="211"/>
        <w:gridCol w:w="796"/>
        <w:gridCol w:w="154"/>
      </w:tblGrid>
      <w:tr>
        <w:trPr/>
        <w:tc>
          <w:tcPr>
            <w:tcW w:w="1844"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in):</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quarters ended February 29, 2024 and February 28, 2023, cash flows consisted of the following:</w:t>
      </w:r>
    </w:p>
    <w:p>
      <w:pPr>
        <w:pStyle w:val="TextBody"/>
        <w:bidi w:val="0"/>
        <w:spacing w:lineRule="auto" w:line="288" w:before="0" w:after="18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Cash used in operating activities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Nine months ended February 29, 2024 and February 28, 2023:</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Net loss of $170.9 million and a net loss of $31.0 million, respectively, plus the non-cash items, primarily driven by depreciation and amortization and stock based compensation, along with the changes in working capital below, contributed to cash used in operations of $33.2 million and $15.9 million, respectively, for these periods.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 the period ended February 29, 2024, working capital was unfavorably impacted by decreased accounts payable, accrued liabilities and other liabilities of $16.7 million, along with increased in</w:t>
      </w:r>
      <w:r>
        <w:rPr>
          <w:rFonts w:ascii="Times New Roman;sans-serif" w:hAnsi="Times New Roman;sans-serif"/>
          <w:b w:val="false"/>
          <w:color w:val="000000"/>
          <w:sz w:val="20"/>
          <w:shd w:fill="FFFFFF" w:val="clear"/>
        </w:rPr>
        <w:t xml:space="preserve">ventory and prepaid expenses of </w:t>
      </w:r>
      <w:r>
        <w:rPr>
          <w:rFonts w:ascii="Times New Roman;sans-serif" w:hAnsi="Times New Roman;sans-serif"/>
          <w:b w:val="false"/>
          <w:color w:val="000000"/>
          <w:sz w:val="20"/>
        </w:rPr>
        <w:t>$6.8 million and $7.6 million, respectively. This was partially offset by decreased accounts rec</w:t>
      </w:r>
      <w:r>
        <w:rPr>
          <w:rFonts w:ascii="Times New Roman;sans-serif" w:hAnsi="Times New Roman;sans-serif"/>
          <w:b w:val="false"/>
          <w:color w:val="000000"/>
          <w:sz w:val="20"/>
          <w:shd w:fill="FFFFFF" w:val="clear"/>
        </w:rPr>
        <w:t xml:space="preserve">eivable of </w:t>
      </w:r>
      <w:r>
        <w:rPr>
          <w:rFonts w:ascii="Times New Roman;sans-serif" w:hAnsi="Times New Roman;sans-serif"/>
          <w:b w:val="false"/>
          <w:color w:val="000000"/>
          <w:sz w:val="20"/>
        </w:rPr>
        <w:t>$2.3 million</w:t>
      </w:r>
      <w:r>
        <w:rPr>
          <w:rFonts w:ascii="Times New Roman;sans-serif" w:hAnsi="Times New Roman;sans-serif"/>
          <w:b w:val="false"/>
          <w:color w:val="000000"/>
          <w:sz w:val="2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For the period ended February 28, 2023, working capital was unfavorably impacted by decreased accounts payable, accrued liabilities and other liabilities of $7.1 million, along with increased inventory and prepaid expenses of $12.3 million and $0.4 million, respectively. This was partially offset by decreased accounts rec</w:t>
      </w:r>
      <w:r>
        <w:rPr>
          <w:rFonts w:ascii="Times New Roman;sans-serif" w:hAnsi="Times New Roman;sans-serif"/>
          <w:b w:val="false"/>
          <w:color w:val="000000"/>
          <w:sz w:val="20"/>
          <w:shd w:fill="FFFFFF" w:val="clear"/>
        </w:rPr>
        <w:t xml:space="preserve">eivable of </w:t>
      </w:r>
      <w:r>
        <w:rPr>
          <w:rFonts w:ascii="Times New Roman;sans-serif" w:hAnsi="Times New Roman;sans-serif"/>
          <w:b w:val="false"/>
          <w:color w:val="000000"/>
          <w:sz w:val="20"/>
        </w:rPr>
        <w:t>$0.8 million</w:t>
      </w:r>
      <w:r>
        <w:rPr>
          <w:rFonts w:ascii="Times New Roman;sans-serif" w:hAnsi="Times New Roman;sans-serif"/>
          <w:b w:val="false"/>
          <w:color w:val="000000"/>
          <w:sz w:val="20"/>
          <w:shd w:fill="FFFFFF" w:val="clear"/>
        </w:rPr>
        <w:t xml:space="preserve">. </w:t>
      </w:r>
    </w:p>
    <w:p>
      <w:pPr>
        <w:pStyle w:val="TextBody"/>
        <w:bidi w:val="0"/>
        <w:spacing w:lineRule="auto" w:line="288" w:before="0" w:after="18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Cash provided by (used in) investing activities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Nine months ended February 29, 2024 and February 28, 2023:</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$2.0 million and $2.8 million, respectively, of cash was used for fixed asset additions;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$3.2 million</w:t>
      </w:r>
      <w:r>
        <w:rPr>
          <w:color w:val="000000"/>
        </w:rPr>
        <w:t xml:space="preserve"> </w:t>
      </w:r>
      <w:r>
        <w:rPr>
          <w:rFonts w:ascii="Times New Roman;sans-serif" w:hAnsi="Times New Roman;sans-serif"/>
          <w:b w:val="false"/>
          <w:color w:val="000000"/>
          <w:sz w:val="20"/>
        </w:rPr>
        <w:t xml:space="preserve">and $4.9 million, respectively, of cash was used for Auryon placement and evaluation unit additions;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$100.0 million of cash was received for the divestiture of the dialysis and BioSentry businesses in the first quarter of fiscal year 2024;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$34.5 million of cash was received for the divestiture of the PICCs and Midline businesses in the third quarter of fiscal year 2024;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$3.3 million and $0.5 million, respectively, of cash was used for the acquisition of exclusive licenses.</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Cash (used in) provided by financing activities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Nine months ended February 29, 2024 and February 28, 2023:</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$50.0 million repayment of the Credit Agreement in connection with the completion of the dialysis and BioSentry divestiture in the first quarter of fiscal year 2024;</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$70.0 million in proceeds on long-term debt less the repayment of $45.0 million associated with the then new Credit Agreement in the first quarter of fiscal year 2023;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$0.8 million of deferred financing costs associated with the then new Credit Agreement in the first quarter of fiscal year 2023;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$10.0 million contingent consideration payment made in the first quarter of fiscal year 2024;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$0.8 million and $1.2 million, respectively, of proceeds from stock option and ESPP activity.</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8, 2023 and in connection with the completion of the dialysis and BioSentry divestiture, the Company repaid all amounts outstanding under its existing Credit Agreement, and as a result, the Credit Agreement was extinguished. Pursuant to the terms of the Credit Agreement, AngioDynamics had the option to repay this facility prior to the maturity date without penalty.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current cash balance, together with cash generated from operations will provide sufficient liquidity to meet our anticipated needs for capital for at least the next 12 months. If we seek to make acquisitions of other businesses or technologies in the future for cash, we may require external financing.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New Accounting Pronouncements</w:t>
      </w:r>
    </w:p>
    <w:p>
      <w:pPr>
        <w:pStyle w:val="TextBody"/>
        <w:bidi w:val="0"/>
        <w:spacing w:lineRule="auto" w:line="288" w:before="0" w:after="18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new accounting pronouncements is included in Note 17 to our consolidated financial statements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Rate Risk</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from changes in currency exchange rates and investments that could impact our results of operations and financial position.</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transact sales in currencies other than the U.S. Dollar, particularly the Euro, British Pound and Canadian Dollar. For the nine months ended February 29, 2024, approximately 3.73% of our sales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which potentially subject the Company to significant concentrations of credit risk, consist primarily of cash and cash equivalents and trade accounts receivable.</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cash and cash equivalents at various institutions and performs periodic evaluations of the relative credit standings of these financial institutions to ensure their credit worthiness.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As the Company’s standard payment terms are 30 to 90 days from invoicing, the Company does not provide any significant financing to its customers. Although the Company does not currently foresee a significant credit risk associated with the outstanding accounts receivable, repayment is dependent upon the financial stability of our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change in our internal control over financial reporting for the fiscal quarter ended February 29, 2024 that has materially affected, or is reasonably likely to materially affect, our internal control over financial reporting. </w:t>
      </w:r>
    </w:p>
    <w:p>
      <w:pPr>
        <w:pStyle w:val="TextBody"/>
        <w:bidi w:val="0"/>
        <w:spacing w:before="24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AngioDynamics, Inc. and Subsidiaries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80" w:after="180"/>
        <w:ind w:left="0" w:right="0" w:firstLine="432"/>
        <w:jc w:val="left"/>
        <w:rPr>
          <w:rFonts w:ascii="Times New Roman;sans-serif" w:hAnsi="Times New Roman;sans-serif"/>
          <w:b w:val="false"/>
          <w:color w:val="000000"/>
          <w:sz w:val="20"/>
        </w:rPr>
      </w:pPr>
      <w:r>
        <w:rPr>
          <w:rFonts w:ascii="Times New Roman;sans-serif" w:hAnsi="Times New Roman;sans-serif"/>
          <w:b w:val="false"/>
          <w:color w:val="000000"/>
          <w:sz w:val="20"/>
        </w:rPr>
        <w:t>See Note 14 "Commitments and Contingencies" set forth in the notes to our consolidated financial statements included in Part I, Item 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information set forth in this report, you should carefully consider the factors discussed in “Part I, Item 1A. Risk Factors” of our annual report on Form 10-K for our fiscal year ended May 31, 2023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w:t>
      </w:r>
    </w:p>
    <w:p>
      <w:pPr>
        <w:pStyle w:val="TextBody"/>
        <w:bidi w:val="0"/>
        <w:spacing w:lineRule="auto" w:line="268" w:before="240" w:after="180"/>
        <w:ind w:left="0" w:right="0" w:firstLine="450"/>
        <w:jc w:val="left"/>
        <w:rPr/>
      </w:pPr>
      <w:r>
        <w:rPr>
          <w:rFonts w:ascii="Times New Roman;sans-serif" w:hAnsi="Times New Roman;sans-serif"/>
          <w:b w:val="false"/>
          <w:color w:val="000000"/>
          <w:sz w:val="20"/>
        </w:rPr>
        <w:t>On June 8, 2023, the Company completed the sale of the dialysis and BioSentry businesses to Merit Medical Systems, Inc. In connection with the completion of the sale, the Company repaid all amounts outstanding under its then existing Credit Agreement, and as a result, the Credit Agreement was extinguished. We believe that our current cash balance, together with cash generated from operations will provide sufficient liquidity to meet our anticipated needs for capital for at least the next 12 months. If we seek to make acquisitions of other businesses or technologies in the future for cash or if circumstances materially change, we may require additional financing for liquidity, capital requirements or growth initiatives. We may not be able to obtain financing on terms and at interest rates that are favorable to us or at all. Any inability by us to obtain financing in the future could have a material adverse effect on our business, financial position, results of operations and cash flows</w:t>
      </w:r>
      <w:r>
        <w:rPr>
          <w:rFonts w:ascii="Arial;sans-serif" w:hAnsi="Arial;sans-serif"/>
          <w:b w:val="false"/>
          <w:color w:val="000000"/>
          <w:sz w:val="20"/>
        </w:rPr>
        <w:t>.</w:t>
      </w:r>
    </w:p>
    <w:p>
      <w:pPr>
        <w:pStyle w:val="TextBody"/>
        <w:bidi w:val="0"/>
        <w:spacing w:before="0" w:after="18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with respect to the shares of the Company’s common stock repurchased during the three months ended February 29, 2024:</w:t>
      </w:r>
    </w:p>
    <w:tbl>
      <w:tblPr>
        <w:tblW w:w="8470" w:type="dxa"/>
        <w:jc w:val="left"/>
        <w:tblInd w:w="0" w:type="dxa"/>
        <w:tblLayout w:type="fixed"/>
        <w:tblCellMar>
          <w:top w:w="28" w:type="dxa"/>
          <w:left w:w="28" w:type="dxa"/>
          <w:bottom w:w="28" w:type="dxa"/>
          <w:right w:w="28" w:type="dxa"/>
        </w:tblCellMar>
      </w:tblPr>
      <w:tblGrid>
        <w:gridCol w:w="1200"/>
        <w:gridCol w:w="1056"/>
        <w:gridCol w:w="1059"/>
        <w:gridCol w:w="354"/>
        <w:gridCol w:w="354"/>
        <w:gridCol w:w="356"/>
        <w:gridCol w:w="109"/>
        <w:gridCol w:w="109"/>
        <w:gridCol w:w="109"/>
        <w:gridCol w:w="211"/>
        <w:gridCol w:w="511"/>
        <w:gridCol w:w="109"/>
        <w:gridCol w:w="109"/>
        <w:gridCol w:w="109"/>
        <w:gridCol w:w="109"/>
        <w:gridCol w:w="339"/>
        <w:gridCol w:w="339"/>
        <w:gridCol w:w="341"/>
        <w:gridCol w:w="109"/>
        <w:gridCol w:w="109"/>
        <w:gridCol w:w="109"/>
        <w:gridCol w:w="344"/>
        <w:gridCol w:w="663"/>
        <w:gridCol w:w="253"/>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Issuer Purchases of Equity Securities</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br/>
              <w:t>Number of</w:t>
              <w:br/>
              <w:t>Shares</w:t>
              <w:br/>
              <w:t>Purchased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Average</w:t>
              <w:br/>
              <w:t>Price Paid</w:t>
              <w:b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br/>
              <w:t>Number of</w:t>
              <w:br/>
              <w:t>Shares</w:t>
              <w:br/>
              <w:t>Purchased</w:t>
              <w:br/>
              <w:t>as Part of</w:t>
              <w:br/>
              <w:t>Publicly</w:t>
              <w:br/>
              <w:t>Announced</w:t>
              <w:br/>
              <w:t>Programs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Maximum</w:t>
              <w:br/>
              <w:t>Approximate</w:t>
              <w:br/>
              <w:t>Dollar Value</w:t>
              <w:br/>
              <w:t>of Shares</w:t>
              <w:br/>
              <w:t>that May Yet</w:t>
              <w:br/>
              <w:t>Be</w:t>
              <w:br/>
              <w:t>Purchased</w:t>
              <w:br/>
              <w:t>Under Plans</w:t>
              <w:br/>
              <w:t>or Programs (2)</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2023 - December 31, 2023</w:t>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2024 - January 31, 2024</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2024 - February 29, 2024</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1,588 </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(1)These shares were purchased from employees to satisfy tax withholding requirements on the vesting of restricted shares/units from equity-based awards.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(2)These amounts are not applicable as the Company currently does not have a share repurchase program in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3. Defaults on Senior Securities.</w:t>
      </w:r>
    </w:p>
    <w:p>
      <w:pPr>
        <w:pStyle w:val="TextBody"/>
        <w:bidi w:val="0"/>
        <w:spacing w:lineRule="auto" w:line="288" w:before="0" w:after="18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18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left"/>
        <w:rPr/>
      </w:pPr>
      <w:r>
        <w:rPr>
          <w:rFonts w:ascii="Times New Roman;sans-serif" w:hAnsi="Times New Roman;sans-serif"/>
          <w:b w:val="false"/>
          <w:color w:val="000000"/>
          <w:sz w:val="20"/>
          <w:u w:val="single"/>
        </w:rPr>
        <w:t>Insider Trading Arrangements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February 29, 2024, none of our directors or officers (as defined in Section 16 of the Securities Exchange Act of 1934, as amended) or the Company adopted or terminated a "Rule 10b5-1 trading arrangement" or a "non-Rule 10b5-1 trading arrangement" (each as defined in Item 408(a) and (c), respectively,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w:t>
      </w:r>
    </w:p>
    <w:tbl>
      <w:tblPr>
        <w:tblW w:w="10205" w:type="dxa"/>
        <w:jc w:val="left"/>
        <w:tblInd w:w="0" w:type="dxa"/>
        <w:tblLayout w:type="fixed"/>
        <w:tblCellMar>
          <w:top w:w="28" w:type="dxa"/>
          <w:left w:w="28" w:type="dxa"/>
          <w:bottom w:w="28" w:type="dxa"/>
          <w:right w:w="28" w:type="dxa"/>
        </w:tblCellMar>
      </w:tblPr>
      <w:tblGrid>
        <w:gridCol w:w="257"/>
        <w:gridCol w:w="211"/>
        <w:gridCol w:w="215"/>
        <w:gridCol w:w="2581"/>
        <w:gridCol w:w="2358"/>
        <w:gridCol w:w="2365"/>
        <w:gridCol w:w="241"/>
        <w:gridCol w:w="199"/>
        <w:gridCol w:w="181"/>
        <w:gridCol w:w="247"/>
        <w:gridCol w:w="247"/>
        <w:gridCol w:w="246"/>
        <w:gridCol w:w="272"/>
        <w:gridCol w:w="260"/>
        <w:gridCol w:w="325"/>
      </w:tblGrid>
      <w:tr>
        <w:trPr/>
        <w:tc>
          <w:tcPr>
            <w:tcW w:w="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c>
        <w:tc>
          <w:tcPr>
            <w:tcW w:w="2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w:t>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Filing Date</w:t>
            </w:r>
          </w:p>
        </w:tc>
      </w:tr>
      <w:tr>
        <w:trPr/>
        <w:tc>
          <w:tcPr>
            <w:tcW w:w="6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2292024-exx311.htm">
              <w:r>
                <w:rPr>
                  <w:rStyle w:val="InternetLink"/>
                  <w:rFonts w:ascii="Times New Roman;sans-serif" w:hAnsi="Times New Roman;sans-serif"/>
                  <w:b w:val="false"/>
                  <w:color w:val="0000FF"/>
                  <w:sz w:val="20"/>
                  <w:u w:val="single"/>
                </w:rPr>
                <w:t>Certification pursuant to Rule 13a-14(a) or 15d-14 under the Securities Exchange Act of 1934</w:t>
              </w:r>
            </w:hyperlink>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2292024-exx312.htm">
              <w:r>
                <w:rPr>
                  <w:rStyle w:val="InternetLink"/>
                  <w:rFonts w:ascii="Times New Roman;sans-serif" w:hAnsi="Times New Roman;sans-serif"/>
                  <w:b w:val="false"/>
                  <w:color w:val="0000FF"/>
                  <w:sz w:val="20"/>
                  <w:u w:val="single"/>
                </w:rPr>
                <w:t>Certification pursuant to Rule 13a-14(a) or 15d-14 under the Securities Exchange Act of 1934</w:t>
              </w:r>
            </w:hyperlink>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2292024-exx321.htm">
              <w:r>
                <w:rPr>
                  <w:rStyle w:val="InternetLink"/>
                  <w:rFonts w:ascii="Times New Roman;sans-serif" w:hAnsi="Times New Roman;sans-serif"/>
                  <w:b w:val="false"/>
                  <w:color w:val="0000FF"/>
                  <w:sz w:val="20"/>
                  <w:u w:val="single"/>
                </w:rPr>
                <w:t>Certification of Chief Executive Officer pursuant to Title 18, United States Code, Section 1350, as adopted pursuant to Section 906 of the Sarbanes-Oxley Act of 2002</w:t>
              </w:r>
            </w:hyperlink>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2292024-exx322.htm">
              <w:r>
                <w:rPr>
                  <w:rStyle w:val="InternetLink"/>
                  <w:rFonts w:ascii="Times New Roman;sans-serif" w:hAnsi="Times New Roman;sans-serif"/>
                  <w:b w:val="false"/>
                  <w:color w:val="0000FF"/>
                  <w:sz w:val="20"/>
                  <w:u w:val="single"/>
                </w:rPr>
                <w:t>Certification of Chief Financial Officer pursuant to Title 18, United States Code, Section 1350, as adopted pursuant to Section 906 of the Sarbanes-Oxley Act of 2002</w:t>
              </w:r>
            </w:hyperlink>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instance document does not appear in the interactive data file because its XBRL tags are embedded within the inline XBRL document</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Schema Document</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Calculation Linkbase Documents</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Labels Linkbase Documents</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Presentation Linkbase Documents</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5a3d6d1271f4233b4510962f5d08ad9_7">
        <w:r>
          <w:rPr>
            <w:rStyle w:val="InternetLink"/>
            <w:rFonts w:ascii="Times New Roman;sans-serif" w:hAnsi="Times New Roman;sans-serif"/>
            <w:b w:val="false"/>
            <w:color w:val="0000FF"/>
            <w:sz w:val="16"/>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728"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394"/>
        <w:gridCol w:w="394"/>
        <w:gridCol w:w="396"/>
        <w:gridCol w:w="109"/>
        <w:gridCol w:w="109"/>
        <w:gridCol w:w="109"/>
        <w:gridCol w:w="1270"/>
        <w:gridCol w:w="1270"/>
        <w:gridCol w:w="179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ANGIODYNAMICS,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S /    JAMES C. CLEMMER</w:t>
            </w: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James C. Clemmer, President,</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S /    STEPHEN A. TROWBRIDGE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Stephen A. Trowbridge, Executive Vice President,</w:t>
              <w:br/>
              <w:t>Chief Financial Officer</w:t>
              <w:b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James C. Clemmer, certify that:</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AngioDynamics,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9, 2024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 S / JAMES C. CLEMMER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James C. Clemmer, President,</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Stephen A. Trowbridge,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AngioDynamics,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9,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 S / STEPHEN A. TROWBRIDGE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Stephen A. Trowbridge, Executive Vice President,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TITLE 18,</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 CODE, SECTION 1350, 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James C. Clemmer, President, Chief Executive Officer and Director of ANGIODYNAMICS, Inc. (the "Company"), certify, pursuant to Section 906 of the Sarbanes-Oxley Act of 2002, 18 U.S.C. Section 1350, that, to the best of my knowledge:</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quarterly report on Form 10-Q of the Company for the fiscal quarter ended February 29, 2024 (the "Report") fully complies with the requirements of Section 13(a) or 15(d) of the Securities Exchange Act of 1934 (15 U.S.C. 78m or 78o(d)); and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9, 2024 </w:t>
      </w:r>
    </w:p>
    <w:p>
      <w:pPr>
        <w:pStyle w:val="TextBody"/>
        <w:bidi w:val="0"/>
        <w:spacing w:before="0" w:after="0"/>
        <w:jc w:val="left"/>
        <w:rPr/>
      </w:pPr>
      <w:r>
        <w:rPr/>
      </w:r>
    </w:p>
    <w:tbl>
      <w:tblPr>
        <w:tblW w:w="2861" w:type="dxa"/>
        <w:jc w:val="center"/>
        <w:tblInd w:w="0" w:type="dxa"/>
        <w:tblLayout w:type="fixed"/>
        <w:tblCellMar>
          <w:top w:w="28" w:type="dxa"/>
          <w:left w:w="28" w:type="dxa"/>
          <w:bottom w:w="28" w:type="dxa"/>
          <w:right w:w="28" w:type="dxa"/>
        </w:tblCellMar>
      </w:tblPr>
      <w:tblGrid>
        <w:gridCol w:w="901"/>
        <w:gridCol w:w="793"/>
        <w:gridCol w:w="795"/>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S / JAMES C. CLEMMER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James C. Clemmer, President,</w:t>
              <w:b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TITLE 18,</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 CODE, SECTION 1350, 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Stephen A. Trowbridge, Executive Vice President and Chief Financial Officer of ANGIODYNAMICS, Inc. (the "Company"), certify, pursuant to Section 906 of the Sarbanes-Oxley Act of 2002, 18 U.S.C. Section 1350, that, to the best of my knowledge:</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quarterly report on Form 10-Q of the Company for the fiscal quarter ended February 29, 2024 (the "Report") fully complies with the requirements of Section 13(a) or 15(d) of the Securities Exchange Act of 1934 (15 U.S.C. 78m or 78o(d)); and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9, 2024 </w:t>
      </w:r>
    </w:p>
    <w:p>
      <w:pPr>
        <w:pStyle w:val="TextBody"/>
        <w:bidi w:val="0"/>
        <w:spacing w:before="0" w:after="0"/>
        <w:jc w:val="left"/>
        <w:rPr/>
      </w:pPr>
      <w:r>
        <w:rPr/>
      </w:r>
    </w:p>
    <w:tbl>
      <w:tblPr>
        <w:tblW w:w="4542" w:type="dxa"/>
        <w:jc w:val="center"/>
        <w:tblInd w:w="0" w:type="dxa"/>
        <w:tblLayout w:type="fixed"/>
        <w:tblCellMar>
          <w:top w:w="28" w:type="dxa"/>
          <w:left w:w="28" w:type="dxa"/>
          <w:bottom w:w="28" w:type="dxa"/>
          <w:right w:w="28" w:type="dxa"/>
        </w:tblCellMar>
      </w:tblPr>
      <w:tblGrid>
        <w:gridCol w:w="1511"/>
        <w:gridCol w:w="1327"/>
        <w:gridCol w:w="1332"/>
        <w:gridCol w:w="109"/>
        <w:gridCol w:w="109"/>
        <w:gridCol w:w="154"/>
      </w:tblGrid>
      <w:tr>
        <w:trPr/>
        <w:tc>
          <w:tcPr>
            <w:tcW w:w="151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S / STEPHEN A. TROWBRIDGE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Stephen A. Trowbridge, Executive Vice President,</w:t>
              <w:br/>
              <w:t xml:space="preserve">Chief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18410</Words>
  <Characters>100764</Characters>
  <CharactersWithSpaces>117690</CharactersWithSpaces>
  <Paragraphs>2666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