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192405</wp:posOffset>
            </wp:positionH>
            <wp:positionV relativeFrom="page">
              <wp:posOffset>141605</wp:posOffset>
            </wp:positionV>
            <wp:extent cx="7164070" cy="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2667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234315</wp:posOffset>
            </wp:positionV>
            <wp:extent cx="71640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6350"/>
                    </a:xfrm>
                    <a:prstGeom prst="rect">
                      <a:avLst/>
                    </a:prstGeom>
                    <a:noFill/>
                  </pic:spPr>
                </pic:pic>
              </a:graphicData>
            </a:graphic>
          </wp:anchor>
        </w:drawing>
        <w:t>UNITED STATES</w:t>
      </w:r>
    </w:p>
    <w:p>
      <w:pPr>
        <w:spacing w:after="0" w:line="3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3223895</wp:posOffset>
            </wp:positionH>
            <wp:positionV relativeFrom="paragraph">
              <wp:posOffset>141605</wp:posOffset>
            </wp:positionV>
            <wp:extent cx="71945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455" cy="1333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5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January 16, 2025</w:t>
      </w:r>
    </w:p>
    <w:p>
      <w:pPr>
        <w:spacing w:after="0" w:line="15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3"/>
          <w:szCs w:val="33"/>
          <w:b w:val="1"/>
          <w:bCs w:val="1"/>
          <w:color w:val="auto"/>
        </w:rPr>
        <w:t>AngioDynamics, Inc.</w:t>
      </w:r>
    </w:p>
    <w:p>
      <w:pPr>
        <w:spacing w:after="0" w:line="4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ectPr>
          <w:pgSz w:w="11900" w:h="16838" w:orient="portrait"/>
          <w:cols w:equalWidth="0" w:num="1">
            <w:col w:w="11060"/>
          </w:cols>
          <w:pgMar w:left="300" w:top="429" w:right="539" w:bottom="1440" w:gutter="0" w:footer="0" w:header="0"/>
        </w:sectPr>
      </w:pPr>
    </w:p>
    <w:p>
      <w:pPr>
        <w:spacing w:after="0" w:line="154"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3"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000-50761</w:t>
      </w:r>
    </w:p>
    <w:p>
      <w:pPr>
        <w:spacing w:after="0" w:line="23"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11-3146460</w:t>
      </w:r>
    </w:p>
    <w:p>
      <w:pPr>
        <w:spacing w:after="0" w:line="2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166" w:lineRule="exact"/>
        <w:rPr>
          <w:sz w:val="24"/>
          <w:szCs w:val="24"/>
          <w:color w:val="auto"/>
        </w:rPr>
      </w:pPr>
    </w:p>
    <w:p>
      <w:pPr>
        <w:sectPr>
          <w:pgSz w:w="11900" w:h="16838" w:orient="portrait"/>
          <w:cols w:equalWidth="0" w:num="3">
            <w:col w:w="4160" w:space="720"/>
            <w:col w:w="2860" w:space="720"/>
            <w:col w:w="2600"/>
          </w:cols>
          <w:pgMar w:left="300" w:top="429" w:right="539" w:bottom="1440" w:gutter="0" w:footer="0" w:header="0"/>
          <w:type w:val="continuous"/>
        </w:sectPr>
      </w:pPr>
    </w:p>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14 Plaza Drive, Latham, New York</w:t>
      </w:r>
    </w:p>
    <w:p>
      <w:pPr>
        <w:spacing w:after="0" w:line="2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Times New Roman" w:cs="Times New Roman" w:eastAsia="Times New Roman" w:hAnsi="Times New Roman"/>
          <w:sz w:val="14"/>
          <w:szCs w:val="14"/>
          <w:b w:val="1"/>
          <w:bCs w:val="1"/>
          <w:color w:val="auto"/>
        </w:rPr>
        <w:t>12110</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(Zip Code)</w:t>
      </w:r>
    </w:p>
    <w:p>
      <w:pPr>
        <w:spacing w:after="0" w:line="166" w:lineRule="exact"/>
        <w:rPr>
          <w:sz w:val="24"/>
          <w:szCs w:val="24"/>
          <w:color w:val="auto"/>
        </w:rPr>
      </w:pPr>
    </w:p>
    <w:p>
      <w:pPr>
        <w:sectPr>
          <w:pgSz w:w="11900" w:h="16838" w:orient="portrait"/>
          <w:cols w:equalWidth="0" w:num="2">
            <w:col w:w="7520" w:space="720"/>
            <w:col w:w="2820"/>
          </w:cols>
          <w:pgMar w:left="300" w:top="429" w:right="53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(518) 795-1400</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1"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1"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 (b))</w:t>
      </w:r>
    </w:p>
    <w:p>
      <w:pPr>
        <w:spacing w:after="0" w:line="171"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 (c))</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01"/>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of each class</w:t>
            </w:r>
          </w:p>
        </w:tc>
        <w:tc>
          <w:tcPr>
            <w:tcW w:w="33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Name of each exchange on which</w:t>
            </w:r>
          </w:p>
        </w:tc>
      </w:tr>
      <w:tr>
        <w:trPr>
          <w:trHeight w:val="146"/>
        </w:trPr>
        <w:tc>
          <w:tcPr>
            <w:tcW w:w="1000" w:type="dxa"/>
            <w:vAlign w:val="bottom"/>
            <w:tcBorders>
              <w:top w:val="single" w:sz="8" w:color="auto"/>
            </w:tcBorders>
          </w:tcPr>
          <w:p>
            <w:pPr>
              <w:spacing w:after="0"/>
              <w:rPr>
                <w:sz w:val="12"/>
                <w:szCs w:val="12"/>
                <w:color w:val="auto"/>
              </w:rPr>
            </w:pPr>
          </w:p>
        </w:tc>
        <w:tc>
          <w:tcPr>
            <w:tcW w:w="3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1880" w:type="dxa"/>
            <w:vAlign w:val="bottom"/>
            <w:tcBorders>
              <w:top w:val="single" w:sz="8" w:color="auto"/>
            </w:tcBorders>
            <w:gridSpan w:val="2"/>
          </w:tcPr>
          <w:p>
            <w:pPr>
              <w:spacing w:after="0" w:line="147" w:lineRule="exact"/>
              <w:rPr>
                <w:sz w:val="20"/>
                <w:szCs w:val="20"/>
                <w:color w:val="auto"/>
              </w:rPr>
            </w:pPr>
            <w:r>
              <w:rPr>
                <w:rFonts w:ascii="Times New Roman" w:cs="Times New Roman" w:eastAsia="Times New Roman" w:hAnsi="Times New Roman"/>
                <w:sz w:val="14"/>
                <w:szCs w:val="14"/>
                <w:color w:val="auto"/>
              </w:rPr>
              <w:t>registered</w:t>
            </w:r>
          </w:p>
        </w:tc>
      </w:tr>
      <w:tr>
        <w:trPr>
          <w:trHeight w:val="20"/>
        </w:trPr>
        <w:tc>
          <w:tcPr>
            <w:tcW w:w="4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44"/>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860" w:type="dxa"/>
            <w:vAlign w:val="bottom"/>
          </w:tcPr>
          <w:p>
            <w:pPr>
              <w:spacing w:after="0"/>
              <w:rPr>
                <w:sz w:val="24"/>
                <w:szCs w:val="24"/>
                <w:color w:val="auto"/>
              </w:rPr>
            </w:pPr>
          </w:p>
        </w:tc>
        <w:tc>
          <w:tcPr>
            <w:tcW w:w="244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color w:val="auto"/>
                <w:w w:val="98"/>
              </w:rPr>
              <w:t>ANGO</w:t>
            </w: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51"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3" w:lineRule="exact"/>
        <w:rPr>
          <w:sz w:val="24"/>
          <w:szCs w:val="24"/>
          <w:color w:val="auto"/>
        </w:rPr>
      </w:pPr>
    </w:p>
    <w:p>
      <w:pPr>
        <w:ind w:right="220"/>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1640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210820</wp:posOffset>
            </wp:positionV>
            <wp:extent cx="7164070" cy="26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266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323215</wp:posOffset>
            </wp:positionV>
            <wp:extent cx="716407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060"/>
          </w:cols>
          <w:pgMar w:left="300" w:top="429"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 Regulation FD Disclosure.</w:t>
      </w:r>
    </w:p>
    <w:p>
      <w:pPr>
        <w:spacing w:after="0" w:line="174" w:lineRule="exact"/>
        <w:rPr>
          <w:sz w:val="20"/>
          <w:szCs w:val="20"/>
          <w:color w:val="auto"/>
        </w:rPr>
      </w:pPr>
    </w:p>
    <w:p>
      <w:pPr>
        <w:jc w:val="both"/>
        <w:ind w:firstLine="302"/>
        <w:spacing w:after="0" w:line="278" w:lineRule="auto"/>
        <w:rPr>
          <w:sz w:val="20"/>
          <w:szCs w:val="20"/>
          <w:color w:val="auto"/>
        </w:rPr>
      </w:pPr>
      <w:r>
        <w:rPr>
          <w:rFonts w:ascii="Times New Roman" w:cs="Times New Roman" w:eastAsia="Times New Roman" w:hAnsi="Times New Roman"/>
          <w:sz w:val="14"/>
          <w:szCs w:val="14"/>
          <w:color w:val="auto"/>
        </w:rPr>
        <w:t>On January 16, 2025, James Clemmer, President and Chief Executive Officer, of AngioDynamics, Inc. (“AngioDynamics”), presented at the J.P. Morgan 43rd Annual Healthcare Conference. The presentation slides are furnished herewith as Exhibit 99.1.</w:t>
      </w:r>
    </w:p>
    <w:p>
      <w:pPr>
        <w:spacing w:after="0" w:line="126" w:lineRule="exact"/>
        <w:rPr>
          <w:sz w:val="20"/>
          <w:szCs w:val="20"/>
          <w:color w:val="auto"/>
        </w:rPr>
      </w:pPr>
    </w:p>
    <w:p>
      <w:pPr>
        <w:jc w:val="both"/>
        <w:ind w:firstLine="302"/>
        <w:spacing w:after="0" w:line="263" w:lineRule="auto"/>
        <w:rPr>
          <w:sz w:val="20"/>
          <w:szCs w:val="20"/>
          <w:color w:val="auto"/>
        </w:rPr>
      </w:pPr>
      <w:r>
        <w:rPr>
          <w:rFonts w:ascii="Times New Roman" w:cs="Times New Roman" w:eastAsia="Times New Roman" w:hAnsi="Times New Roman"/>
          <w:sz w:val="14"/>
          <w:szCs w:val="14"/>
          <w:color w:val="auto"/>
        </w:rPr>
        <w:t>The presentation slides furnished pursuant to Item 7.01 of this Form 8-K (including Exhibit 99.1) shall not be deemed “filed” for purposes of Section 18 of the Securities Exchange Act of 1934, as amended (the “Exchange Act”), or otherwise subject to the liabilities under that Section. Furthermore, the presentation slides shall not be deemed to be incorporated by reference into any filing under the Securities Act of 1933, as amended, or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jc w:val="both"/>
        <w:ind w:firstLine="250"/>
        <w:spacing w:after="0" w:line="250" w:lineRule="auto"/>
        <w:rPr>
          <w:sz w:val="20"/>
          <w:szCs w:val="20"/>
          <w:color w:val="auto"/>
        </w:rPr>
      </w:pPr>
      <w:r>
        <w:rPr>
          <w:rFonts w:ascii="Times New Roman" w:cs="Times New Roman" w:eastAsia="Times New Roman" w:hAnsi="Times New Roman"/>
          <w:sz w:val="14"/>
          <w:szCs w:val="14"/>
          <w:color w:val="auto"/>
        </w:rPr>
        <w:t>This document and its attachments contain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2024. AngioDynamics does not assume any obligation to publicly update or revise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6407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9.01 – Financial Statements and Exhibits.</w:t>
      </w:r>
    </w:p>
    <w:p>
      <w:pPr>
        <w:spacing w:after="0" w:line="172" w:lineRule="exact"/>
        <w:rPr>
          <w:sz w:val="20"/>
          <w:szCs w:val="20"/>
          <w:color w:val="auto"/>
        </w:rPr>
      </w:pPr>
    </w:p>
    <w:p>
      <w:pPr>
        <w:ind w:left="500" w:hanging="497"/>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w:t>
      </w:r>
      <w:r>
        <w:rPr>
          <w:rFonts w:ascii="Times New Roman" w:cs="Times New Roman" w:eastAsia="Times New Roman" w:hAnsi="Times New Roman"/>
          <w:sz w:val="14"/>
          <w:szCs w:val="14"/>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2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13"/>
        </w:trPr>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99.</w:t>
            </w:r>
            <w:r>
              <w:rPr>
                <w:rFonts w:ascii="Times New Roman" w:cs="Times New Roman" w:eastAsia="Times New Roman" w:hAnsi="Times New Roman"/>
                <w:sz w:val="14"/>
                <w:szCs w:val="14"/>
                <w:u w:val="single" w:color="auto"/>
                <w:color w:val="0000EE"/>
              </w:rPr>
              <w:t>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Presentation slides for the J.P. Morgan 43rd Annual Healthcare Conference, dated January 16, 2025.</w:t>
            </w:r>
          </w:p>
        </w:tc>
      </w:tr>
      <w:tr>
        <w:trPr>
          <w:trHeight w:val="314"/>
        </w:trPr>
        <w:tc>
          <w:tcPr>
            <w:tcW w:w="24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ANGIODYNAMICS, INC.</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(Registrant)</w:t>
      </w:r>
    </w:p>
    <w:p>
      <w:pPr>
        <w:spacing w:after="0" w:line="157" w:lineRule="exact"/>
        <w:rPr>
          <w:sz w:val="20"/>
          <w:szCs w:val="20"/>
          <w:color w:val="auto"/>
        </w:rPr>
      </w:pPr>
    </w:p>
    <w:p>
      <w:pPr>
        <w:spacing w:after="0"/>
        <w:tabs>
          <w:tab w:leader="none" w:pos="5620" w:val="left"/>
          <w:tab w:leader="none" w:pos="5980" w:val="left"/>
        </w:tabs>
        <w:rPr>
          <w:sz w:val="20"/>
          <w:szCs w:val="20"/>
          <w:color w:val="auto"/>
        </w:rPr>
      </w:pPr>
      <w:r>
        <w:rPr>
          <w:rFonts w:ascii="Times New Roman" w:cs="Times New Roman" w:eastAsia="Times New Roman" w:hAnsi="Times New Roman"/>
          <w:sz w:val="14"/>
          <w:szCs w:val="14"/>
          <w:color w:val="auto"/>
        </w:rPr>
        <w:t>Date: January 16,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Lawrence T. Weiss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2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Lawrence T. Weiss</w:t>
            </w:r>
          </w:p>
        </w:tc>
        <w:tc>
          <w:tcPr>
            <w:tcW w:w="2140" w:type="dxa"/>
            <w:vAlign w:val="bottom"/>
          </w:tcPr>
          <w:p>
            <w:pPr>
              <w:spacing w:after="0"/>
              <w:rPr>
                <w:sz w:val="14"/>
                <w:szCs w:val="14"/>
                <w:color w:val="auto"/>
              </w:rPr>
            </w:pPr>
          </w:p>
        </w:tc>
      </w:tr>
      <w:tr>
        <w:trPr>
          <w:trHeight w:val="181"/>
        </w:trPr>
        <w:tc>
          <w:tcPr>
            <w:tcW w:w="600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Senior Vice President, Chief Legal Officer and Corporate Secretary</w:t>
            </w:r>
          </w:p>
        </w:tc>
      </w:tr>
      <w:tr>
        <w:trPr>
          <w:trHeight w:val="406"/>
        </w:trPr>
        <w:tc>
          <w:tcPr>
            <w:tcW w:w="6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4" w:name="page5"/>
    <w:bookmarkEnd w:id="4"/>
    <w:p>
      <w:pPr>
        <w:ind w:left="942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26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2667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127000</wp:posOffset>
            </wp:positionV>
            <wp:extent cx="7164070" cy="4172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72585"/>
                    </a:xfrm>
                    <a:prstGeom prst="rect">
                      <a:avLst/>
                    </a:prstGeom>
                    <a:noFill/>
                  </pic:spPr>
                </pic:pic>
              </a:graphicData>
            </a:graphic>
          </wp:anchor>
        </w:drawing>
      </w:r>
    </w:p>
    <w:p>
      <w:pPr>
        <w:sectPr>
          <w:pgSz w:w="11900" w:h="16838" w:orient="portrait"/>
          <w:cols w:equalWidth="0" w:num="1">
            <w:col w:w="10140"/>
          </w:cols>
          <w:pgMar w:left="1440" w:top="237"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72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72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086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086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92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205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205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211695" cy="4192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5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52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92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92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92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23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23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99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9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0420" cy="4192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0420"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59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59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218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218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59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59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92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203440" cy="4172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172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0420" cy="4232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0420" cy="423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00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00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070" cy="4185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85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6770" cy="4238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770" cy="423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90105" cy="4265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0105" cy="4265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2025-01-16T15:13:21Z</dcterms:created>
  <dcterms:modified xsi:type="dcterms:W3CDTF">2025-01-16T15:13:21Z</dcterms:modified>
</cp:coreProperties>
</file>