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5f685e1e555b4b8b85d119fc12b2b16d_7">
        <w:r>
          <w:rPr>
            <w:rStyle w:val="InternetLink"/>
            <w:rFonts w:ascii="Times New Roman;sans-serif" w:hAnsi="Times New Roman;sans-serif"/>
            <w:b w:val="false"/>
            <w:color w:val="0000FF"/>
            <w:sz w:val="16"/>
            <w:u w:val="single"/>
          </w:rPr>
          <w:t>Table of Content</w:t>
        </w:r>
      </w:hyperlink>
    </w:p>
    <w:p>
      <w:pPr>
        <w:pStyle w:val="TextBody"/>
        <w:bidi w:val="0"/>
        <w:spacing w:lineRule="auto" w:line="288" w:before="80" w:after="283"/>
        <w:jc w:val="center"/>
        <w:rPr>
          <w:color w:val="000000"/>
        </w:rPr>
      </w:pP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ans-serif" w:hAnsi="Times New Roman;sans-serif"/>
          <w:b/>
          <w:color w:val="000000"/>
          <w:sz w:val="40"/>
        </w:rPr>
      </w:pPr>
      <w:r>
        <w:rPr>
          <w:rFonts w:ascii="Times New Roman;sans-serif" w:hAnsi="Times New Roman;sans-serif"/>
          <w:b/>
          <w:color w:val="000000"/>
          <w:sz w:val="40"/>
        </w:rPr>
        <w:t>UNITED STATES</w:t>
      </w:r>
    </w:p>
    <w:p>
      <w:pPr>
        <w:pStyle w:val="TextBody"/>
        <w:bidi w:val="0"/>
        <w:spacing w:lineRule="auto" w:line="288" w:before="0" w:after="0"/>
        <w:jc w:val="center"/>
        <w:rPr>
          <w:rFonts w:ascii="Times New Roman;sans-serif" w:hAnsi="Times New Roman;sans-serif"/>
          <w:b/>
          <w:color w:val="000000"/>
          <w:sz w:val="40"/>
        </w:rPr>
      </w:pPr>
      <w:r>
        <w:rPr>
          <w:rFonts w:ascii="Times New Roman;sans-serif" w:hAnsi="Times New Roman;sans-serif"/>
          <w:b/>
          <w:color w:val="000000"/>
          <w:sz w:val="40"/>
        </w:rPr>
        <w:t>SECURITIES AND EXCHANGE COMMISSION</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color w:val="000000"/>
          <w:sz w:val="40"/>
        </w:rPr>
      </w:pPr>
      <w:r>
        <w:rPr>
          <w:rFonts w:ascii="Times New Roman;sans-serif" w:hAnsi="Times New Roman;sans-serif"/>
          <w:b/>
          <w:color w:val="000000"/>
          <w:sz w:val="40"/>
        </w:rPr>
        <w:t>FORM 10-Q</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QUARTERLY REPORT PURSUANT TO SECTION 13 OR 15(d) OF THE SECURITIES EXCHANGE ACT OF 1934</w:t>
            </w:r>
          </w:p>
        </w:tc>
      </w:tr>
    </w:tbl>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For the quarterly period ended November 30, 2023 </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TRANSITION REPORT PURSUANT TO SECTION 13 OR 15(d) OF THE SECURITIES EXCHANGE ACT OF 1934</w:t>
            </w:r>
          </w:p>
        </w:tc>
      </w:tr>
    </w:tbl>
    <w:p>
      <w:pPr>
        <w:pStyle w:val="TextBody"/>
        <w:bidi w:val="0"/>
        <w:spacing w:lineRule="auto" w:line="288" w:before="240" w:after="283"/>
        <w:jc w:val="center"/>
        <w:rPr/>
      </w:pPr>
      <w:r>
        <w:rPr>
          <w:rFonts w:ascii="Times New Roman;sans-serif" w:hAnsi="Times New Roman;sans-serif"/>
          <w:b/>
          <w:color w:val="000000"/>
          <w:sz w:val="20"/>
        </w:rPr>
        <w:t xml:space="preserve">For the transition period from </w:t>
      </w:r>
      <w:r>
        <w:rPr>
          <w:color w:val="000000"/>
          <w:u w:val="single"/>
        </w:rPr>
        <w:t>                </w:t>
      </w:r>
      <w:r>
        <w:rPr>
          <w:color w:val="000000"/>
        </w:rPr>
        <w:t xml:space="preserve"> </w:t>
      </w:r>
      <w:r>
        <w:rPr>
          <w:rFonts w:ascii="Times New Roman;sans-serif" w:hAnsi="Times New Roman;sans-serif"/>
          <w:b/>
          <w:color w:val="000000"/>
          <w:sz w:val="20"/>
        </w:rPr>
        <w:t xml:space="preserve">to </w:t>
      </w:r>
      <w:r>
        <w:rPr>
          <w:color w:val="000000"/>
          <w:u w:val="single"/>
        </w:rPr>
        <w:t>                </w:t>
      </w:r>
      <w:r>
        <w:rPr>
          <w:color w:val="000000"/>
        </w:rPr>
        <w:t xml:space="preserve"> </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 xml:space="preserve">Commission file number 0-50761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48"/>
        </w:rPr>
      </w:pPr>
      <w:r>
        <w:rPr>
          <w:rFonts w:ascii="Times New Roman;sans-serif" w:hAnsi="Times New Roman;sans-serif"/>
          <w:b/>
          <w:color w:val="000000"/>
          <w:sz w:val="48"/>
        </w:rPr>
        <w:t>AngioDynamics,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p>
      <w:pPr>
        <w:pStyle w:val="TextBody"/>
        <w:bidi w:val="0"/>
        <w:spacing w:before="0" w:after="0"/>
        <w:jc w:val="center"/>
        <w:rPr/>
      </w:pPr>
      <w:r>
        <w:rPr/>
        <w:drawing>
          <wp:inline distT="0" distB="0" distL="0" distR="0">
            <wp:extent cx="4019550" cy="6096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4019550" cy="609600"/>
                    </a:xfrm>
                    <a:prstGeom prst="rect">
                      <a:avLst/>
                    </a:prstGeom>
                  </pic:spPr>
                </pic:pic>
              </a:graphicData>
            </a:graphic>
          </wp:inline>
        </w:drawing>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tbl>
      <w:tblPr>
        <w:tblW w:w="4181" w:type="dxa"/>
        <w:jc w:val="center"/>
        <w:tblInd w:w="0" w:type="dxa"/>
        <w:tblLayout w:type="fixed"/>
        <w:tblCellMar>
          <w:top w:w="28" w:type="dxa"/>
          <w:left w:w="28" w:type="dxa"/>
          <w:bottom w:w="28" w:type="dxa"/>
          <w:right w:w="28" w:type="dxa"/>
        </w:tblCellMar>
      </w:tblPr>
      <w:tblGrid>
        <w:gridCol w:w="857"/>
        <w:gridCol w:w="751"/>
        <w:gridCol w:w="762"/>
        <w:gridCol w:w="109"/>
        <w:gridCol w:w="109"/>
        <w:gridCol w:w="109"/>
        <w:gridCol w:w="433"/>
        <w:gridCol w:w="433"/>
        <w:gridCol w:w="618"/>
      </w:tblGrid>
      <w:tr>
        <w:trPr/>
        <w:tc>
          <w:tcPr>
            <w:tcW w:w="857"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11-3146460</w:t>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w:t>
              <w:br/>
              <w:t>Identification No.)</w:t>
            </w:r>
          </w:p>
        </w:tc>
      </w:tr>
      <w:tr>
        <w:trPr/>
        <w:tc>
          <w:tcPr>
            <w:tcW w:w="23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tcPr>
          <w:p>
            <w:pPr>
              <w:pStyle w:val="TableContents"/>
              <w:bidi w:val="0"/>
              <w:spacing w:before="0" w:after="283"/>
              <w:jc w:val="left"/>
              <w:rPr>
                <w:sz w:val="4"/>
                <w:szCs w:val="4"/>
              </w:rPr>
            </w:pPr>
            <w:r>
              <w:rPr>
                <w:sz w:val="4"/>
                <w:szCs w:val="4"/>
              </w:rPr>
            </w:r>
          </w:p>
        </w:tc>
      </w:tr>
      <w:tr>
        <w:trPr/>
        <w:tc>
          <w:tcPr>
            <w:tcW w:w="23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23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14 Plaza Drive, Latham, New York 12110 </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 and zip code)</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(518) 795-1400 </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Registrant’s telephone number, including area code</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Securities registered pursuant to Section 12(b) of the Act:</w:t>
      </w:r>
    </w:p>
    <w:tbl>
      <w:tblPr>
        <w:tblW w:w="8076" w:type="dxa"/>
        <w:jc w:val="center"/>
        <w:tblInd w:w="0" w:type="dxa"/>
        <w:tblLayout w:type="fixed"/>
        <w:tblCellMar>
          <w:top w:w="28" w:type="dxa"/>
          <w:left w:w="28" w:type="dxa"/>
          <w:bottom w:w="28" w:type="dxa"/>
          <w:right w:w="28" w:type="dxa"/>
        </w:tblCellMar>
      </w:tblPr>
      <w:tblGrid>
        <w:gridCol w:w="1035"/>
        <w:gridCol w:w="909"/>
        <w:gridCol w:w="920"/>
        <w:gridCol w:w="109"/>
        <w:gridCol w:w="109"/>
        <w:gridCol w:w="109"/>
        <w:gridCol w:w="414"/>
        <w:gridCol w:w="414"/>
        <w:gridCol w:w="416"/>
        <w:gridCol w:w="109"/>
        <w:gridCol w:w="109"/>
        <w:gridCol w:w="109"/>
        <w:gridCol w:w="970"/>
        <w:gridCol w:w="970"/>
        <w:gridCol w:w="1374"/>
      </w:tblGrid>
      <w:tr>
        <w:trPr/>
        <w:tc>
          <w:tcPr>
            <w:tcW w:w="1035"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Name of each exchange on which registered</w:t>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Common Stock, par value $.01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ANGO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NASDAQ Global Select Market</w:t>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Preferred Stock Purchase Rights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NASDAQ Global Select Market</w:t>
            </w:r>
          </w:p>
        </w:tc>
      </w:tr>
    </w:tbl>
    <w:p>
      <w:pPr>
        <w:pStyle w:val="TextBody"/>
        <w:bidi w:val="0"/>
        <w:spacing w:before="0" w:after="0"/>
        <w:jc w:val="left"/>
        <w:rPr/>
      </w:pPr>
      <w:r>
        <w:rPr/>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Securities registered pursuant to Section 12(g) of the Act:</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None</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(Title of Class)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5f685e1e555b4b8b85d119fc12b2b16d_7">
        <w:r>
          <w:rPr>
            <w:rStyle w:val="InternetLink"/>
            <w:rFonts w:ascii="Times New Roman;sans-serif" w:hAnsi="Times New Roman;sans-serif"/>
            <w:b w:val="false"/>
            <w:color w:val="0000FF"/>
            <w:sz w:val="16"/>
            <w:u w:val="single"/>
          </w:rPr>
          <w:t>Table of Content</w:t>
        </w:r>
      </w:hyperlink>
    </w:p>
    <w:p>
      <w:pPr>
        <w:pStyle w:val="TextBody"/>
        <w:bidi w:val="0"/>
        <w:spacing w:lineRule="auto" w:line="288" w:before="0" w:after="0"/>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95"/>
        <w:jc w:val="left"/>
        <w:rPr/>
      </w:pPr>
      <w:r>
        <w:rPr>
          <w:rFonts w:ascii="Times New Roman;sans-serif" w:hAnsi="Times New Roman;sans-serif"/>
          <w:b w:val="false"/>
          <w:color w:val="000000"/>
          <w:sz w:val="20"/>
        </w:rPr>
        <w:t>Indicate by check mark if the registrant is a well-known seasoned issuer, as defined in Rule 405 of the Securities Act.    Yes  </w:t>
      </w:r>
      <w:r>
        <w:rPr>
          <w:color w:val="000000"/>
        </w:rPr>
        <w:t>☐    </w:t>
      </w:r>
      <w:r>
        <w:rPr>
          <w:rFonts w:ascii="Times New Roman;sans-serif" w:hAnsi="Times New Roman;sans-serif"/>
          <w:b w:val="false"/>
          <w:color w:val="000000"/>
          <w:sz w:val="20"/>
        </w:rPr>
        <w:t>No  </w:t>
      </w:r>
      <w:r>
        <w:rPr>
          <w:color w:val="000000"/>
        </w:rPr>
        <w:t>☒</w:t>
      </w:r>
    </w:p>
    <w:p>
      <w:pPr>
        <w:pStyle w:val="TextBody"/>
        <w:bidi w:val="0"/>
        <w:spacing w:lineRule="auto" w:line="288" w:before="240" w:after="283"/>
        <w:ind w:left="0" w:right="0" w:firstLine="495"/>
        <w:jc w:val="left"/>
        <w:rPr/>
      </w:pPr>
      <w:r>
        <w:rPr>
          <w:rFonts w:ascii="Times New Roman;sans-serif" w:hAnsi="Times New Roman;sans-serif"/>
          <w:b w:val="false"/>
          <w:color w:val="000000"/>
          <w:sz w:val="20"/>
        </w:rPr>
        <w:t>Indicate by check mark if the registrant is not required to file reports pursuant to Section 13 or 15(d) of the Act.    Yes  </w:t>
      </w:r>
      <w:r>
        <w:rPr>
          <w:color w:val="000000"/>
        </w:rPr>
        <w:t>☐    </w:t>
      </w:r>
      <w:r>
        <w:rPr>
          <w:rFonts w:ascii="Times New Roman;sans-serif" w:hAnsi="Times New Roman;sans-serif"/>
          <w:b w:val="false"/>
          <w:color w:val="000000"/>
          <w:sz w:val="20"/>
        </w:rPr>
        <w:t>No  </w:t>
      </w:r>
      <w:r>
        <w:rPr>
          <w:color w:val="000000"/>
        </w:rPr>
        <w:t>☒</w:t>
      </w:r>
    </w:p>
    <w:p>
      <w:pPr>
        <w:pStyle w:val="TextBody"/>
        <w:bidi w:val="0"/>
        <w:spacing w:lineRule="auto" w:line="288" w:before="240" w:after="283"/>
        <w:ind w:left="0" w:right="0" w:firstLine="495"/>
        <w:jc w:val="left"/>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ans-serif" w:hAnsi="Times New Roman;sans-serif"/>
          <w:b w:val="false"/>
          <w:color w:val="000000"/>
          <w:sz w:val="20"/>
        </w:rPr>
        <w:t>No  </w:t>
      </w:r>
      <w:r>
        <w:rPr>
          <w:color w:val="000000"/>
        </w:rPr>
        <w:t>☐</w:t>
      </w:r>
    </w:p>
    <w:p>
      <w:pPr>
        <w:pStyle w:val="TextBody"/>
        <w:bidi w:val="0"/>
        <w:spacing w:lineRule="auto" w:line="288" w:before="240" w:after="283"/>
        <w:ind w:left="0" w:right="0" w:firstLine="495"/>
        <w:jc w:val="left"/>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color w:val="000000"/>
        </w:rPr>
        <w:t>☒    </w:t>
      </w:r>
      <w:r>
        <w:rPr>
          <w:rFonts w:ascii="Times New Roman;sans-serif" w:hAnsi="Times New Roman;sans-serif"/>
          <w:b w:val="false"/>
          <w:color w:val="000000"/>
          <w:sz w:val="20"/>
        </w:rPr>
        <w:t>No  </w:t>
      </w:r>
      <w:r>
        <w:rPr>
          <w:color w:val="000000"/>
        </w:rPr>
        <w:t>☐</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tbl>
      <w:tblPr>
        <w:tblW w:w="6316" w:type="dxa"/>
        <w:jc w:val="left"/>
        <w:tblInd w:w="0" w:type="dxa"/>
        <w:tblLayout w:type="fixed"/>
        <w:tblCellMar>
          <w:top w:w="28" w:type="dxa"/>
          <w:left w:w="28" w:type="dxa"/>
          <w:bottom w:w="28" w:type="dxa"/>
          <w:right w:w="28" w:type="dxa"/>
        </w:tblCellMar>
      </w:tblPr>
      <w:tblGrid>
        <w:gridCol w:w="842"/>
        <w:gridCol w:w="740"/>
        <w:gridCol w:w="743"/>
        <w:gridCol w:w="109"/>
        <w:gridCol w:w="109"/>
        <w:gridCol w:w="109"/>
        <w:gridCol w:w="109"/>
        <w:gridCol w:w="109"/>
        <w:gridCol w:w="109"/>
        <w:gridCol w:w="109"/>
        <w:gridCol w:w="109"/>
        <w:gridCol w:w="109"/>
        <w:gridCol w:w="769"/>
        <w:gridCol w:w="769"/>
        <w:gridCol w:w="773"/>
        <w:gridCol w:w="109"/>
        <w:gridCol w:w="109"/>
        <w:gridCol w:w="109"/>
        <w:gridCol w:w="109"/>
        <w:gridCol w:w="109"/>
        <w:gridCol w:w="154"/>
      </w:tblGrid>
      <w:tr>
        <w:trPr/>
        <w:tc>
          <w:tcPr>
            <w:tcW w:w="842"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95"/>
        <w:jc w:val="left"/>
        <w:rPr/>
      </w:pPr>
      <w:r>
        <w:rPr>
          <w:rFonts w:ascii="Times New Roman;sans-serif" w:hAnsi="Times New Roman;sans-serif"/>
          <w:b w:val="false"/>
          <w:color w:val="000000"/>
          <w:sz w:val="20"/>
        </w:rPr>
        <w:t>Indicate by check mark whether the registrant is a shell company (as defined in Rule 12b-2 of the Exchange Act).    Yes  </w:t>
      </w:r>
      <w:r>
        <w:rPr>
          <w:color w:val="000000"/>
        </w:rPr>
        <w:t>☐    </w:t>
      </w:r>
      <w:r>
        <w:rPr>
          <w:rFonts w:ascii="Times New Roman;sans-serif" w:hAnsi="Times New Roman;sans-serif"/>
          <w:b w:val="false"/>
          <w:color w:val="000000"/>
          <w:sz w:val="20"/>
        </w:rPr>
        <w:t>No  </w:t>
      </w:r>
      <w:r>
        <w:rPr>
          <w:color w:val="000000"/>
        </w:rPr>
        <w:t>☒</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Indicate the number of shares outstanding of each of the Registrant’s classes of common stock, as of the latest practicable date.</w:t>
      </w:r>
    </w:p>
    <w:tbl>
      <w:tblPr>
        <w:tblW w:w="5726" w:type="dxa"/>
        <w:jc w:val="left"/>
        <w:tblInd w:w="0" w:type="dxa"/>
        <w:tblLayout w:type="fixed"/>
        <w:tblCellMar>
          <w:top w:w="28" w:type="dxa"/>
          <w:left w:w="28" w:type="dxa"/>
          <w:bottom w:w="28" w:type="dxa"/>
          <w:right w:w="28" w:type="dxa"/>
        </w:tblCellMar>
      </w:tblPr>
      <w:tblGrid>
        <w:gridCol w:w="979"/>
        <w:gridCol w:w="865"/>
        <w:gridCol w:w="871"/>
        <w:gridCol w:w="109"/>
        <w:gridCol w:w="109"/>
        <w:gridCol w:w="109"/>
        <w:gridCol w:w="784"/>
        <w:gridCol w:w="784"/>
        <w:gridCol w:w="1116"/>
      </w:tblGrid>
      <w:tr>
        <w:trPr/>
        <w:tc>
          <w:tcPr>
            <w:tcW w:w="979"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r>
      <w:tr>
        <w:trPr/>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Class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Outstanding as of January 5, 2024</w:t>
            </w:r>
          </w:p>
        </w:tc>
      </w:tr>
      <w:tr>
        <w:trPr/>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Common Stock, par value $.01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39,855,191</w:t>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340" w:after="3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5f685e1e555b4b8b85d119fc12b2b16d_7">
        <w:r>
          <w:rPr>
            <w:rStyle w:val="InternetLink"/>
            <w:rFonts w:ascii="Times New Roman;sans-serif" w:hAnsi="Times New Roman;sans-serif"/>
            <w:b w:val="false"/>
            <w:color w:val="0000FF"/>
            <w:sz w:val="16"/>
            <w:u w:val="single"/>
          </w:rPr>
          <w:t>Table of Content</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AngioDynamics, Inc. and Subsidiaries</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TABLE OF CONTENTS</w:t>
      </w:r>
    </w:p>
    <w:p>
      <w:pPr>
        <w:pStyle w:val="TextBody"/>
        <w:bidi w:val="0"/>
        <w:spacing w:lineRule="auto" w:line="288" w:before="0" w:after="0"/>
        <w:jc w:val="left"/>
        <w:rPr>
          <w:color w:val="000000"/>
        </w:rPr>
      </w:pPr>
      <w:r>
        <w:rPr>
          <w:color w:val="000000"/>
        </w:rPr>
        <w:t> </w:t>
      </w:r>
    </w:p>
    <w:tbl>
      <w:tblPr>
        <w:tblW w:w="8912" w:type="dxa"/>
        <w:jc w:val="left"/>
        <w:tblInd w:w="0" w:type="dxa"/>
        <w:tblLayout w:type="fixed"/>
        <w:tblCellMar>
          <w:top w:w="28" w:type="dxa"/>
          <w:left w:w="28" w:type="dxa"/>
          <w:bottom w:w="28" w:type="dxa"/>
          <w:right w:w="28" w:type="dxa"/>
        </w:tblCellMar>
      </w:tblPr>
      <w:tblGrid>
        <w:gridCol w:w="304"/>
        <w:gridCol w:w="267"/>
        <w:gridCol w:w="270"/>
        <w:gridCol w:w="2518"/>
        <w:gridCol w:w="2518"/>
        <w:gridCol w:w="2524"/>
        <w:gridCol w:w="149"/>
        <w:gridCol w:w="149"/>
        <w:gridCol w:w="213"/>
      </w:tblGrid>
      <w:tr>
        <w:trPr/>
        <w:tc>
          <w:tcPr>
            <w:tcW w:w="30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518" w:type="dxa"/>
            <w:tcBorders/>
            <w:vAlign w:val="center"/>
          </w:tcPr>
          <w:p>
            <w:pPr>
              <w:pStyle w:val="TableContents"/>
              <w:bidi w:val="0"/>
              <w:spacing w:before="0" w:after="283"/>
              <w:jc w:val="left"/>
              <w:rPr>
                <w:sz w:val="4"/>
                <w:szCs w:val="4"/>
              </w:rPr>
            </w:pPr>
            <w:r>
              <w:rPr>
                <w:sz w:val="4"/>
                <w:szCs w:val="4"/>
              </w:rPr>
            </w:r>
          </w:p>
        </w:tc>
        <w:tc>
          <w:tcPr>
            <w:tcW w:w="2518" w:type="dxa"/>
            <w:tcBorders/>
            <w:vAlign w:val="center"/>
          </w:tcPr>
          <w:p>
            <w:pPr>
              <w:pStyle w:val="TableContents"/>
              <w:bidi w:val="0"/>
              <w:spacing w:before="0" w:after="283"/>
              <w:jc w:val="left"/>
              <w:rPr>
                <w:sz w:val="4"/>
                <w:szCs w:val="4"/>
              </w:rPr>
            </w:pPr>
            <w:r>
              <w:rPr>
                <w:sz w:val="4"/>
                <w:szCs w:val="4"/>
              </w:rPr>
            </w:r>
          </w:p>
        </w:tc>
        <w:tc>
          <w:tcPr>
            <w:tcW w:w="2524"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Page</w:t>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f685e1e555b4b8b85d119fc12b2b16d_10">
              <w:r>
                <w:rPr>
                  <w:rStyle w:val="InternetLink"/>
                  <w:rFonts w:ascii="Times New Roman;sans-serif" w:hAnsi="Times New Roman;sans-serif"/>
                  <w:b/>
                  <w:color w:val="0000FF"/>
                  <w:sz w:val="20"/>
                  <w:u w:val="single"/>
                </w:rPr>
                <w:t>Part I: Financial Information</w:t>
              </w:r>
            </w:hyperlink>
          </w:p>
        </w:tc>
        <w:tc>
          <w:tcPr>
            <w:tcW w:w="5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1.</w:t>
            </w:r>
          </w:p>
        </w:tc>
        <w:tc>
          <w:tcPr>
            <w:tcW w:w="75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f685e1e555b4b8b85d119fc12b2b16d_13">
              <w:r>
                <w:rPr>
                  <w:rStyle w:val="InternetLink"/>
                  <w:rFonts w:ascii="Times New Roman;sans-serif" w:hAnsi="Times New Roman;sans-serif"/>
                  <w:b/>
                  <w:color w:val="0000FF"/>
                  <w:sz w:val="20"/>
                  <w:u w:val="single"/>
                </w:rPr>
                <w:t>Financial Statements</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f685e1e555b4b8b85d119fc12b2b16d_16">
              <w:r>
                <w:rPr>
                  <w:rStyle w:val="InternetLink"/>
                  <w:rFonts w:ascii="Times New Roman;sans-serif" w:hAnsi="Times New Roman;sans-serif"/>
                  <w:b w:val="false"/>
                  <w:color w:val="0000FF"/>
                  <w:sz w:val="20"/>
                  <w:u w:val="single"/>
                </w:rPr>
                <w:t>Consolidated Statements of Operations (unaudited)</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f685e1e555b4b8b85d119fc12b2b16d_16">
              <w:r>
                <w:rPr>
                  <w:rStyle w:val="InternetLink"/>
                  <w:rFonts w:ascii="Times New Roman;sans-serif" w:hAnsi="Times New Roman;sans-serif"/>
                  <w:b w:val="false"/>
                  <w:color w:val="0000FF"/>
                  <w:sz w:val="20"/>
                  <w:u w:val="single"/>
                </w:rPr>
                <w:t>3</w:t>
              </w:r>
            </w:hyperlink>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f685e1e555b4b8b85d119fc12b2b16d_19">
              <w:r>
                <w:rPr>
                  <w:rStyle w:val="InternetLink"/>
                  <w:rFonts w:ascii="Times New Roman;sans-serif" w:hAnsi="Times New Roman;sans-serif"/>
                  <w:b w:val="false"/>
                  <w:color w:val="0000FF"/>
                  <w:sz w:val="20"/>
                  <w:u w:val="single"/>
                </w:rPr>
                <w:t>Consolidated Statements of Comprehensive Income (Loss) (unaudited)</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f685e1e555b4b8b85d119fc12b2b16d_19">
              <w:r>
                <w:rPr>
                  <w:rStyle w:val="InternetLink"/>
                  <w:rFonts w:ascii="Times New Roman;sans-serif" w:hAnsi="Times New Roman;sans-serif"/>
                  <w:b w:val="false"/>
                  <w:color w:val="0000FF"/>
                  <w:sz w:val="20"/>
                  <w:u w:val="single"/>
                </w:rPr>
                <w:t>4</w:t>
              </w:r>
            </w:hyperlink>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f685e1e555b4b8b85d119fc12b2b16d_22">
              <w:r>
                <w:rPr>
                  <w:rStyle w:val="InternetLink"/>
                  <w:rFonts w:ascii="Times New Roman;sans-serif" w:hAnsi="Times New Roman;sans-serif"/>
                  <w:b w:val="false"/>
                  <w:color w:val="0000FF"/>
                  <w:sz w:val="20"/>
                  <w:u w:val="single"/>
                </w:rPr>
                <w:t>Consolidated Balance Sheets (unaudited)</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f685e1e555b4b8b85d119fc12b2b16d_22">
              <w:r>
                <w:rPr>
                  <w:rStyle w:val="InternetLink"/>
                  <w:rFonts w:ascii="Times New Roman;sans-serif" w:hAnsi="Times New Roman;sans-serif"/>
                  <w:b w:val="false"/>
                  <w:color w:val="0000FF"/>
                  <w:sz w:val="20"/>
                  <w:u w:val="single"/>
                </w:rPr>
                <w:t>5</w:t>
              </w:r>
            </w:hyperlink>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f685e1e555b4b8b85d119fc12b2b16d_25">
              <w:r>
                <w:rPr>
                  <w:rStyle w:val="InternetLink"/>
                  <w:rFonts w:ascii="Times New Roman;sans-serif" w:hAnsi="Times New Roman;sans-serif"/>
                  <w:b w:val="false"/>
                  <w:color w:val="0000FF"/>
                  <w:sz w:val="20"/>
                  <w:u w:val="single"/>
                </w:rPr>
                <w:t>Consolidated Statements of Cash Flows (unaudited)</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f685e1e555b4b8b85d119fc12b2b16d_25">
              <w:r>
                <w:rPr>
                  <w:rStyle w:val="InternetLink"/>
                  <w:rFonts w:ascii="Times New Roman;sans-serif" w:hAnsi="Times New Roman;sans-serif"/>
                  <w:b w:val="false"/>
                  <w:color w:val="0000FF"/>
                  <w:sz w:val="20"/>
                  <w:u w:val="single"/>
                </w:rPr>
                <w:t>6</w:t>
              </w:r>
            </w:hyperlink>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f685e1e555b4b8b85d119fc12b2b16d_28">
              <w:r>
                <w:rPr>
                  <w:rStyle w:val="InternetLink"/>
                  <w:rFonts w:ascii="Times New Roman;sans-serif" w:hAnsi="Times New Roman;sans-serif"/>
                  <w:b w:val="false"/>
                  <w:color w:val="0000FF"/>
                  <w:sz w:val="20"/>
                  <w:u w:val="single"/>
                </w:rPr>
                <w:t>Consolidated Statements of Stockholders’ Equity (unaudited)</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f685e1e555b4b8b85d119fc12b2b16d_28">
              <w:r>
                <w:rPr>
                  <w:rStyle w:val="InternetLink"/>
                  <w:rFonts w:ascii="Times New Roman;sans-serif" w:hAnsi="Times New Roman;sans-serif"/>
                  <w:b w:val="false"/>
                  <w:color w:val="0000FF"/>
                  <w:sz w:val="20"/>
                  <w:u w:val="single"/>
                </w:rPr>
                <w:t>7</w:t>
              </w:r>
            </w:hyperlink>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f685e1e555b4b8b85d119fc12b2b16d_31">
              <w:r>
                <w:rPr>
                  <w:rStyle w:val="InternetLink"/>
                  <w:rFonts w:ascii="Times New Roman;sans-serif" w:hAnsi="Times New Roman;sans-serif"/>
                  <w:b w:val="false"/>
                  <w:color w:val="0000FF"/>
                  <w:sz w:val="20"/>
                  <w:u w:val="single"/>
                </w:rPr>
                <w:t>Notes to Consolidated Financial Statements (unaudited)</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f685e1e555b4b8b85d119fc12b2b16d_31">
              <w:r>
                <w:rPr>
                  <w:rStyle w:val="InternetLink"/>
                  <w:rFonts w:ascii="Times New Roman;sans-serif" w:hAnsi="Times New Roman;sans-serif"/>
                  <w:b w:val="false"/>
                  <w:color w:val="0000FF"/>
                  <w:sz w:val="20"/>
                  <w:u w:val="single"/>
                </w:rPr>
                <w:t>9</w:t>
              </w:r>
            </w:hyperlink>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2.</w:t>
            </w:r>
          </w:p>
        </w:tc>
        <w:tc>
          <w:tcPr>
            <w:tcW w:w="75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f685e1e555b4b8b85d119fc12b2b16d_85">
              <w:r>
                <w:rPr>
                  <w:rStyle w:val="InternetLink"/>
                  <w:rFonts w:ascii="Times New Roman;sans-serif" w:hAnsi="Times New Roman;sans-serif"/>
                  <w:b/>
                  <w:color w:val="0000FF"/>
                  <w:sz w:val="20"/>
                  <w:u w:val="single"/>
                </w:rPr>
                <w:t>Management’s Discussion and Analysis of Financial Condition and Results of Operations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f685e1e555b4b8b85d119fc12b2b16d_85">
              <w:r>
                <w:rPr>
                  <w:rStyle w:val="InternetLink"/>
                  <w:rFonts w:ascii="Times New Roman;sans-serif" w:hAnsi="Times New Roman;sans-serif"/>
                  <w:b w:val="false"/>
                  <w:color w:val="0000FF"/>
                  <w:sz w:val="20"/>
                  <w:u w:val="single"/>
                </w:rPr>
                <w:t>23</w:t>
              </w:r>
            </w:hyperlink>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3.</w:t>
            </w:r>
          </w:p>
        </w:tc>
        <w:tc>
          <w:tcPr>
            <w:tcW w:w="75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f685e1e555b4b8b85d119fc12b2b16d_88">
              <w:r>
                <w:rPr>
                  <w:rStyle w:val="InternetLink"/>
                  <w:rFonts w:ascii="Times New Roman;sans-serif" w:hAnsi="Times New Roman;sans-serif"/>
                  <w:b/>
                  <w:color w:val="0000FF"/>
                  <w:sz w:val="20"/>
                  <w:u w:val="single"/>
                </w:rPr>
                <w:t>Quantitative and Qualitative Disclosures About Market Risk</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f685e1e555b4b8b85d119fc12b2b16d_88">
              <w:r>
                <w:rPr>
                  <w:rStyle w:val="InternetLink"/>
                  <w:rFonts w:ascii="Times New Roman;sans-serif" w:hAnsi="Times New Roman;sans-serif"/>
                  <w:b w:val="false"/>
                  <w:color w:val="0000FF"/>
                  <w:sz w:val="20"/>
                  <w:u w:val="single"/>
                </w:rPr>
                <w:t>31</w:t>
              </w:r>
            </w:hyperlink>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4.</w:t>
            </w:r>
          </w:p>
        </w:tc>
        <w:tc>
          <w:tcPr>
            <w:tcW w:w="75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f685e1e555b4b8b85d119fc12b2b16d_91">
              <w:r>
                <w:rPr>
                  <w:rStyle w:val="InternetLink"/>
                  <w:rFonts w:ascii="Times New Roman;sans-serif" w:hAnsi="Times New Roman;sans-serif"/>
                  <w:b/>
                  <w:color w:val="0000FF"/>
                  <w:sz w:val="20"/>
                  <w:u w:val="single"/>
                </w:rPr>
                <w:t>Controls and Procedures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f685e1e555b4b8b85d119fc12b2b16d_91">
              <w:r>
                <w:rPr>
                  <w:rStyle w:val="InternetLink"/>
                  <w:rFonts w:ascii="Times New Roman;sans-serif" w:hAnsi="Times New Roman;sans-serif"/>
                  <w:b w:val="false"/>
                  <w:color w:val="0000FF"/>
                  <w:sz w:val="20"/>
                  <w:u w:val="single"/>
                </w:rPr>
                <w:t>32</w:t>
              </w:r>
            </w:hyperlink>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f685e1e555b4b8b85d119fc12b2b16d_94">
              <w:r>
                <w:rPr>
                  <w:rStyle w:val="InternetLink"/>
                  <w:rFonts w:ascii="Times New Roman;sans-serif" w:hAnsi="Times New Roman;sans-serif"/>
                  <w:b/>
                  <w:color w:val="0000FF"/>
                  <w:sz w:val="20"/>
                  <w:u w:val="single"/>
                </w:rPr>
                <w:t>Part II: Other Information</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1.</w:t>
            </w:r>
          </w:p>
        </w:tc>
        <w:tc>
          <w:tcPr>
            <w:tcW w:w="75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f685e1e555b4b8b85d119fc12b2b16d_97">
              <w:r>
                <w:rPr>
                  <w:rStyle w:val="InternetLink"/>
                  <w:rFonts w:ascii="Times New Roman;sans-serif" w:hAnsi="Times New Roman;sans-serif"/>
                  <w:b/>
                  <w:color w:val="0000FF"/>
                  <w:sz w:val="20"/>
                  <w:u w:val="single"/>
                </w:rPr>
                <w:t>Legal Proceedings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f685e1e555b4b8b85d119fc12b2b16d_97">
              <w:r>
                <w:rPr>
                  <w:rStyle w:val="InternetLink"/>
                  <w:rFonts w:ascii="Times New Roman;sans-serif" w:hAnsi="Times New Roman;sans-serif"/>
                  <w:b w:val="false"/>
                  <w:color w:val="0000FF"/>
                  <w:sz w:val="20"/>
                  <w:u w:val="single"/>
                </w:rPr>
                <w:t>33</w:t>
              </w:r>
            </w:hyperlink>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1A.</w:t>
            </w:r>
          </w:p>
        </w:tc>
        <w:tc>
          <w:tcPr>
            <w:tcW w:w="75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f685e1e555b4b8b85d119fc12b2b16d_100">
              <w:r>
                <w:rPr>
                  <w:rStyle w:val="InternetLink"/>
                  <w:rFonts w:ascii="Times New Roman;sans-serif" w:hAnsi="Times New Roman;sans-serif"/>
                  <w:b/>
                  <w:color w:val="0000FF"/>
                  <w:sz w:val="20"/>
                  <w:u w:val="single"/>
                </w:rPr>
                <w:t>Risk Factors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f685e1e555b4b8b85d119fc12b2b16d_100">
              <w:r>
                <w:rPr>
                  <w:rStyle w:val="InternetLink"/>
                  <w:rFonts w:ascii="Times New Roman;sans-serif" w:hAnsi="Times New Roman;sans-serif"/>
                  <w:b w:val="false"/>
                  <w:color w:val="0000FF"/>
                  <w:sz w:val="20"/>
                  <w:u w:val="single"/>
                </w:rPr>
                <w:t>33</w:t>
              </w:r>
            </w:hyperlink>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2.</w:t>
            </w:r>
          </w:p>
        </w:tc>
        <w:tc>
          <w:tcPr>
            <w:tcW w:w="75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f685e1e555b4b8b85d119fc12b2b16d_103">
              <w:r>
                <w:rPr>
                  <w:rStyle w:val="InternetLink"/>
                  <w:rFonts w:ascii="Times New Roman;sans-serif" w:hAnsi="Times New Roman;sans-serif"/>
                  <w:b/>
                  <w:color w:val="0000FF"/>
                  <w:sz w:val="20"/>
                  <w:u w:val="single"/>
                </w:rPr>
                <w:t>Unregistered Sales of Equity Securities and Use of Proceeds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f685e1e555b4b8b85d119fc12b2b16d_103">
              <w:r>
                <w:rPr>
                  <w:rStyle w:val="InternetLink"/>
                  <w:rFonts w:ascii="Times New Roman;sans-serif" w:hAnsi="Times New Roman;sans-serif"/>
                  <w:b w:val="false"/>
                  <w:color w:val="0000FF"/>
                  <w:sz w:val="20"/>
                  <w:u w:val="single"/>
                </w:rPr>
                <w:t>33</w:t>
              </w:r>
            </w:hyperlink>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3.</w:t>
            </w:r>
          </w:p>
        </w:tc>
        <w:tc>
          <w:tcPr>
            <w:tcW w:w="75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f685e1e555b4b8b85d119fc12b2b16d_106">
              <w:r>
                <w:rPr>
                  <w:rStyle w:val="InternetLink"/>
                  <w:rFonts w:ascii="Times New Roman;sans-serif" w:hAnsi="Times New Roman;sans-serif"/>
                  <w:b/>
                  <w:color w:val="0000FF"/>
                  <w:sz w:val="20"/>
                  <w:u w:val="single"/>
                </w:rPr>
                <w:t>Defaults on Senior Securities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f685e1e555b4b8b85d119fc12b2b16d_106">
              <w:r>
                <w:rPr>
                  <w:rStyle w:val="InternetLink"/>
                  <w:rFonts w:ascii="Times New Roman;sans-serif" w:hAnsi="Times New Roman;sans-serif"/>
                  <w:b w:val="false"/>
                  <w:color w:val="0000FF"/>
                  <w:sz w:val="20"/>
                  <w:u w:val="single"/>
                </w:rPr>
                <w:t>33</w:t>
              </w:r>
            </w:hyperlink>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4.</w:t>
            </w:r>
          </w:p>
        </w:tc>
        <w:tc>
          <w:tcPr>
            <w:tcW w:w="75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f685e1e555b4b8b85d119fc12b2b16d_109">
              <w:r>
                <w:rPr>
                  <w:rStyle w:val="InternetLink"/>
                  <w:rFonts w:ascii="Times New Roman;sans-serif" w:hAnsi="Times New Roman;sans-serif"/>
                  <w:b/>
                  <w:color w:val="0000FF"/>
                  <w:sz w:val="20"/>
                  <w:u w:val="single"/>
                </w:rPr>
                <w:t>Mine Safety Disclosures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f685e1e555b4b8b85d119fc12b2b16d_109">
              <w:r>
                <w:rPr>
                  <w:rStyle w:val="InternetLink"/>
                  <w:rFonts w:ascii="Times New Roman;sans-serif" w:hAnsi="Times New Roman;sans-serif"/>
                  <w:b w:val="false"/>
                  <w:color w:val="0000FF"/>
                  <w:sz w:val="20"/>
                  <w:u w:val="single"/>
                </w:rPr>
                <w:t>33</w:t>
              </w:r>
            </w:hyperlink>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5.</w:t>
            </w:r>
          </w:p>
        </w:tc>
        <w:tc>
          <w:tcPr>
            <w:tcW w:w="75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f685e1e555b4b8b85d119fc12b2b16d_112">
              <w:r>
                <w:rPr>
                  <w:rStyle w:val="InternetLink"/>
                  <w:rFonts w:ascii="Times New Roman;sans-serif" w:hAnsi="Times New Roman;sans-serif"/>
                  <w:b/>
                  <w:color w:val="0000FF"/>
                  <w:sz w:val="20"/>
                  <w:u w:val="single"/>
                </w:rPr>
                <w:t>Other Information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f685e1e555b4b8b85d119fc12b2b16d_112">
              <w:r>
                <w:rPr>
                  <w:rStyle w:val="InternetLink"/>
                  <w:rFonts w:ascii="Times New Roman;sans-serif" w:hAnsi="Times New Roman;sans-serif"/>
                  <w:b w:val="false"/>
                  <w:color w:val="0000FF"/>
                  <w:sz w:val="20"/>
                  <w:u w:val="single"/>
                </w:rPr>
                <w:t>33</w:t>
              </w:r>
            </w:hyperlink>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6.</w:t>
            </w:r>
          </w:p>
        </w:tc>
        <w:tc>
          <w:tcPr>
            <w:tcW w:w="75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f685e1e555b4b8b85d119fc12b2b16d_115">
              <w:r>
                <w:rPr>
                  <w:rStyle w:val="InternetLink"/>
                  <w:rFonts w:ascii="Times New Roman;sans-serif" w:hAnsi="Times New Roman;sans-serif"/>
                  <w:b/>
                  <w:color w:val="0000FF"/>
                  <w:sz w:val="20"/>
                  <w:u w:val="single"/>
                </w:rPr>
                <w:t>Exhibits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f685e1e555b4b8b85d119fc12b2b16d_115">
              <w:r>
                <w:rPr>
                  <w:rStyle w:val="InternetLink"/>
                  <w:rFonts w:ascii="Times New Roman;sans-serif" w:hAnsi="Times New Roman;sans-serif"/>
                  <w:b w:val="false"/>
                  <w:color w:val="0000FF"/>
                  <w:sz w:val="20"/>
                  <w:u w:val="single"/>
                </w:rPr>
                <w:t>34</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5f685e1e555b4b8b85d119fc12b2b16d_7">
        <w:r>
          <w:rPr>
            <w:rStyle w:val="InternetLink"/>
            <w:rFonts w:ascii="Times New Roman;sans-serif" w:hAnsi="Times New Roman;sans-serif"/>
            <w:b w:val="false"/>
            <w:color w:val="0000FF"/>
            <w:sz w:val="16"/>
            <w:u w:val="single"/>
          </w:rPr>
          <w:t>Table of Content</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PART 1.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center"/>
        <w:rPr/>
      </w:pPr>
      <w:r>
        <w:rPr/>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AngioDynamics, Inc. and Subsidiaries</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CONSOLIDATED STATEMENTS OF OPERATIONS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of dollars, except per share data)</w:t>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573"/>
        <w:gridCol w:w="1382"/>
        <w:gridCol w:w="1407"/>
        <w:gridCol w:w="109"/>
        <w:gridCol w:w="109"/>
        <w:gridCol w:w="109"/>
        <w:gridCol w:w="211"/>
        <w:gridCol w:w="795"/>
        <w:gridCol w:w="109"/>
        <w:gridCol w:w="109"/>
        <w:gridCol w:w="109"/>
        <w:gridCol w:w="109"/>
        <w:gridCol w:w="218"/>
        <w:gridCol w:w="747"/>
        <w:gridCol w:w="112"/>
        <w:gridCol w:w="109"/>
        <w:gridCol w:w="109"/>
        <w:gridCol w:w="109"/>
        <w:gridCol w:w="211"/>
        <w:gridCol w:w="826"/>
        <w:gridCol w:w="109"/>
        <w:gridCol w:w="109"/>
        <w:gridCol w:w="109"/>
        <w:gridCol w:w="109"/>
        <w:gridCol w:w="211"/>
        <w:gridCol w:w="826"/>
        <w:gridCol w:w="160"/>
      </w:tblGrid>
      <w:tr>
        <w:trPr/>
        <w:tc>
          <w:tcPr>
            <w:tcW w:w="1573"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1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Six Months Ended</w:t>
            </w:r>
          </w:p>
        </w:tc>
      </w:tr>
      <w:tr>
        <w:trPr/>
        <w:tc>
          <w:tcPr>
            <w:tcW w:w="43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Nov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Nov 30,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Nov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Nov 30, 2022</w:t>
            </w:r>
          </w:p>
        </w:tc>
      </w:tr>
      <w:tr>
        <w:trPr/>
        <w:tc>
          <w:tcPr>
            <w:tcW w:w="43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85,429 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157,752 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166,966 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Cost of sales (exclusive of intangible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40,351 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79,583 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45,078 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87,383 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15,171 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26,007 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52,550 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10,835 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20,936 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contingent consideration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restructuring and other items,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53,193 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106,254 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108,799 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(13,120)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(8,115)</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(21,416)</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(1,065)</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(936)</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(1,492)</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(loss) before income tax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(12,618)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(9,051)</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(22,908)</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tax expense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(1,418)</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(29,048)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(8,486)</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(21,490)</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43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43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Earnings (loss)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(0.21)</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(0.55)</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(0.72)</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(0.21)</w:t>
            </w:r>
          </w:p>
        </w:tc>
        <w:tc>
          <w:tcPr>
            <w:tcW w:w="11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(0.55)</w:t>
            </w:r>
          </w:p>
        </w:tc>
        <w:tc>
          <w:tcPr>
            <w:tcW w:w="16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43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43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43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43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43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43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Weighted average shares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39,490 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39,394 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39,490 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39,394 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5f685e1e555b4b8b85d119fc12b2b16d_7">
        <w:r>
          <w:rPr>
            <w:rStyle w:val="InternetLink"/>
            <w:rFonts w:ascii="Times New Roman;sans-serif" w:hAnsi="Times New Roman;sans-serif"/>
            <w:b w:val="false"/>
            <w:color w:val="0000FF"/>
            <w:sz w:val="16"/>
            <w:u w:val="single"/>
          </w:rPr>
          <w:t>Table of Content</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AngioDynamics, Inc. and Subsidiaries</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CONSOLIDATED STATEMENTS OF COMPREHENSIVE INCOME (LOSS)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of dollars)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653"/>
        <w:gridCol w:w="1447"/>
        <w:gridCol w:w="1419"/>
        <w:gridCol w:w="109"/>
        <w:gridCol w:w="109"/>
        <w:gridCol w:w="109"/>
        <w:gridCol w:w="211"/>
        <w:gridCol w:w="783"/>
        <w:gridCol w:w="109"/>
        <w:gridCol w:w="109"/>
        <w:gridCol w:w="109"/>
        <w:gridCol w:w="109"/>
        <w:gridCol w:w="222"/>
        <w:gridCol w:w="716"/>
        <w:gridCol w:w="114"/>
        <w:gridCol w:w="109"/>
        <w:gridCol w:w="109"/>
        <w:gridCol w:w="109"/>
        <w:gridCol w:w="217"/>
        <w:gridCol w:w="742"/>
        <w:gridCol w:w="112"/>
        <w:gridCol w:w="109"/>
        <w:gridCol w:w="109"/>
        <w:gridCol w:w="109"/>
        <w:gridCol w:w="211"/>
        <w:gridCol w:w="783"/>
        <w:gridCol w:w="158"/>
      </w:tblGrid>
      <w:tr>
        <w:trPr/>
        <w:tc>
          <w:tcPr>
            <w:tcW w:w="1653"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Six Months Ended</w:t>
            </w:r>
          </w:p>
        </w:tc>
      </w:tr>
      <w:tr>
        <w:trPr/>
        <w:tc>
          <w:tcPr>
            <w:tcW w:w="4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Nov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Nov 30,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Nov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Nov 30, 2022</w:t>
            </w:r>
          </w:p>
        </w:tc>
      </w:tr>
      <w:tr>
        <w:trPr/>
        <w:tc>
          <w:tcPr>
            <w:tcW w:w="4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(29,048)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(8,486)</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16,836 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(21,490)</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before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r>
      <w:tr>
        <w:trPr/>
        <w:tc>
          <w:tcPr>
            <w:tcW w:w="4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gain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(1,095)</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(1,645)</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before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(1,095)</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(1,645)</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 related to items of other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(1,095)</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(1,645)</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comprehensive income (loss),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(28,103)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(9,581)</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16,851 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(23,135)</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5f685e1e555b4b8b85d119fc12b2b16d_7">
        <w:r>
          <w:rPr>
            <w:rStyle w:val="InternetLink"/>
            <w:rFonts w:ascii="Times New Roman;sans-serif" w:hAnsi="Times New Roman;sans-serif"/>
            <w:b w:val="false"/>
            <w:color w:val="0000FF"/>
            <w:sz w:val="16"/>
            <w:u w:val="single"/>
          </w:rPr>
          <w:t>Table of Content</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AngioDynamics, Inc. and Subsidiaries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of dollars, except share data)</w:t>
      </w:r>
    </w:p>
    <w:tbl>
      <w:tblPr>
        <w:tblW w:w="10205" w:type="dxa"/>
        <w:jc w:val="center"/>
        <w:tblInd w:w="0" w:type="dxa"/>
        <w:tblLayout w:type="fixed"/>
        <w:tblCellMar>
          <w:top w:w="28" w:type="dxa"/>
          <w:left w:w="28" w:type="dxa"/>
          <w:bottom w:w="28" w:type="dxa"/>
          <w:right w:w="28" w:type="dxa"/>
        </w:tblCellMar>
      </w:tblPr>
      <w:tblGrid>
        <w:gridCol w:w="2869"/>
        <w:gridCol w:w="2367"/>
        <w:gridCol w:w="2303"/>
        <w:gridCol w:w="211"/>
        <w:gridCol w:w="826"/>
        <w:gridCol w:w="109"/>
        <w:gridCol w:w="109"/>
        <w:gridCol w:w="109"/>
        <w:gridCol w:w="109"/>
        <w:gridCol w:w="211"/>
        <w:gridCol w:w="826"/>
        <w:gridCol w:w="156"/>
      </w:tblGrid>
      <w:tr>
        <w:trPr/>
        <w:tc>
          <w:tcPr>
            <w:tcW w:w="2869" w:type="dxa"/>
            <w:tcBorders/>
            <w:vAlign w:val="center"/>
          </w:tcPr>
          <w:p>
            <w:pPr>
              <w:pStyle w:val="TableContents"/>
              <w:bidi w:val="0"/>
              <w:spacing w:before="0" w:after="283"/>
              <w:jc w:val="left"/>
              <w:rPr>
                <w:sz w:val="4"/>
                <w:szCs w:val="4"/>
              </w:rPr>
            </w:pPr>
            <w:r>
              <w:rPr>
                <w:sz w:val="4"/>
                <w:szCs w:val="4"/>
              </w:rPr>
            </w:r>
          </w:p>
        </w:tc>
        <w:tc>
          <w:tcPr>
            <w:tcW w:w="2367" w:type="dxa"/>
            <w:tcBorders/>
            <w:vAlign w:val="center"/>
          </w:tcPr>
          <w:p>
            <w:pPr>
              <w:pStyle w:val="TableContents"/>
              <w:bidi w:val="0"/>
              <w:spacing w:before="0" w:after="283"/>
              <w:jc w:val="left"/>
              <w:rPr>
                <w:sz w:val="4"/>
                <w:szCs w:val="4"/>
              </w:rPr>
            </w:pPr>
            <w:r>
              <w:rPr>
                <w:sz w:val="4"/>
                <w:szCs w:val="4"/>
              </w:rPr>
            </w:r>
          </w:p>
        </w:tc>
        <w:tc>
          <w:tcPr>
            <w:tcW w:w="23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Nov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May 31, 2023</w:t>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44,620 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 of allowances of $2,240 and $2,150 respectively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52,826 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55,325 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 held for sale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185,468 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163,542 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44,384 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103,891 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111,144 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159,238 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10,676 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assets held for sale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43,653 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499,623 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532,637 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 and stockholders' equity</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40,445 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26,617 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contingent consideration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14,761 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83,825 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49,818 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12,813 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 net of current portion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98,397 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154,341 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(Note 14)</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 par value $0.01 per share, 5,000,000 shares authorized; no shares issued and outstanding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par value $0.01 per share, 75,000,000 shares authorized; 40,594,406 and 39,981,422 shares issued and 40,224,406 and 39,611,422 shares outstanding at November 30, 2023 and May 31, 2023, respectively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605,284 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599,206 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Accumulated deficit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(194,019)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(210,855)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Treasury stock, 370,000 shares at November 30, 2023 and May 31, 2023, respectively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401,226 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378,296 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499,623 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532,637 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5f685e1e555b4b8b85d119fc12b2b16d_7">
        <w:r>
          <w:rPr>
            <w:rStyle w:val="InternetLink"/>
            <w:rFonts w:ascii="Times New Roman;sans-serif" w:hAnsi="Times New Roman;sans-serif"/>
            <w:b w:val="false"/>
            <w:color w:val="0000FF"/>
            <w:sz w:val="16"/>
            <w:u w:val="single"/>
          </w:rPr>
          <w:t>Table of Content</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AngioDynamics, Inc. and Subsidiaries</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of dollars)</w:t>
      </w:r>
    </w:p>
    <w:tbl>
      <w:tblPr>
        <w:tblW w:w="9363" w:type="dxa"/>
        <w:jc w:val="center"/>
        <w:tblInd w:w="0" w:type="dxa"/>
        <w:tblLayout w:type="fixed"/>
        <w:tblCellMar>
          <w:top w:w="28" w:type="dxa"/>
          <w:left w:w="28" w:type="dxa"/>
          <w:bottom w:w="28" w:type="dxa"/>
          <w:right w:w="28" w:type="dxa"/>
        </w:tblCellMar>
      </w:tblPr>
      <w:tblGrid>
        <w:gridCol w:w="2457"/>
        <w:gridCol w:w="2162"/>
        <w:gridCol w:w="2176"/>
        <w:gridCol w:w="219"/>
        <w:gridCol w:w="748"/>
        <w:gridCol w:w="113"/>
        <w:gridCol w:w="109"/>
        <w:gridCol w:w="109"/>
        <w:gridCol w:w="109"/>
        <w:gridCol w:w="211"/>
        <w:gridCol w:w="796"/>
        <w:gridCol w:w="154"/>
      </w:tblGrid>
      <w:tr>
        <w:trPr/>
        <w:tc>
          <w:tcPr>
            <w:tcW w:w="2457" w:type="dxa"/>
            <w:tcBorders/>
            <w:vAlign w:val="center"/>
          </w:tcPr>
          <w:p>
            <w:pPr>
              <w:pStyle w:val="TableContents"/>
              <w:bidi w:val="0"/>
              <w:spacing w:before="0" w:after="283"/>
              <w:jc w:val="left"/>
              <w:rPr>
                <w:sz w:val="4"/>
                <w:szCs w:val="4"/>
              </w:rPr>
            </w:pPr>
            <w:r>
              <w:rPr>
                <w:sz w:val="4"/>
                <w:szCs w:val="4"/>
              </w:rPr>
            </w:r>
          </w:p>
        </w:tc>
        <w:tc>
          <w:tcPr>
            <w:tcW w:w="2162" w:type="dxa"/>
            <w:tcBorders/>
            <w:vAlign w:val="center"/>
          </w:tcPr>
          <w:p>
            <w:pPr>
              <w:pStyle w:val="TableContents"/>
              <w:bidi w:val="0"/>
              <w:spacing w:before="0" w:after="283"/>
              <w:jc w:val="left"/>
              <w:rPr>
                <w:sz w:val="4"/>
                <w:szCs w:val="4"/>
              </w:rPr>
            </w:pPr>
            <w:r>
              <w:rPr>
                <w:sz w:val="4"/>
                <w:szCs w:val="4"/>
              </w:rPr>
            </w:r>
          </w:p>
        </w:tc>
        <w:tc>
          <w:tcPr>
            <w:tcW w:w="217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Six Months Ended</w:t>
            </w:r>
          </w:p>
        </w:tc>
      </w:tr>
      <w:tr>
        <w:trPr/>
        <w:tc>
          <w:tcPr>
            <w:tcW w:w="6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Nov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Nov 30, 2022</w:t>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operating activities:</w:t>
            </w:r>
          </w:p>
        </w:tc>
        <w:tc>
          <w:tcPr>
            <w:tcW w:w="10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16,836 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(21,490)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income (loss) to net cash used in operating activities:</w:t>
            </w:r>
          </w:p>
        </w:tc>
        <w:tc>
          <w:tcPr>
            <w:tcW w:w="1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13,373 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lease expense</w:t>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based compensation</w:t>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disposal of assets</w:t>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(47,842)</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costs for disposition</w:t>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(2,427)</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contingent consideration</w:t>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accounts receivable allowances</w:t>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and intangible asset impairments and disposals</w:t>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Write-off of other assets </w:t>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operating assets and liabilities:</w:t>
            </w:r>
          </w:p>
        </w:tc>
        <w:tc>
          <w:tcPr>
            <w:tcW w:w="1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(8,844)</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(11,831)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w:t>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(4,979)</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accrued and other liabilities</w:t>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w:t>
            </w:r>
          </w:p>
        </w:tc>
        <w:tc>
          <w:tcPr>
            <w:tcW w:w="9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(20,633)</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(17,246)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investing activities:</w:t>
            </w:r>
          </w:p>
        </w:tc>
        <w:tc>
          <w:tcPr>
            <w:tcW w:w="10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to property, plant and equipment</w:t>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(1,345)</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to placement and evaluation units</w:t>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(2,006)</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acquisitions</w:t>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795"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 of assets</w:t>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investing activities</w:t>
            </w:r>
          </w:p>
        </w:tc>
        <w:tc>
          <w:tcPr>
            <w:tcW w:w="9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96,649 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financing activities:</w:t>
            </w:r>
          </w:p>
        </w:tc>
        <w:tc>
          <w:tcPr>
            <w:tcW w:w="10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 of long-term debt</w:t>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borrowings on long-term debt</w:t>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financing costs on long-term debt</w:t>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Payment of acquisition related contingent consideration </w:t>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exercise of stock options and employee stock purchase plan</w:t>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provided by financing activities</w:t>
            </w:r>
          </w:p>
        </w:tc>
        <w:tc>
          <w:tcPr>
            <w:tcW w:w="9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(59,942)</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24,479 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exchange rate changes on cash and cash equivalents</w:t>
            </w:r>
          </w:p>
        </w:tc>
        <w:tc>
          <w:tcPr>
            <w:tcW w:w="9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in cash and cash equivalents</w:t>
            </w:r>
          </w:p>
        </w:tc>
        <w:tc>
          <w:tcPr>
            <w:tcW w:w="9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16,276 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beginning of period</w:t>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44,620 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end of period</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60,896 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29,857 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disclosure of non-cash investing and financing activities:</w:t>
            </w:r>
          </w:p>
        </w:tc>
        <w:tc>
          <w:tcPr>
            <w:tcW w:w="1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Accrual for capital expenditures incurred during the period</w:t>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795"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5f685e1e555b4b8b85d119fc12b2b16d_7">
        <w:r>
          <w:rPr>
            <w:rStyle w:val="InternetLink"/>
            <w:rFonts w:ascii="Times New Roman;sans-serif" w:hAnsi="Times New Roman;sans-serif"/>
            <w:b w:val="false"/>
            <w:color w:val="0000FF"/>
            <w:sz w:val="16"/>
            <w:u w:val="single"/>
          </w:rPr>
          <w:t>Table of Content</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AngioDynamics, Inc. and Subsidiaries</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CONSOLIDATED STATEMENTS OF STOCKHOLDERS’ EQUITY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of dollars, except share data)</w:t>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p>
    <w:tbl>
      <w:tblPr>
        <w:tblW w:w="11500" w:type="dxa"/>
        <w:jc w:val="left"/>
        <w:tblInd w:w="0" w:type="dxa"/>
        <w:tblLayout w:type="fixed"/>
        <w:tblCellMar>
          <w:top w:w="28" w:type="dxa"/>
          <w:left w:w="28" w:type="dxa"/>
          <w:bottom w:w="28" w:type="dxa"/>
          <w:right w:w="28" w:type="dxa"/>
        </w:tblCellMar>
      </w:tblPr>
      <w:tblGrid>
        <w:gridCol w:w="726"/>
        <w:gridCol w:w="229"/>
        <w:gridCol w:w="231"/>
        <w:gridCol w:w="480"/>
        <w:gridCol w:w="481"/>
        <w:gridCol w:w="186"/>
        <w:gridCol w:w="109"/>
        <w:gridCol w:w="109"/>
        <w:gridCol w:w="109"/>
        <w:gridCol w:w="196"/>
        <w:gridCol w:w="421"/>
        <w:gridCol w:w="109"/>
        <w:gridCol w:w="109"/>
        <w:gridCol w:w="109"/>
        <w:gridCol w:w="109"/>
        <w:gridCol w:w="196"/>
        <w:gridCol w:w="736"/>
        <w:gridCol w:w="109"/>
        <w:gridCol w:w="109"/>
        <w:gridCol w:w="109"/>
        <w:gridCol w:w="109"/>
        <w:gridCol w:w="196"/>
        <w:gridCol w:w="751"/>
        <w:gridCol w:w="109"/>
        <w:gridCol w:w="109"/>
        <w:gridCol w:w="109"/>
        <w:gridCol w:w="109"/>
        <w:gridCol w:w="258"/>
        <w:gridCol w:w="753"/>
        <w:gridCol w:w="145"/>
        <w:gridCol w:w="109"/>
        <w:gridCol w:w="109"/>
        <w:gridCol w:w="109"/>
        <w:gridCol w:w="375"/>
        <w:gridCol w:w="376"/>
        <w:gridCol w:w="186"/>
        <w:gridCol w:w="109"/>
        <w:gridCol w:w="109"/>
        <w:gridCol w:w="109"/>
        <w:gridCol w:w="196"/>
        <w:gridCol w:w="571"/>
        <w:gridCol w:w="109"/>
        <w:gridCol w:w="109"/>
        <w:gridCol w:w="109"/>
        <w:gridCol w:w="109"/>
        <w:gridCol w:w="196"/>
        <w:gridCol w:w="736"/>
        <w:gridCol w:w="154"/>
      </w:tblGrid>
      <w:tr>
        <w:trPr/>
        <w:tc>
          <w:tcPr>
            <w:tcW w:w="72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Additional</w:t>
              <w:br/>
              <w:t>paid in</w:t>
              <w:br/>
              <w:t>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 xml:space="preserve">Accumulated deficit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Accumulated</w:t>
              <w:br/>
              <w:t>other</w:t>
              <w:br/>
              <w:t>comprehensive</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Total</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May 31, 2023</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39,981,422 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599,206 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(210,855)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(4,723)</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(370,000)</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(5,714)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378,296 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45,884 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45,884 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Issuance/Cancellation of restricted stock units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386,031 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Issuance/Cancellation of performance share units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87,377 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common stock under ESPP</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131,811 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 net of tax</w:t>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(930)</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August 31, 2023</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40,586,641 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603,759 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(164,971)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(5,653)</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(370,000)</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(5,714)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427,804 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(29,048)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Issuance/Cancellation of restricted stock units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7,765 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Issuance/Cancellation of performance share units</w:t>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 (loss), net of tax</w:t>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945 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November 30, 2023</w:t>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40,594,406 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605,284 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(194,019)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(4,708)</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(370,000)</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(5,714)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401,226 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5f685e1e555b4b8b85d119fc12b2b16d_7">
        <w:r>
          <w:rPr>
            <w:rStyle w:val="InternetLink"/>
            <w:rFonts w:ascii="Times New Roman;sans-serif" w:hAnsi="Times New Roman;sans-serif"/>
            <w:b w:val="false"/>
            <w:color w:val="0000FF"/>
            <w:sz w:val="16"/>
            <w:u w:val="single"/>
          </w:rPr>
          <w:t>Table of Content</w:t>
        </w:r>
      </w:hyperlink>
    </w:p>
    <w:tbl>
      <w:tblPr>
        <w:tblW w:w="11500" w:type="dxa"/>
        <w:jc w:val="left"/>
        <w:tblInd w:w="0" w:type="dxa"/>
        <w:tblLayout w:type="fixed"/>
        <w:tblCellMar>
          <w:top w:w="28" w:type="dxa"/>
          <w:left w:w="28" w:type="dxa"/>
          <w:bottom w:w="28" w:type="dxa"/>
          <w:right w:w="28" w:type="dxa"/>
        </w:tblCellMar>
      </w:tblPr>
      <w:tblGrid>
        <w:gridCol w:w="726"/>
        <w:gridCol w:w="229"/>
        <w:gridCol w:w="231"/>
        <w:gridCol w:w="480"/>
        <w:gridCol w:w="481"/>
        <w:gridCol w:w="186"/>
        <w:gridCol w:w="109"/>
        <w:gridCol w:w="109"/>
        <w:gridCol w:w="109"/>
        <w:gridCol w:w="196"/>
        <w:gridCol w:w="421"/>
        <w:gridCol w:w="109"/>
        <w:gridCol w:w="109"/>
        <w:gridCol w:w="109"/>
        <w:gridCol w:w="109"/>
        <w:gridCol w:w="196"/>
        <w:gridCol w:w="736"/>
        <w:gridCol w:w="109"/>
        <w:gridCol w:w="109"/>
        <w:gridCol w:w="109"/>
        <w:gridCol w:w="109"/>
        <w:gridCol w:w="196"/>
        <w:gridCol w:w="751"/>
        <w:gridCol w:w="109"/>
        <w:gridCol w:w="109"/>
        <w:gridCol w:w="109"/>
        <w:gridCol w:w="109"/>
        <w:gridCol w:w="263"/>
        <w:gridCol w:w="746"/>
        <w:gridCol w:w="147"/>
        <w:gridCol w:w="109"/>
        <w:gridCol w:w="109"/>
        <w:gridCol w:w="109"/>
        <w:gridCol w:w="375"/>
        <w:gridCol w:w="376"/>
        <w:gridCol w:w="186"/>
        <w:gridCol w:w="109"/>
        <w:gridCol w:w="109"/>
        <w:gridCol w:w="109"/>
        <w:gridCol w:w="196"/>
        <w:gridCol w:w="571"/>
        <w:gridCol w:w="109"/>
        <w:gridCol w:w="109"/>
        <w:gridCol w:w="109"/>
        <w:gridCol w:w="109"/>
        <w:gridCol w:w="196"/>
        <w:gridCol w:w="736"/>
        <w:gridCol w:w="154"/>
      </w:tblGrid>
      <w:tr>
        <w:trPr/>
        <w:tc>
          <w:tcPr>
            <w:tcW w:w="72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Additional</w:t>
              <w:br/>
              <w:t>paid in</w:t>
              <w:br/>
              <w:t>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 xml:space="preserve">Accumulated deficit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Accumulated</w:t>
              <w:br/>
              <w:t>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Total</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May 31, 2022</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39,541,173 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586,879 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(158,413)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1,357 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(370,000)</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(5,714)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424,489 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(13,004)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Exercise of stock options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6,617 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Issuance/Cancellation of restricted stock units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213,241 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Issuance/Cancellation of performance share units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29,826 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common stock under ESPP</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56,894 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 net of tax</w:t>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(550)</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August 31, 2022</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39,847,751 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589,984 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(171,417)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807 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(370,000)</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(5,714)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414,041 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(8,486)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Exercise of stock options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15,000 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Issuance/Cancellation of restricted stock units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11,393 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 net of tax</w:t>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(1,095)</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November 30, 2022</w:t>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39,874,144 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593,482 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(179,903)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(370,000)</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(5,714)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407,958 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5f685e1e555b4b8b85d119fc12b2b16d_7">
        <w:r>
          <w:rPr>
            <w:rStyle w:val="InternetLink"/>
            <w:rFonts w:ascii="Times New Roman;sans-serif" w:hAnsi="Times New Roman;sans-serif"/>
            <w:b w:val="false"/>
            <w:color w:val="0000FF"/>
            <w:sz w:val="16"/>
            <w:u w:val="single"/>
          </w:rPr>
          <w:t>Table of Content</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AngioDynamics, Inc. and Subsidiaries</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1. CONSOLIDATED FINANCIAL STATEMENTS</w:t>
      </w:r>
    </w:p>
    <w:p>
      <w:pPr>
        <w:pStyle w:val="TextBody"/>
        <w:bidi w:val="0"/>
        <w:spacing w:lineRule="auto" w:line="288" w:before="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Consolidated Statements of Operations and the Consolidated Statements of Comprehensive Income (Loss) for the three and six months ended November 30, 2023 and 2022, the Consolidated Balance Sheet as of November 30, 2023, the Consolidated Statements of Cash Flows for the six months ended November 30, 2023 and 2022, and the Consolidated Statements of Stockholders’ Equity for the six months ended November 30, 2023 and 2022 have been prepared by the Company and are unaudited. The Consolidated Balance Sheet as of May 31, 2023 was derived from audited consolidated financial statements but does not include all disclosures required by accounting principles generally accepted in the United States of America. In the opinion of management, all adjustments (consisting of normal recurring adjustments) necessary to state fairly the financial position, changes in stockholders’ equity and comprehensive income, results of operations and cash flows as of and for the period ended November 30, 2023 (and for all periods presented) have been made.</w:t>
      </w:r>
    </w:p>
    <w:p>
      <w:pPr>
        <w:pStyle w:val="TextBody"/>
        <w:bidi w:val="0"/>
        <w:spacing w:lineRule="auto" w:line="288" w:before="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unaudited interim consolidated financial statements for the three and six months ended November 30, 2023 and 2022 include the accounts of AngioDynamics, Inc. and its wholly owned subsidiaries (collectively, the "Company", "we", "our" or "us"). All intercompany balances and transactions have been eliminated.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Times New Roman;sans-serif" w:hAnsi="Times New Roman;sans-serif"/>
          <w:b/>
          <w:color w:val="000000"/>
          <w:sz w:val="20"/>
        </w:rPr>
      </w:pPr>
      <w:r>
        <w:rPr>
          <w:rFonts w:ascii="Times New Roman;sans-serif" w:hAnsi="Times New Roman;sans-serif"/>
          <w:b/>
          <w:color w:val="000000"/>
          <w:sz w:val="20"/>
        </w:rPr>
        <w:t>2. DIVESTITURES</w:t>
      </w:r>
    </w:p>
    <w:p>
      <w:pPr>
        <w:pStyle w:val="TextBody"/>
        <w:bidi w:val="0"/>
        <w:spacing w:lineRule="auto" w:line="288" w:before="24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an asset purchase agreement dated June 8, 2023 (the "Asset Purchase Agreement"), the Company completed the sale of the dialysis and BioSentry tract sealant system biopsy businesses (the "Divestiture") to Merit Medical Systems, Inc. ("Merit"). Total consideration received by the Company for the Divestiture in the first quarter of fiscal year 2024 was $100.0 million in cash and resulted in a pre-tax book gain of $47.8 million.</w:t>
      </w:r>
    </w:p>
    <w:p>
      <w:pPr>
        <w:pStyle w:val="TextBody"/>
        <w:bidi w:val="0"/>
        <w:spacing w:lineRule="auto" w:line="288" w:before="24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and Merit entered into various agreements to facilitate the transition of the divested businesses to Merit, including a Transition Services Agreement and Contract Manufacturing Agreement. The Company determined that the sale of the businesses did not constitute a strategic shift that had a major effect on the Company's operations or financial results and as a result, this transaction will not be classified as discontinued operations. </w:t>
      </w:r>
    </w:p>
    <w:p>
      <w:pPr>
        <w:pStyle w:val="TextBody"/>
        <w:bidi w:val="0"/>
        <w:spacing w:lineRule="auto" w:line="288" w:before="24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major classes of assets sold on the date of the sale:</w:t>
      </w:r>
    </w:p>
    <w:tbl>
      <w:tblPr>
        <w:tblW w:w="4393" w:type="dxa"/>
        <w:jc w:val="left"/>
        <w:tblInd w:w="0" w:type="dxa"/>
        <w:tblLayout w:type="fixed"/>
        <w:tblCellMar>
          <w:top w:w="28" w:type="dxa"/>
          <w:left w:w="28" w:type="dxa"/>
          <w:bottom w:w="28" w:type="dxa"/>
          <w:right w:w="28" w:type="dxa"/>
        </w:tblCellMar>
      </w:tblPr>
      <w:tblGrid>
        <w:gridCol w:w="1060"/>
        <w:gridCol w:w="931"/>
        <w:gridCol w:w="933"/>
        <w:gridCol w:w="285"/>
        <w:gridCol w:w="976"/>
        <w:gridCol w:w="208"/>
      </w:tblGrid>
      <w:tr>
        <w:trPr/>
        <w:tc>
          <w:tcPr>
            <w:tcW w:w="1060"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As of June 8, 2023</w:t>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4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Inventories </w:t>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4,068 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w:t>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current assets</w:t>
            </w:r>
          </w:p>
        </w:tc>
        <w:tc>
          <w:tcPr>
            <w:tcW w:w="2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6,068 </w:t>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assets:</w:t>
            </w:r>
          </w:p>
        </w:tc>
        <w:tc>
          <w:tcPr>
            <w:tcW w:w="14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17,629 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25,980 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Total non-current assets </w:t>
            </w:r>
          </w:p>
        </w:tc>
        <w:tc>
          <w:tcPr>
            <w:tcW w:w="2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43,663 </w:t>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Times New Roman;sans-serif" w:hAnsi="Times New Roman;sans-serif"/>
          <w:b/>
          <w:color w:val="000000"/>
          <w:sz w:val="20"/>
        </w:rPr>
      </w:pPr>
      <w:r>
        <w:rPr>
          <w:rFonts w:ascii="Times New Roman;sans-serif" w:hAnsi="Times New Roman;sans-serif"/>
          <w:b/>
          <w:color w:val="000000"/>
          <w:sz w:val="20"/>
        </w:rPr>
        <w:t>3. REVENUE FROM CONTRACTS WITH CUSTOMERS</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Revenue Recognition</w:t>
      </w:r>
    </w:p>
    <w:p>
      <w:pPr>
        <w:pStyle w:val="TextBody"/>
        <w:bidi w:val="0"/>
        <w:spacing w:lineRule="auto" w:line="288" w:before="0" w:after="180"/>
        <w:ind w:left="0" w:right="0" w:firstLine="450"/>
        <w:jc w:val="left"/>
        <w:rPr/>
      </w:pPr>
      <w:r>
        <w:rPr>
          <w:rFonts w:ascii="Times New Roman;sans-serif" w:hAnsi="Times New Roman;sans-serif"/>
          <w:b w:val="false"/>
          <w:color w:val="000000"/>
          <w:sz w:val="20"/>
        </w:rPr>
        <w:t xml:space="preserve">Under ASC 606, </w:t>
      </w:r>
      <w:r>
        <w:rPr>
          <w:rFonts w:ascii="Times New Roman;sans-serif" w:hAnsi="Times New Roman;sans-serif"/>
          <w:b w:val="false"/>
          <w:i/>
          <w:color w:val="000000"/>
          <w:sz w:val="20"/>
        </w:rPr>
        <w:t>Revenue from Contracts with Customers</w:t>
      </w:r>
      <w:r>
        <w:rPr>
          <w:rFonts w:ascii="Times New Roman;sans-serif" w:hAnsi="Times New Roman;sans-serif"/>
          <w:b w:val="false"/>
          <w:color w:val="000000"/>
          <w:sz w:val="20"/>
        </w:rPr>
        <w:t xml:space="preserve">, revenue is recognized when a customer obtains control of promised goods or services, in an amount that reflects the consideration which the entity expects to receive in exchange for those goods or services. To determine revenue recognition for arrangements that an entity determines are within the scope of ASC 606,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w:t>
      </w:r>
    </w:p>
    <w:p>
      <w:pPr>
        <w:pStyle w:val="TextBody"/>
        <w:bidi w:val="0"/>
        <w:spacing w:lineRule="auto" w:line="288" w:before="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one primary revenue stream which is the sales of its products.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5f685e1e555b4b8b85d119fc12b2b16d_7">
        <w:r>
          <w:rPr>
            <w:rStyle w:val="InternetLink"/>
            <w:rFonts w:ascii="Times New Roman;sans-serif" w:hAnsi="Times New Roman;sans-serif"/>
            <w:b w:val="false"/>
            <w:color w:val="0000FF"/>
            <w:sz w:val="16"/>
            <w:u w:val="single"/>
          </w:rPr>
          <w:t>Table of Content</w:t>
        </w:r>
      </w:hyperlink>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Disaggregation of Revenue</w:t>
      </w:r>
    </w:p>
    <w:p>
      <w:pPr>
        <w:pStyle w:val="TextBody"/>
        <w:bidi w:val="0"/>
        <w:spacing w:lineRule="auto" w:line="288" w:before="0" w:after="180"/>
        <w:ind w:left="0" w:right="0" w:firstLine="45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 summarizes net sales by Med Tech, Med Device and by geography:</w:t>
      </w:r>
    </w:p>
    <w:tbl>
      <w:tblPr>
        <w:tblW w:w="9035" w:type="dxa"/>
        <w:jc w:val="left"/>
        <w:tblInd w:w="0" w:type="dxa"/>
        <w:tblLayout w:type="fixed"/>
        <w:tblCellMar>
          <w:top w:w="28" w:type="dxa"/>
          <w:left w:w="28" w:type="dxa"/>
          <w:bottom w:w="28" w:type="dxa"/>
          <w:right w:w="28" w:type="dxa"/>
        </w:tblCellMar>
      </w:tblPr>
      <w:tblGrid>
        <w:gridCol w:w="402"/>
        <w:gridCol w:w="353"/>
        <w:gridCol w:w="354"/>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402"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Three Months Ended November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Three Months Ended November 30, 2022</w:t>
            </w:r>
          </w:p>
        </w:tc>
      </w:tr>
      <w:tr>
        <w:trPr/>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United States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International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United States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International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Total</w:t>
            </w:r>
          </w:p>
        </w:tc>
      </w:tr>
      <w:tr>
        <w:trPr/>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Med Tech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Med Device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15,071 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79,073 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71,631 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13,798 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85,429 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455" w:type="dxa"/>
        <w:jc w:val="left"/>
        <w:tblInd w:w="0" w:type="dxa"/>
        <w:tblLayout w:type="fixed"/>
        <w:tblCellMar>
          <w:top w:w="28" w:type="dxa"/>
          <w:left w:w="28" w:type="dxa"/>
          <w:bottom w:w="28" w:type="dxa"/>
          <w:right w:w="28" w:type="dxa"/>
        </w:tblCellMar>
      </w:tblPr>
      <w:tblGrid>
        <w:gridCol w:w="402"/>
        <w:gridCol w:w="353"/>
        <w:gridCol w:w="354"/>
        <w:gridCol w:w="211"/>
        <w:gridCol w:w="826"/>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211"/>
        <w:gridCol w:w="826"/>
        <w:gridCol w:w="154"/>
      </w:tblGrid>
      <w:tr>
        <w:trPr/>
        <w:tc>
          <w:tcPr>
            <w:tcW w:w="402"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Six Months Ended November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Six Months Ended November 30, 2022</w:t>
            </w:r>
          </w:p>
        </w:tc>
      </w:tr>
      <w:tr>
        <w:trPr/>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United States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International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United States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International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Total</w:t>
            </w:r>
          </w:p>
        </w:tc>
      </w:tr>
      <w:tr>
        <w:trPr/>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Med Tech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Med Device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85,212 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106,528 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119,648 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128,401 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29,351 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157,752 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140,655 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26,311 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166,966 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Net Product Revenue</w:t>
      </w:r>
    </w:p>
    <w:p>
      <w:pPr>
        <w:pStyle w:val="TextBody"/>
        <w:bidi w:val="0"/>
        <w:spacing w:lineRule="auto" w:line="288" w:before="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products consist of a wide range of medical, surgical and diagnostic devices used by professional healthcare providers for vascular access, for the treatment of peripheral vascular disease and for use in oncology and surgical settings. The Company's products are generally used in minimally invasive, image-guided procedures. Most of the Company's products are intended to be used once and then discarded, or they may be implanted for short or long term use. The Company sells its products to its distributors and to end users, such as interventional radiologists, interventional cardiologists, vascular surgeons, urologists, interventional and surgical oncologists and critical care nurses.</w:t>
      </w:r>
    </w:p>
    <w:p>
      <w:pPr>
        <w:pStyle w:val="TextBody"/>
        <w:bidi w:val="0"/>
        <w:spacing w:lineRule="auto" w:line="288"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Contracts and Performance Obligations</w:t>
      </w:r>
    </w:p>
    <w:p>
      <w:pPr>
        <w:pStyle w:val="TextBody"/>
        <w:bidi w:val="0"/>
        <w:spacing w:lineRule="auto" w:line="288" w:before="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contracts with its customers based on customer purchase orders, which in many cases are governed by master purchasing agreements. The Company’s contracts with customers are generally for product only, and do not include other performance obligations such as services or other material rights. As part of its assessment of each contract, the Company evaluates certain factors including the customer’s ability to pay (or credit risk). For each contract, the Company considers the promise to transfer products, each of which is distinct, to be the identified performance obligations.</w:t>
      </w:r>
    </w:p>
    <w:p>
      <w:pPr>
        <w:pStyle w:val="TextBody"/>
        <w:bidi w:val="0"/>
        <w:spacing w:lineRule="auto" w:line="288"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Transaction Price and Allocation to Performance Obligations</w:t>
      </w:r>
    </w:p>
    <w:p>
      <w:pPr>
        <w:pStyle w:val="TextBody"/>
        <w:bidi w:val="0"/>
        <w:spacing w:lineRule="auto" w:line="288" w:before="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prices of products are typically based on contracted rates. Product revenue is measured as the amount of consideration the Company expects to receive in exchange for transferring products to a customer, net of any variable consideration as described below.</w:t>
      </w:r>
    </w:p>
    <w:p>
      <w:pPr>
        <w:pStyle w:val="TextBody"/>
        <w:bidi w:val="0"/>
        <w:spacing w:lineRule="auto" w:line="288" w:before="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If a contract contains a single performance obligation, the entire transaction price is allocated to the single performance obligation. Contracts that contain multiple performance obligations require an allocation of the transaction price based on the estimated relative standalone selling prices of the promised products underlying each performance obligation. The Company has standard pricing for its products and determines standalone selling prices based on the price at which the performance obligation is sold separately.</w:t>
      </w:r>
    </w:p>
    <w:p>
      <w:pPr>
        <w:pStyle w:val="TextBody"/>
        <w:bidi w:val="0"/>
        <w:spacing w:lineRule="auto" w:line="288"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Revenue Recognition</w:t>
      </w:r>
    </w:p>
    <w:p>
      <w:pPr>
        <w:pStyle w:val="TextBody"/>
        <w:bidi w:val="0"/>
        <w:spacing w:lineRule="auto" w:line="288" w:before="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Revenue is recognized when control of the product is transferred to the customer (i.e., when the Company’s performance obligation is satisfied), which occurs at a point in time, and may be upon shipment from the Company’s manufacturing site or delivery to the customer’s named location, based on the shipping terms of a contract.</w:t>
      </w:r>
    </w:p>
    <w:p>
      <w:pPr>
        <w:pStyle w:val="TextBody"/>
        <w:bidi w:val="0"/>
        <w:spacing w:lineRule="auto" w:line="288" w:before="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determining whether control has transferred, the Company considers if there is a present right to payment from the customer and when physical possession, legal title and risks and rewards of ownership have transferred to the customer.</w:t>
      </w:r>
    </w:p>
    <w:p>
      <w:pPr>
        <w:pStyle w:val="TextBody"/>
        <w:bidi w:val="0"/>
        <w:spacing w:lineRule="auto" w:line="288" w:before="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typically invoices customers upon satisfaction of identified performance obligations. As the Company’s standard payment terms are 30 to 90 days from invoicing, the Company does not provide any significant financing to its customers.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5f685e1e555b4b8b85d119fc12b2b16d_7">
        <w:r>
          <w:rPr>
            <w:rStyle w:val="InternetLink"/>
            <w:rFonts w:ascii="Times New Roman;sans-serif" w:hAnsi="Times New Roman;sans-serif"/>
            <w:b w:val="false"/>
            <w:color w:val="0000FF"/>
            <w:sz w:val="16"/>
            <w:u w:val="single"/>
          </w:rPr>
          <w:t>Table of Content</w:t>
        </w:r>
      </w:hyperlink>
    </w:p>
    <w:p>
      <w:pPr>
        <w:pStyle w:val="TextBody"/>
        <w:bidi w:val="0"/>
        <w:spacing w:lineRule="auto" w:line="288" w:before="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enters into agreements to place placement and evaluation units (“units”) at customer sites, but the Company retains title to the units. For the duration of these agreements the customer has the right to use the unit at no upfront charge in connection with the customer’s ongoing purchase of disposables. These types of agreements include an embedded operating lease for the right to use the units. In these arrangements, revenue recognized for the sale of the disposables is not allocated between the disposal revenue and lease revenue due to the insignificant value of the units in relation to the total agreement value.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Sales, value add, and other taxes collected on behalf of third parties are excluded from revenue.</w:t>
      </w:r>
    </w:p>
    <w:p>
      <w:pPr>
        <w:pStyle w:val="TextBody"/>
        <w:bidi w:val="0"/>
        <w:spacing w:lineRule="auto" w:line="288"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Variable Consideration</w:t>
      </w:r>
    </w:p>
    <w:p>
      <w:pPr>
        <w:pStyle w:val="TextBody"/>
        <w:bidi w:val="0"/>
        <w:spacing w:lineRule="auto" w:line="288" w:before="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Reserves: Revenue from product sales are recorded at the net sales price (transaction price), which includes estimates of variable consideration for which reserves are established for discounts, returns, rebates and allowances that are offered within contracts between the Company and its customers. These reserves are based on the amounts earned or to be claimed on the related sales and are classified as a contra asset.</w:t>
      </w:r>
    </w:p>
    <w:p>
      <w:pPr>
        <w:pStyle w:val="TextBody"/>
        <w:bidi w:val="0"/>
        <w:spacing w:lineRule="auto" w:line="288" w:before="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Rebates and Allowances: The Company provides certain customers with rebates and allowances that are explicitly stated in the Company’s contracts and are recorded as a reduction of revenue in the period the related product revenue is recognized. The Company establishes reserves for such amounts, which is included in accrued expenses in the accompanying Consolidated Balance Sheets. These rebates and allowances result from performance-based offers that are primarily based on attaining contractually specified sales volumes. The Company is also required to pay administrative fees to group purchasing organizations.</w:t>
      </w:r>
    </w:p>
    <w:p>
      <w:pPr>
        <w:pStyle w:val="TextBody"/>
        <w:bidi w:val="0"/>
        <w:spacing w:lineRule="auto" w:line="288" w:before="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Product Returns: The Company generally offers customers a limited right of return. Product returns after 30 days must be pre-approved by the Company and customers may be subject to a 20% restocking charge. To be accepted, a returned product must be unadulterated, undamaged and have at least twelve months remaining prior to its expiration date. The Company estimates the amount of its product sales that may be returned by its customers and records this estimate as a reduction of revenue in the period the related product revenue is recognized. The Company currently estimates product return liabilities using its historical product return information and considers other factors that it believes could significantly impact its expected returns, including product recalls. During the six months ended November 30, 2023, such product returns were not material. </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Contract Balances with Customers</w:t>
      </w:r>
    </w:p>
    <w:p>
      <w:pPr>
        <w:pStyle w:val="TextBody"/>
        <w:bidi w:val="0"/>
        <w:spacing w:lineRule="auto" w:line="288" w:before="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 receivable is generally recognized in the period the Company ships the product. Payment terms on invoiced amounts are based on contractual terms with each customer and generally coincide with revenue recognition. Accordingly, the Company does not have any contract assets associated with the future right to invoice its customers. In some cases, if control of the product has not yet transferred to the customer or the timing of the payments made by the customer precedes the Company’s fulfillment of the performance obligation, the Company recognizes a contract liability that is included in deferred revenue in the accompanying Consolidated Balance Sheets.</w:t>
      </w:r>
    </w:p>
    <w:p>
      <w:pPr>
        <w:pStyle w:val="TextBody"/>
        <w:bidi w:val="0"/>
        <w:spacing w:lineRule="auto" w:line="288" w:before="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changes in the Company’s receivables, contract assets and contract liabilities with customers:</w:t>
      </w:r>
    </w:p>
    <w:tbl>
      <w:tblPr>
        <w:tblW w:w="4196" w:type="dxa"/>
        <w:jc w:val="left"/>
        <w:tblInd w:w="0" w:type="dxa"/>
        <w:tblLayout w:type="fixed"/>
        <w:tblCellMar>
          <w:top w:w="28" w:type="dxa"/>
          <w:left w:w="28" w:type="dxa"/>
          <w:bottom w:w="28" w:type="dxa"/>
          <w:right w:w="28" w:type="dxa"/>
        </w:tblCellMar>
      </w:tblPr>
      <w:tblGrid>
        <w:gridCol w:w="597"/>
        <w:gridCol w:w="524"/>
        <w:gridCol w:w="529"/>
        <w:gridCol w:w="219"/>
        <w:gridCol w:w="748"/>
        <w:gridCol w:w="113"/>
        <w:gridCol w:w="109"/>
        <w:gridCol w:w="109"/>
        <w:gridCol w:w="109"/>
        <w:gridCol w:w="221"/>
        <w:gridCol w:w="757"/>
        <w:gridCol w:w="161"/>
      </w:tblGrid>
      <w:tr>
        <w:trPr/>
        <w:tc>
          <w:tcPr>
            <w:tcW w:w="597"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Nov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May 31, 2023</w:t>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Receivables</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51,603 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52,826 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assets</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liabilities</w:t>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six months ended November 30, 2023, the Company had additions to contract liabilities of $0.2 million. This was offset by $0.2 million in revenue that was recognized during the six months ended November 30, 2023. </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 xml:space="preserve">Costs to Obtain or Fulfill a Customer Contract </w:t>
      </w:r>
    </w:p>
    <w:p>
      <w:pPr>
        <w:pStyle w:val="TextBody"/>
        <w:bidi w:val="0"/>
        <w:spacing w:lineRule="auto" w:line="288" w:before="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Under ASC 606, the Company may recognize an asset for incremental costs of obtaining a contract with a customer if it expects to recover those costs. The Company’s sales incentive compensation plans qualify for capitalization since these plans are directly related to sales achieved during a period of time. However, the Company has elected the practical expedient under ASC 340-40-25-4 to expense the costs as they are incurred within selling and marketing expenses since the amortization period is less than one year.</w:t>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accounts for shipping and handling activities related to contracts with customers as costs to fulfill the promise to transfer the associated products. Shipping and handling costs, associated with the distribution of finished products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5f685e1e555b4b8b85d119fc12b2b16d_7">
        <w:r>
          <w:rPr>
            <w:rStyle w:val="InternetLink"/>
            <w:rFonts w:ascii="Times New Roman;sans-serif" w:hAnsi="Times New Roman;sans-serif"/>
            <w:b w:val="false"/>
            <w:color w:val="0000FF"/>
            <w:sz w:val="16"/>
            <w:u w:val="single"/>
          </w:rPr>
          <w:t>Table of Content</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customers, are recorded in costs of goods sold and are recognized when the related finished product is shipped to the customer. Amounts charged to customers for shipping and handling are recorded in net sales. </w:t>
      </w:r>
    </w:p>
    <w:p>
      <w:pPr>
        <w:pStyle w:val="TextBody"/>
        <w:bidi w:val="0"/>
        <w:spacing w:before="0" w:after="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4. INVENTORIES</w:t>
      </w:r>
    </w:p>
    <w:p>
      <w:pPr>
        <w:pStyle w:val="TextBody"/>
        <w:bidi w:val="0"/>
        <w:spacing w:lineRule="auto" w:line="288" w:before="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Inventories are stated at lower of cost and net realizable value (using the first-in, first-out method). Inventories consisted of the following:</w:t>
      </w:r>
    </w:p>
    <w:tbl>
      <w:tblPr>
        <w:tblW w:w="3970" w:type="dxa"/>
        <w:jc w:val="left"/>
        <w:tblInd w:w="0" w:type="dxa"/>
        <w:tblLayout w:type="fixed"/>
        <w:tblCellMar>
          <w:top w:w="28" w:type="dxa"/>
          <w:left w:w="28" w:type="dxa"/>
          <w:bottom w:w="28" w:type="dxa"/>
          <w:right w:w="28" w:type="dxa"/>
        </w:tblCellMar>
      </w:tblPr>
      <w:tblGrid>
        <w:gridCol w:w="517"/>
        <w:gridCol w:w="453"/>
        <w:gridCol w:w="454"/>
        <w:gridCol w:w="219"/>
        <w:gridCol w:w="748"/>
        <w:gridCol w:w="113"/>
        <w:gridCol w:w="109"/>
        <w:gridCol w:w="109"/>
        <w:gridCol w:w="109"/>
        <w:gridCol w:w="221"/>
        <w:gridCol w:w="757"/>
        <w:gridCol w:w="161"/>
      </w:tblGrid>
      <w:tr>
        <w:trPr/>
        <w:tc>
          <w:tcPr>
            <w:tcW w:w="517"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Nov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May 31, 2023</w:t>
            </w:r>
          </w:p>
        </w:tc>
      </w:tr>
      <w:tr>
        <w:trPr/>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Raw materials</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34,112 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28,679 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 in process</w:t>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8,801 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Finished goods</w:t>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21,341 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19,938 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64,254 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55,325 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periodically reviews inventory for both obsolescence and loss of value. The Company makes assumptions about the future demand for and market value of the inventory. Based on these assumptions, the Company estimates the amount of obsolete, expiring and slow-moving inventory. The total inventory reserve at November 30, 2023 and May 31, 2023 was $3.2 million and $3.1 million, respectively. </w:t>
      </w:r>
    </w:p>
    <w:p>
      <w:pPr>
        <w:pStyle w:val="TextBody"/>
        <w:bidi w:val="0"/>
        <w:spacing w:before="0" w:after="18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5. GOODWILL AND INTANGIBLE ASSETS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Goodwill</w:t>
      </w:r>
    </w:p>
    <w:p>
      <w:pPr>
        <w:pStyle w:val="TextBody"/>
        <w:bidi w:val="0"/>
        <w:spacing w:lineRule="auto" w:line="288" w:before="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Goodwill is not amortized, but rather, is tested for impairment annually or more frequently if impairment indicators arise. Goodwill represents the excess of the purchase price over the fair value of the net tangible and identifiable intangible assets acquired in each business combination. </w:t>
      </w:r>
    </w:p>
    <w:p>
      <w:pPr>
        <w:pStyle w:val="TextBody"/>
        <w:bidi w:val="0"/>
        <w:spacing w:lineRule="auto" w:line="288" w:before="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annual testing for impairment of goodwill was completed as of April 30, 2023. To determine the fair value of the two reporting units as of April 30, 2023, the Company utilized the income approach for Med Tech and a combination of the income approach and market approach for Med Device. Based on the results of this evaluation, there were no adjustments to goodwill for either reporting unit as of April 30, 2023.</w:t>
      </w:r>
    </w:p>
    <w:p>
      <w:pPr>
        <w:pStyle w:val="TextBody"/>
        <w:bidi w:val="0"/>
        <w:spacing w:lineRule="auto" w:line="288" w:before="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fourth quarter of fiscal year 2023, the Company concluded that the sale of the dialysis and BioSentry businesses to Merit Medical Systems, Inc. was a triggering event for the Med Device report unit. As the Company concluded that this was the sale of a business, goodwill was allocated to the sale based on the relative fair value of the dialysis and BioSentry businesses and is included in assets held for sale as of May 31, 2023. To determine the fair value of the remaining Med Device reporting unit as of May 31, 2023, the Company utilized the income approach, as it was determined to be a better representation of the remaining Med Device reporting unit's projected long-term performance. Based on the results of this evaluation, the Company recorded a goodwill impairment charge of $14.5 million for the year ended May 31, 2023 to write down the carrying value of the Med Device reporting unit to fair value. </w:t>
      </w:r>
    </w:p>
    <w:p>
      <w:pPr>
        <w:pStyle w:val="TextBody"/>
        <w:bidi w:val="0"/>
        <w:spacing w:lineRule="auto" w:line="288" w:before="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Goodwill for each reporting unit is allocated as follows:</w:t>
      </w:r>
    </w:p>
    <w:tbl>
      <w:tblPr>
        <w:tblW w:w="7460" w:type="dxa"/>
        <w:jc w:val="left"/>
        <w:tblInd w:w="0" w:type="dxa"/>
        <w:tblLayout w:type="fixed"/>
        <w:tblCellMar>
          <w:top w:w="28" w:type="dxa"/>
          <w:left w:w="28" w:type="dxa"/>
          <w:bottom w:w="28" w:type="dxa"/>
          <w:right w:w="28" w:type="dxa"/>
        </w:tblCellMar>
      </w:tblPr>
      <w:tblGrid>
        <w:gridCol w:w="1261"/>
        <w:gridCol w:w="1107"/>
        <w:gridCol w:w="1111"/>
        <w:gridCol w:w="211"/>
        <w:gridCol w:w="826"/>
        <w:gridCol w:w="109"/>
        <w:gridCol w:w="109"/>
        <w:gridCol w:w="109"/>
        <w:gridCol w:w="109"/>
        <w:gridCol w:w="288"/>
        <w:gridCol w:w="554"/>
        <w:gridCol w:w="148"/>
        <w:gridCol w:w="109"/>
        <w:gridCol w:w="109"/>
        <w:gridCol w:w="109"/>
        <w:gridCol w:w="211"/>
        <w:gridCol w:w="826"/>
        <w:gridCol w:w="154"/>
      </w:tblGrid>
      <w:tr>
        <w:trPr/>
        <w:tc>
          <w:tcPr>
            <w:tcW w:w="1261"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1"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Six months ended Nov 30, 2023</w:t>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 xml:space="preserve">Med Tech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 xml:space="preserve">Med Device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 xml:space="preserve">Total </w:t>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June 1, 2023</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159,238 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159,238 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Foreign currency translation adjustments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August 31, 2023</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159,017 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159,017 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7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November 30, 2023</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159,226 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159,226 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There were no adjustments to goodwill for the six months ended November 30, 2023 other than foreign currency translation adjustments.</w:t>
      </w:r>
    </w:p>
    <w:p>
      <w:pPr>
        <w:pStyle w:val="TextBody"/>
        <w:bidi w:val="0"/>
        <w:spacing w:lineRule="auto" w:line="288" w:before="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Even though the Company determined that there was no goodwill impairment at November 30, 2023, the future occurrence of a potential indicator of impairment, such as a significant adverse change in legal, regulatory, business or economic conditions or a more-likely-than-not expectation that one of the reporting units or a significant portion of either of the reporting units will be sold or disposed of, would require an interim assessment for the reporting units prior to the next required annual assessment as of April 30, 2024.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5f685e1e555b4b8b85d119fc12b2b16d_7">
        <w:r>
          <w:rPr>
            <w:rStyle w:val="InternetLink"/>
            <w:rFonts w:ascii="Times New Roman;sans-serif" w:hAnsi="Times New Roman;sans-serif"/>
            <w:b w:val="false"/>
            <w:color w:val="0000FF"/>
            <w:sz w:val="16"/>
            <w:u w:val="single"/>
          </w:rPr>
          <w:t>Table of Content</w:t>
        </w:r>
      </w:hyperlink>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Definite Lived Intangible Assets</w:t>
      </w:r>
    </w:p>
    <w:p>
      <w:pPr>
        <w:pStyle w:val="TextBody"/>
        <w:bidi w:val="0"/>
        <w:spacing w:lineRule="auto" w:line="288" w:before="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other than goodwill are amortized over their estimated useful lives on a straight-line basis. Useful lives range from two to eighteen years. The Company periodically reviews, and adjusts, if necessary, the estimated useful lives of its intangible assets and reviews such assets or asset groups for impairment whenever events or changes in circumstances indicate that the carrying value of the assets or asset groups may not be recoverable. If an intangible asset or asset group is considered to be impaired, the amount of the impairment will equal the excess of the carrying value over the fair value of the asset.</w:t>
      </w:r>
    </w:p>
    <w:p>
      <w:pPr>
        <w:pStyle w:val="TextBody"/>
        <w:bidi w:val="0"/>
        <w:spacing w:lineRule="auto" w:line="288" w:before="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consisted of the following:</w:t>
      </w:r>
    </w:p>
    <w:tbl>
      <w:tblPr>
        <w:tblW w:w="7785" w:type="dxa"/>
        <w:jc w:val="left"/>
        <w:tblInd w:w="0" w:type="dxa"/>
        <w:tblLayout w:type="fixed"/>
        <w:tblCellMar>
          <w:top w:w="28" w:type="dxa"/>
          <w:left w:w="28" w:type="dxa"/>
          <w:bottom w:w="28" w:type="dxa"/>
          <w:right w:w="28" w:type="dxa"/>
        </w:tblCellMar>
      </w:tblPr>
      <w:tblGrid>
        <w:gridCol w:w="722"/>
        <w:gridCol w:w="633"/>
        <w:gridCol w:w="639"/>
        <w:gridCol w:w="284"/>
        <w:gridCol w:w="1114"/>
        <w:gridCol w:w="147"/>
        <w:gridCol w:w="109"/>
        <w:gridCol w:w="109"/>
        <w:gridCol w:w="109"/>
        <w:gridCol w:w="334"/>
        <w:gridCol w:w="1428"/>
        <w:gridCol w:w="172"/>
        <w:gridCol w:w="109"/>
        <w:gridCol w:w="109"/>
        <w:gridCol w:w="109"/>
        <w:gridCol w:w="257"/>
        <w:gridCol w:w="1006"/>
        <w:gridCol w:w="132"/>
        <w:gridCol w:w="109"/>
        <w:gridCol w:w="154"/>
      </w:tblGrid>
      <w:tr>
        <w:trPr/>
        <w:tc>
          <w:tcPr>
            <w:tcW w:w="722"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Nov 30, 2023</w:t>
            </w:r>
          </w:p>
        </w:tc>
        <w:tc>
          <w:tcPr>
            <w:tcW w:w="263" w:type="dxa"/>
            <w:gridSpan w:val="2"/>
            <w:tcBorders/>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Gross 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Net carrying value</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technologies</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211,690 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(123,579)</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88,111 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57,533 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(42,641)</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14,892 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Trademarks</w:t>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7,450 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(6,717)</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Licenses</w:t>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4,837 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(4,682)</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281,510 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(177,619)</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103,891 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7785" w:type="dxa"/>
        <w:jc w:val="left"/>
        <w:tblInd w:w="0" w:type="dxa"/>
        <w:tblLayout w:type="fixed"/>
        <w:tblCellMar>
          <w:top w:w="28" w:type="dxa"/>
          <w:left w:w="28" w:type="dxa"/>
          <w:bottom w:w="28" w:type="dxa"/>
          <w:right w:w="28" w:type="dxa"/>
        </w:tblCellMar>
      </w:tblPr>
      <w:tblGrid>
        <w:gridCol w:w="722"/>
        <w:gridCol w:w="633"/>
        <w:gridCol w:w="639"/>
        <w:gridCol w:w="284"/>
        <w:gridCol w:w="1114"/>
        <w:gridCol w:w="147"/>
        <w:gridCol w:w="109"/>
        <w:gridCol w:w="109"/>
        <w:gridCol w:w="109"/>
        <w:gridCol w:w="334"/>
        <w:gridCol w:w="1428"/>
        <w:gridCol w:w="172"/>
        <w:gridCol w:w="109"/>
        <w:gridCol w:w="109"/>
        <w:gridCol w:w="109"/>
        <w:gridCol w:w="257"/>
        <w:gridCol w:w="1006"/>
        <w:gridCol w:w="132"/>
        <w:gridCol w:w="109"/>
        <w:gridCol w:w="154"/>
      </w:tblGrid>
      <w:tr>
        <w:trPr/>
        <w:tc>
          <w:tcPr>
            <w:tcW w:w="722"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May 31, 2023</w:t>
            </w:r>
          </w:p>
        </w:tc>
        <w:tc>
          <w:tcPr>
            <w:tcW w:w="263" w:type="dxa"/>
            <w:gridSpan w:val="2"/>
            <w:tcBorders/>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Gross 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Net carrying value</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technologies</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211,751 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(118,314)</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93,437 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57,509 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(40,755)</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16,754 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Trademarks</w:t>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7,450 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(6,660)</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Licenses</w:t>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4,837 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(4,674)</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281,547 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(170,403)</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111,144 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expense for the three months ended November 30, 2023 and 2022 was $3.6 million and $4.8 million, respectively. Amortization expense for the six months ended November 30, 2023 and 2022 was $7.2 million and $9.6 million, respectively.</w:t>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Expected future amortization expense related to the intangible assets for each of the following fiscal years is as follows:</w:t>
      </w:r>
    </w:p>
    <w:tbl>
      <w:tblPr>
        <w:tblW w:w="2886" w:type="dxa"/>
        <w:jc w:val="left"/>
        <w:tblInd w:w="0" w:type="dxa"/>
        <w:tblLayout w:type="fixed"/>
        <w:tblCellMar>
          <w:top w:w="28" w:type="dxa"/>
          <w:left w:w="28" w:type="dxa"/>
          <w:bottom w:w="28" w:type="dxa"/>
          <w:right w:w="28" w:type="dxa"/>
        </w:tblCellMar>
      </w:tblPr>
      <w:tblGrid>
        <w:gridCol w:w="614"/>
        <w:gridCol w:w="540"/>
        <w:gridCol w:w="541"/>
        <w:gridCol w:w="211"/>
        <w:gridCol w:w="826"/>
        <w:gridCol w:w="154"/>
      </w:tblGrid>
      <w:tr>
        <w:trPr/>
        <w:tc>
          <w:tcPr>
            <w:tcW w:w="614"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Remainder of 2024</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 and thereafter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103,891 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p>
    <w:p>
      <w:pPr>
        <w:pStyle w:val="TextBody"/>
        <w:bidi w:val="0"/>
        <w:spacing w:before="0" w:after="180"/>
        <w:jc w:val="left"/>
        <w:rPr/>
      </w:pPr>
      <w:r>
        <w:rPr/>
      </w:r>
    </w:p>
    <w:p>
      <w:pPr>
        <w:pStyle w:val="TextBody"/>
        <w:bidi w:val="0"/>
        <w:spacing w:before="0" w:after="180"/>
        <w:jc w:val="left"/>
        <w:rPr/>
      </w:pPr>
      <w:r>
        <w:rPr/>
      </w:r>
    </w:p>
    <w:p>
      <w:pPr>
        <w:pStyle w:val="TextBody"/>
        <w:bidi w:val="0"/>
        <w:spacing w:before="0" w:after="180"/>
        <w:jc w:val="left"/>
        <w:rPr/>
      </w:pPr>
      <w:r>
        <w:rPr/>
      </w:r>
    </w:p>
    <w:p>
      <w:pPr>
        <w:pStyle w:val="TextBody"/>
        <w:bidi w:val="0"/>
        <w:spacing w:before="0" w:after="180"/>
        <w:jc w:val="left"/>
        <w:rPr/>
      </w:pPr>
      <w:r>
        <w:rPr/>
      </w:r>
    </w:p>
    <w:p>
      <w:pPr>
        <w:pStyle w:val="TextBody"/>
        <w:bidi w:val="0"/>
        <w:spacing w:before="0" w:after="180"/>
        <w:jc w:val="left"/>
        <w:rPr/>
      </w:pPr>
      <w:r>
        <w:rPr/>
      </w:r>
    </w:p>
    <w:p>
      <w:pPr>
        <w:pStyle w:val="TextBody"/>
        <w:bidi w:val="0"/>
        <w:spacing w:before="0" w:after="180"/>
        <w:jc w:val="left"/>
        <w:rPr/>
      </w:pPr>
      <w:r>
        <w:rPr/>
      </w:r>
    </w:p>
    <w:p>
      <w:pPr>
        <w:pStyle w:val="TextBody"/>
        <w:bidi w:val="0"/>
        <w:spacing w:before="0" w:after="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5f685e1e555b4b8b85d119fc12b2b16d_7">
        <w:r>
          <w:rPr>
            <w:rStyle w:val="InternetLink"/>
            <w:rFonts w:ascii="Times New Roman;sans-serif" w:hAnsi="Times New Roman;sans-serif"/>
            <w:b w:val="false"/>
            <w:color w:val="0000FF"/>
            <w:sz w:val="16"/>
            <w:u w:val="single"/>
          </w:rPr>
          <w:t>Table of Content</w:t>
        </w:r>
      </w:hyperlink>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6. ACCRUED LIABILITIES</w:t>
      </w:r>
    </w:p>
    <w:p>
      <w:pPr>
        <w:pStyle w:val="TextBody"/>
        <w:bidi w:val="0"/>
        <w:spacing w:lineRule="auto" w:line="288" w:before="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Accrued liabilities consisted of the following: </w:t>
      </w:r>
    </w:p>
    <w:tbl>
      <w:tblPr>
        <w:tblW w:w="4975" w:type="dxa"/>
        <w:jc w:val="left"/>
        <w:tblInd w:w="0" w:type="dxa"/>
        <w:tblLayout w:type="fixed"/>
        <w:tblCellMar>
          <w:top w:w="28" w:type="dxa"/>
          <w:left w:w="28" w:type="dxa"/>
          <w:bottom w:w="28" w:type="dxa"/>
          <w:right w:w="28" w:type="dxa"/>
        </w:tblCellMar>
      </w:tblPr>
      <w:tblGrid>
        <w:gridCol w:w="881"/>
        <w:gridCol w:w="773"/>
        <w:gridCol w:w="775"/>
        <w:gridCol w:w="219"/>
        <w:gridCol w:w="748"/>
        <w:gridCol w:w="113"/>
        <w:gridCol w:w="109"/>
        <w:gridCol w:w="109"/>
        <w:gridCol w:w="109"/>
        <w:gridCol w:w="221"/>
        <w:gridCol w:w="757"/>
        <w:gridCol w:w="161"/>
      </w:tblGrid>
      <w:tr>
        <w:trPr/>
        <w:tc>
          <w:tcPr>
            <w:tcW w:w="881"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Nov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May 31, 2023</w:t>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Payroll and related expenses</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11,013 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9,232 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Outside services</w:t>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Royalties</w:t>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franchise taxes</w:t>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Warranties</w:t>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Rebates</w:t>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Freight</w:t>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severance</w:t>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29,237 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26,617 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7. LONG-TERM DEBT</w:t>
      </w:r>
    </w:p>
    <w:p>
      <w:pPr>
        <w:pStyle w:val="TextBody"/>
        <w:bidi w:val="0"/>
        <w:spacing w:lineRule="auto" w:line="288" w:before="0" w:after="0"/>
        <w:ind w:left="0" w:right="0" w:firstLine="432"/>
        <w:jc w:val="left"/>
        <w:rPr>
          <w:rFonts w:ascii="Times New Roman;sans-serif" w:hAnsi="Times New Roman;sans-serif"/>
          <w:b w:val="false"/>
          <w:color w:val="000000"/>
          <w:sz w:val="20"/>
        </w:rPr>
      </w:pPr>
      <w:r>
        <w:rPr>
          <w:rFonts w:ascii="Times New Roman;sans-serif" w:hAnsi="Times New Roman;sans-serif"/>
          <w:b w:val="false"/>
          <w:color w:val="000000"/>
          <w:sz w:val="20"/>
        </w:rPr>
        <w:t>On June 8, 2023 and in connection with the completion of the dialysis and BioSentry divestiture, the Company repaid all amounts outstanding under its then existing Credit Agreement, dated as of August 30, 2022, with the lender parties thereto, JPMorgan Chase Bank, N.A., as administrative agent, Bank of America, N.A. and KeyBank National Association, as co-syndication agents, and JPMorgan Chase Bank, N.A. as sole bookrunner and sole lead arranger (the "Credit Agreement"), and as a result, the Credit Agreement was extinguished. Pursuant to the terms of the Credit Agreement, AngioDynamics had the option to repay this facility prior to the maturity date without penalty.</w:t>
      </w:r>
    </w:p>
    <w:p>
      <w:pPr>
        <w:pStyle w:val="TextBody"/>
        <w:bidi w:val="0"/>
        <w:spacing w:before="0" w:after="18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8. INCOME TAXES</w:t>
      </w:r>
    </w:p>
    <w:p>
      <w:pPr>
        <w:pStyle w:val="TextBody"/>
        <w:bidi w:val="0"/>
        <w:spacing w:lineRule="auto" w:line="288" w:before="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provides for income taxes at the end of each interim period based on the estimated effective tax rate for the full fiscal year adjusted for any discrete events, which are recorded in the period that they occur.  The estimated annual effective tax rate prior to discrete items was 23.7% as of the second quarter of fiscal year 2024, as compared to 5.8% for the same period in fiscal year 2023. In fiscal year 2024, the Company’s effective tax rate differs from the U.S. statutory rate primarily due to the impact of the valuation allowance, foreign taxes, and other non-deductible permanent items (such as non-deductible meals and entertainment, Section 162(m) excess compensation and non-deductible share-based compensation). </w:t>
      </w:r>
    </w:p>
    <w:p>
      <w:pPr>
        <w:pStyle w:val="TextBody"/>
        <w:bidi w:val="0"/>
        <w:spacing w:lineRule="auto" w:line="288" w:before="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regularly assesses its ability to realize its deferred tax assets. Assessing the realization of deferred tax assets requires significant management judgment. In determining whether its deferred tax assets are more likely than not realizable, the Company evaluated all available positive and negative evidence, and weighted the evidence based on its objectivity. </w:t>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Based on the review of all available evidence, the Company determined that it has not yet attained a sustained level of profitability and the objectively verifiable negative evidence outweighed the positive evidence. Therefore, the Company has provided a valuation allowance on its federal and state net operating loss carryforwards, federal and state R&amp;D credit carryforwards and other net deferred tax assets that have a limited life and are not supportable by the naked credit deferred tax liability sourced income as of November 30, 2023. The Company will continue to assess the level of the valuation allowance required. If sufficient positive evidence exists in future periods to support a release of some or all of the valuation allowance, such a release would likely have a material impact on the Company’s results of operations.</w:t>
      </w:r>
    </w:p>
    <w:p>
      <w:pPr>
        <w:pStyle w:val="TextBody"/>
        <w:bidi w:val="0"/>
        <w:spacing w:before="0" w:after="18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9. SHARE-BASED COMPENSATION</w:t>
      </w:r>
    </w:p>
    <w:p>
      <w:pPr>
        <w:pStyle w:val="TextBody"/>
        <w:bidi w:val="0"/>
        <w:spacing w:lineRule="auto" w:line="288" w:before="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October 13, 2020, the Company's shareholders approved the 2020 Stock and Incentive Award Plan (the “2020 Plan”). The 2020 Plan provides for the grant of incentive stock options, non-statutory stock options, restricted stock, restricted stock units, stock appreciation rights, performance share units, performance shares and other incentive awards to the Company's employees, directors and other service providers. On November 14, 2023 the Company's shareholders approved an amendment to the 2020 Plan to increase the reserve of shares of common stock available for future grants by 1.5 million shares. As of November 30, 2023, there was a maximum of 2.6 million shares of common stock available for future grant under the 2020 Plan. </w:t>
      </w:r>
    </w:p>
    <w:p>
      <w:pPr>
        <w:pStyle w:val="TextBody"/>
        <w:bidi w:val="0"/>
        <w:spacing w:lineRule="auto" w:line="288" w:before="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Prior to the adoption of the 2020 Plan, equity awards were issued under the 2004 Stock and Incentive Award Plan (the “2004 Plan”). The adoption of the 2020 Plan did not impact the administration of equity awards issued under the 2004 Plan but following the adoption of the 2020 Plan, equity award grants are no longer made under the 2004 Plan.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5f685e1e555b4b8b85d119fc12b2b16d_7">
        <w:r>
          <w:rPr>
            <w:rStyle w:val="InternetLink"/>
            <w:rFonts w:ascii="Times New Roman;sans-serif" w:hAnsi="Times New Roman;sans-serif"/>
            <w:b w:val="false"/>
            <w:color w:val="0000FF"/>
            <w:sz w:val="16"/>
            <w:u w:val="single"/>
          </w:rPr>
          <w:t>Table of Content</w:t>
        </w:r>
      </w:hyperlink>
    </w:p>
    <w:p>
      <w:pPr>
        <w:pStyle w:val="TextBody"/>
        <w:bidi w:val="0"/>
        <w:spacing w:lineRule="auto" w:line="288" w:before="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also has an employee stock purchase plan. On November 3, 2022 the Company's shareholders approved an amendment to the employee stock purchase plan to increase the reserve of shares of common stock available for future grants by 1.0 million shares. As of November 30, 2023, there was a maximum of 3.0 million shares of common stock available for future grant under the employee stock purchase plan.</w:t>
      </w:r>
    </w:p>
    <w:p>
      <w:pPr>
        <w:pStyle w:val="TextBody"/>
        <w:bidi w:val="0"/>
        <w:spacing w:lineRule="auto" w:line="288" w:before="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November 30, 2023 and 2022, share-based compensation expense was $1.9 million and $3.4 million, respectively. For the six months ended November 30, 2023 and 2022, share-based compensation expense was $6.0 million and $6.4 million, respectively. </w:t>
      </w:r>
    </w:p>
    <w:p>
      <w:pPr>
        <w:pStyle w:val="TextBody"/>
        <w:bidi w:val="0"/>
        <w:spacing w:lineRule="auto" w:line="288" w:before="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six months ended November 30, 2023 and 2022, the Company granted stock options and restricted stock units under the 2020 Plan to certain employees and members of the Board of Directors. Stock option awards are valued using the Black-Scholes option-pricing model and then amortized on a straight-line basis over the requisite service period of the award. Generally, restricted stock unit awards are valued based on the closing trading value of the Company’s common stock on the date of grant and then amortized on a straight-line basis over the requisite service period of the award. In July 2023, the Board of Directors approved a change in terms of restricted stock units granted to non-employee directors to provide for immediate vesting upon grant of the award. </w:t>
      </w:r>
    </w:p>
    <w:p>
      <w:pPr>
        <w:pStyle w:val="TextBody"/>
        <w:bidi w:val="0"/>
        <w:spacing w:lineRule="auto" w:line="288" w:before="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six months ended November 30, 2023 and 2022, the Company granted performance share units under the 2020 Plan to certain employees. The awards may be earned by achieving performance levels over the requisite service period. The performance criteria are based on achieving certain performance targets and the total shareholder return (“TSR”) of the Company’s common stock relative to the TSR of the common stock of a pre-defined industry peer-group. The fair value of these awards is based on a Monte Carlo simulation model. </w:t>
      </w:r>
    </w:p>
    <w:p>
      <w:pPr>
        <w:pStyle w:val="TextBody"/>
        <w:bidi w:val="0"/>
        <w:spacing w:lineRule="auto" w:line="288" w:before="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November 30, 2023, there was $20.3 million of unrecognized compensation expense related to share-based payment arrangements. These costs are expected to be recognized over a weighted-average period of approximately three years. The Company has sufficient shares to satisfy expected share-based payment arrangements.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ans-serif" w:hAnsi="Times New Roman;sans-serif"/>
          <w:b/>
          <w:color w:val="000000"/>
          <w:sz w:val="20"/>
        </w:rPr>
      </w:pPr>
      <w:r>
        <w:rPr>
          <w:rFonts w:ascii="Times New Roman;sans-serif" w:hAnsi="Times New Roman;sans-serif"/>
          <w:b/>
          <w:color w:val="000000"/>
          <w:sz w:val="20"/>
        </w:rPr>
        <w:t>10. EARNINGS PER SHARE</w:t>
      </w:r>
    </w:p>
    <w:p>
      <w:pPr>
        <w:pStyle w:val="TextBody"/>
        <w:bidi w:val="0"/>
        <w:spacing w:lineRule="auto" w:line="288" w:before="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Basic earnings per share is based on the weighted average number of common shares outstanding without consideration of potential common stock. Diluted earnings per share includes the dilutive effect of potential common stock consisting of stock options, restricted stock units and performance stock units, provided that the inclusion of such securities is not anti-dilutive. In periods with a net loss, stock options and restricted stock units are not included in the computation of diluted loss per share as the impact would be anti-dilutive.</w:t>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reconciles basic to diluted weighted-average shares outstanding: </w:t>
      </w:r>
    </w:p>
    <w:tbl>
      <w:tblPr>
        <w:tblW w:w="10205" w:type="dxa"/>
        <w:jc w:val="left"/>
        <w:tblInd w:w="0" w:type="dxa"/>
        <w:tblLayout w:type="fixed"/>
        <w:tblCellMar>
          <w:top w:w="28" w:type="dxa"/>
          <w:left w:w="28" w:type="dxa"/>
          <w:bottom w:w="28" w:type="dxa"/>
          <w:right w:w="28" w:type="dxa"/>
        </w:tblCellMar>
      </w:tblPr>
      <w:tblGrid>
        <w:gridCol w:w="1681"/>
        <w:gridCol w:w="1444"/>
        <w:gridCol w:w="1448"/>
        <w:gridCol w:w="360"/>
        <w:gridCol w:w="361"/>
        <w:gridCol w:w="339"/>
        <w:gridCol w:w="175"/>
        <w:gridCol w:w="175"/>
        <w:gridCol w:w="175"/>
        <w:gridCol w:w="360"/>
        <w:gridCol w:w="361"/>
        <w:gridCol w:w="340"/>
        <w:gridCol w:w="109"/>
        <w:gridCol w:w="109"/>
        <w:gridCol w:w="109"/>
        <w:gridCol w:w="371"/>
        <w:gridCol w:w="358"/>
        <w:gridCol w:w="331"/>
        <w:gridCol w:w="148"/>
        <w:gridCol w:w="148"/>
        <w:gridCol w:w="148"/>
        <w:gridCol w:w="371"/>
        <w:gridCol w:w="350"/>
        <w:gridCol w:w="434"/>
      </w:tblGrid>
      <w:tr>
        <w:trPr/>
        <w:tc>
          <w:tcPr>
            <w:tcW w:w="1681" w:type="dxa"/>
            <w:tcBorders/>
            <w:vAlign w:val="center"/>
          </w:tcPr>
          <w:p>
            <w:pPr>
              <w:pStyle w:val="TableContents"/>
              <w:bidi w:val="0"/>
              <w:spacing w:before="0" w:after="283"/>
              <w:jc w:val="left"/>
              <w:rPr>
                <w:sz w:val="4"/>
                <w:szCs w:val="4"/>
              </w:rPr>
            </w:pPr>
            <w:r>
              <w:rPr>
                <w:sz w:val="4"/>
                <w:szCs w:val="4"/>
              </w:rPr>
            </w:r>
          </w:p>
        </w:tc>
        <w:tc>
          <w:tcPr>
            <w:tcW w:w="1444"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r>
      <w:tr>
        <w:trPr/>
        <w:tc>
          <w:tcPr>
            <w:tcW w:w="4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Six Months Ended</w:t>
            </w:r>
          </w:p>
        </w:tc>
      </w:tr>
      <w:tr>
        <w:trPr/>
        <w:tc>
          <w:tcPr>
            <w:tcW w:w="45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10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Nov 30, 2023</w:t>
            </w:r>
          </w:p>
        </w:tc>
        <w:tc>
          <w:tcPr>
            <w:tcW w:w="5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Nov 30,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Nov 30, 2023</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Nov 30, 2022</w:t>
            </w:r>
          </w:p>
        </w:tc>
      </w:tr>
      <w:tr>
        <w:trPr/>
        <w:tc>
          <w:tcPr>
            <w:tcW w:w="45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40,219 </w:t>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39,490 </w:t>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40,030 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39,394 </w:t>
            </w:r>
          </w:p>
        </w:tc>
        <w:tc>
          <w:tcPr>
            <w:tcW w:w="4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dilutive securities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40,219 </w:t>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39,490 </w:t>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40,103 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39,394 </w:t>
            </w:r>
          </w:p>
        </w:tc>
        <w:tc>
          <w:tcPr>
            <w:tcW w:w="4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excluded as their inclusion would be anti-dilutive</w:t>
            </w:r>
          </w:p>
        </w:tc>
        <w:tc>
          <w:tcPr>
            <w:tcW w:w="721"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4,361 </w:t>
            </w:r>
          </w:p>
        </w:tc>
        <w:tc>
          <w:tcPr>
            <w:tcW w:w="33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3,793 </w:t>
            </w:r>
          </w:p>
        </w:tc>
        <w:tc>
          <w:tcPr>
            <w:tcW w:w="340"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3,955 </w:t>
            </w:r>
          </w:p>
        </w:tc>
        <w:tc>
          <w:tcPr>
            <w:tcW w:w="331"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3,793 </w:t>
            </w:r>
          </w:p>
        </w:tc>
        <w:tc>
          <w:tcPr>
            <w:tcW w:w="43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11. SEGMENT AND GEOGRAPHIC INFORMATION</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Segment information</w:t>
      </w:r>
    </w:p>
    <w:p>
      <w:pPr>
        <w:pStyle w:val="TextBody"/>
        <w:bidi w:val="0"/>
        <w:spacing w:lineRule="auto" w:line="288" w:before="0" w:after="180"/>
        <w:ind w:left="0" w:right="0" w:firstLine="43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regularly reviews its segments and the approach used by the chief operating decision maker, the President and Chief Executive Officer ("CEO"), and management to evaluate performance and allocate resources. The Company manages its operations through two segments, Med Tech and Med Device. The CEO evaluates these two segments based on net sales and gross margin to, among other items, allocate resources and assess performance. Executives reporting to the CEO include those responsible for commercial operations, manufacturing operations, regulatory and quality and certain corporate functions. The CEO evaluates all other elements of profitability, investment and cash flow metrics on a consolidated global basis due to shared infrastructure and resources. </w:t>
      </w:r>
    </w:p>
    <w:p>
      <w:pPr>
        <w:pStyle w:val="TextBody"/>
        <w:bidi w:val="0"/>
        <w:spacing w:lineRule="auto" w:line="268" w:before="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manages its assets on a total company basis, not by operating segment; therefore, the CEO does not review any asset information by operating segment and, accordingly, asset information is not reported or evaluated by operating segment. Total assets were $499.6 million as of November 30, 2023.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5f685e1e555b4b8b85d119fc12b2b16d_7">
        <w:r>
          <w:rPr>
            <w:rStyle w:val="InternetLink"/>
            <w:rFonts w:ascii="Times New Roman;sans-serif" w:hAnsi="Times New Roman;sans-serif"/>
            <w:b w:val="false"/>
            <w:color w:val="0000FF"/>
            <w:sz w:val="16"/>
            <w:u w:val="single"/>
          </w:rPr>
          <w:t>Table of Content</w:t>
        </w:r>
      </w:hyperlink>
    </w:p>
    <w:p>
      <w:pPr>
        <w:pStyle w:val="TextBody"/>
        <w:bidi w:val="0"/>
        <w:spacing w:lineRule="auto" w:line="288" w:before="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table below summarizes net sales and gross margin by Med Tech and Med Device:</w:t>
      </w:r>
    </w:p>
    <w:tbl>
      <w:tblPr>
        <w:tblW w:w="7952" w:type="dxa"/>
        <w:jc w:val="left"/>
        <w:tblInd w:w="0" w:type="dxa"/>
        <w:tblLayout w:type="fixed"/>
        <w:tblCellMar>
          <w:top w:w="28" w:type="dxa"/>
          <w:left w:w="28" w:type="dxa"/>
          <w:bottom w:w="28" w:type="dxa"/>
          <w:right w:w="28" w:type="dxa"/>
        </w:tblCellMar>
      </w:tblPr>
      <w:tblGrid>
        <w:gridCol w:w="691"/>
        <w:gridCol w:w="606"/>
        <w:gridCol w:w="607"/>
        <w:gridCol w:w="211"/>
        <w:gridCol w:w="721"/>
        <w:gridCol w:w="271"/>
        <w:gridCol w:w="109"/>
        <w:gridCol w:w="109"/>
        <w:gridCol w:w="109"/>
        <w:gridCol w:w="211"/>
        <w:gridCol w:w="721"/>
        <w:gridCol w:w="271"/>
        <w:gridCol w:w="109"/>
        <w:gridCol w:w="109"/>
        <w:gridCol w:w="109"/>
        <w:gridCol w:w="211"/>
        <w:gridCol w:w="826"/>
        <w:gridCol w:w="271"/>
        <w:gridCol w:w="109"/>
        <w:gridCol w:w="109"/>
        <w:gridCol w:w="109"/>
        <w:gridCol w:w="211"/>
        <w:gridCol w:w="826"/>
        <w:gridCol w:w="316"/>
      </w:tblGrid>
      <w:tr>
        <w:trPr/>
        <w:tc>
          <w:tcPr>
            <w:tcW w:w="691"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Six Months Ended</w:t>
            </w:r>
          </w:p>
        </w:tc>
      </w:tr>
      <w:tr>
        <w:trPr/>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Nov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Nov 30,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Nov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Nov 30, 2022</w:t>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Med Tech Net Sales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25,363 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24,502 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51,224 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47,318 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Gross profit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15,816 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15,614 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32,543 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30,043 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Gross margin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Med Device Net Sales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53,710 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60,927 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106,528 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119,648 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Gross profit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24,446 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29,464 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47,779 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57,340 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Gross margin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Sales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79,073 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85,429 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157,752 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166,966 </w:t>
            </w:r>
          </w:p>
        </w:tc>
        <w:tc>
          <w:tcPr>
            <w:tcW w:w="316"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40,262 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45,078 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80,322 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87,383 </w:t>
            </w:r>
          </w:p>
        </w:tc>
        <w:tc>
          <w:tcPr>
            <w:tcW w:w="316"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Gross margin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Geographic information</w:t>
      </w:r>
    </w:p>
    <w:p>
      <w:pPr>
        <w:pStyle w:val="TextBody"/>
        <w:bidi w:val="0"/>
        <w:spacing w:lineRule="auto" w:line="288" w:before="0" w:after="18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table below summarizes net sales by geographic area based on external customer location:</w:t>
      </w:r>
    </w:p>
    <w:tbl>
      <w:tblPr>
        <w:tblW w:w="6678" w:type="dxa"/>
        <w:jc w:val="left"/>
        <w:tblInd w:w="0" w:type="dxa"/>
        <w:tblLayout w:type="fixed"/>
        <w:tblCellMar>
          <w:top w:w="28" w:type="dxa"/>
          <w:left w:w="28" w:type="dxa"/>
          <w:bottom w:w="28" w:type="dxa"/>
          <w:right w:w="28" w:type="dxa"/>
        </w:tblCellMar>
      </w:tblPr>
      <w:tblGrid>
        <w:gridCol w:w="435"/>
        <w:gridCol w:w="382"/>
        <w:gridCol w:w="383"/>
        <w:gridCol w:w="219"/>
        <w:gridCol w:w="748"/>
        <w:gridCol w:w="113"/>
        <w:gridCol w:w="109"/>
        <w:gridCol w:w="109"/>
        <w:gridCol w:w="109"/>
        <w:gridCol w:w="219"/>
        <w:gridCol w:w="748"/>
        <w:gridCol w:w="113"/>
        <w:gridCol w:w="109"/>
        <w:gridCol w:w="109"/>
        <w:gridCol w:w="109"/>
        <w:gridCol w:w="211"/>
        <w:gridCol w:w="826"/>
        <w:gridCol w:w="109"/>
        <w:gridCol w:w="109"/>
        <w:gridCol w:w="109"/>
        <w:gridCol w:w="109"/>
        <w:gridCol w:w="211"/>
        <w:gridCol w:w="826"/>
        <w:gridCol w:w="154"/>
      </w:tblGrid>
      <w:tr>
        <w:trPr/>
        <w:tc>
          <w:tcPr>
            <w:tcW w:w="435"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Six Months Ended</w:t>
            </w:r>
          </w:p>
        </w:tc>
      </w:tr>
      <w:tr>
        <w:trPr/>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Nov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Nov 30,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Nov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Nov 30, 2022</w:t>
            </w:r>
          </w:p>
        </w:tc>
      </w:tr>
      <w:tr>
        <w:trPr/>
        <w:tc>
          <w:tcPr>
            <w:tcW w:w="1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10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64,002 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71,631 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140,655 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w:t>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15,071 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13,798 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0"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79,073 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85,429 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157,752 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166,966 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November 30, 2023 and 2022, international sales as a percentage of total net sales were 19.1% and 16.2%, respectively. For the six months ended November 30, 2023 and 2022, international sales as a percentage of total net sales were 18.6% and 15.8%, respectively. Sales to any one country outside the U.S., as determined by shipment destination, did not comprise a material portion of net sales in any of the last three fiscal years. In addition, no one customer represents more than 10% of consolidated net sales and 83% of long-lived assets are located within the United States. </w:t>
      </w:r>
    </w:p>
    <w:p>
      <w:pPr>
        <w:pStyle w:val="TextBody"/>
        <w:bidi w:val="0"/>
        <w:spacing w:before="0" w:after="0"/>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12. FAIR VALUE</w:t>
      </w:r>
    </w:p>
    <w:p>
      <w:pPr>
        <w:pStyle w:val="TextBody"/>
        <w:bidi w:val="0"/>
        <w:spacing w:lineRule="auto" w:line="288" w:before="0" w:after="180"/>
        <w:ind w:left="0" w:right="0" w:firstLine="450"/>
        <w:jc w:val="left"/>
        <w:rPr/>
      </w:pPr>
      <w:r>
        <w:rPr>
          <w:rFonts w:ascii="Times New Roman;sans-serif" w:hAnsi="Times New Roman;sans-serif"/>
          <w:b w:val="false"/>
          <w:color w:val="000000"/>
          <w:sz w:val="20"/>
        </w:rPr>
        <w:t>On a recurring basis, the Company measures certain financial assets and financial liabilities at fair value based upon quoted market prices, where available. Where quoted market prices or other observable inputs are not available, the Company applies valuation techniques to estimate fair value. FASB ASC Topic 820, </w:t>
      </w:r>
      <w:r>
        <w:rPr>
          <w:rFonts w:ascii="Times New Roman;sans-serif" w:hAnsi="Times New Roman;sans-serif"/>
          <w:b w:val="false"/>
          <w:i/>
          <w:color w:val="000000"/>
          <w:sz w:val="20"/>
        </w:rPr>
        <w:t xml:space="preserve">Fair Value Measurements and Disclosures, </w:t>
      </w:r>
      <w:r>
        <w:rPr>
          <w:rFonts w:ascii="Times New Roman;sans-serif" w:hAnsi="Times New Roman;sans-serif"/>
          <w:b w:val="false"/>
          <w:color w:val="000000"/>
          <w:sz w:val="20"/>
        </w:rPr>
        <w:t>establishes a three-level valuation hierarchy for disclosure of fair value measurements. The categorization of financial assets and financial liabilities within the valuation hierarchy is based upon the lowest level of input that is significant to the measurement of fair value. The three levels of the hierarchy are defined as follows: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Level 1 - Inputs to the valuation methodology are quoted market prices for identical assets or liabilities.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Level 2 - Inputs to the valuation methodology are other observable inputs, including quoted market prices for similar assets or liabilities and market-corroborated inputs.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Level 3 - Inputs to the valuation methodology are significant unobservable inputs based on management’s best estimate of inputs market participants would use in pricing the asset or liability at the measurement date, including assumptions about risk.</w:t>
      </w:r>
    </w:p>
    <w:p>
      <w:pPr>
        <w:pStyle w:val="TextBody"/>
        <w:bidi w:val="0"/>
        <w:spacing w:lineRule="auto" w:line="288" w:before="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financial instruments include cash and cash equivalents, accounts receivable, accounts payable and contingent consideration. The carrying amount of cash and cash equivalents, accounts receivable, and accounts payable approximates fair value due to their immediate or short-term maturities. The recurring fair value measurements using significant unobservable inputs (Level 3) relate to contingent consideration liabilities.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5f685e1e555b4b8b85d119fc12b2b16d_7">
        <w:r>
          <w:rPr>
            <w:rStyle w:val="InternetLink"/>
            <w:rFonts w:ascii="Times New Roman;sans-serif" w:hAnsi="Times New Roman;sans-serif"/>
            <w:b w:val="false"/>
            <w:color w:val="0000FF"/>
            <w:sz w:val="16"/>
            <w:u w:val="single"/>
          </w:rPr>
          <w:t>Table of Content</w:t>
        </w:r>
      </w:hyperlink>
    </w:p>
    <w:p>
      <w:pPr>
        <w:pStyle w:val="TextBody"/>
        <w:bidi w:val="0"/>
        <w:spacing w:lineRule="auto" w:line="288" w:before="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provide information by level for assets and liabilities that are measured at fair value on a recurring basis:</w:t>
      </w:r>
    </w:p>
    <w:tbl>
      <w:tblPr>
        <w:tblW w:w="10205" w:type="dxa"/>
        <w:jc w:val="left"/>
        <w:tblInd w:w="0" w:type="dxa"/>
        <w:tblLayout w:type="fixed"/>
        <w:tblCellMar>
          <w:top w:w="28" w:type="dxa"/>
          <w:left w:w="28" w:type="dxa"/>
          <w:bottom w:w="28" w:type="dxa"/>
          <w:right w:w="28" w:type="dxa"/>
        </w:tblCellMar>
      </w:tblPr>
      <w:tblGrid>
        <w:gridCol w:w="1494"/>
        <w:gridCol w:w="1304"/>
        <w:gridCol w:w="1306"/>
        <w:gridCol w:w="250"/>
        <w:gridCol w:w="483"/>
        <w:gridCol w:w="129"/>
        <w:gridCol w:w="129"/>
        <w:gridCol w:w="129"/>
        <w:gridCol w:w="129"/>
        <w:gridCol w:w="250"/>
        <w:gridCol w:w="483"/>
        <w:gridCol w:w="129"/>
        <w:gridCol w:w="129"/>
        <w:gridCol w:w="129"/>
        <w:gridCol w:w="129"/>
        <w:gridCol w:w="250"/>
        <w:gridCol w:w="857"/>
        <w:gridCol w:w="129"/>
        <w:gridCol w:w="109"/>
        <w:gridCol w:w="109"/>
        <w:gridCol w:w="109"/>
        <w:gridCol w:w="395"/>
        <w:gridCol w:w="1351"/>
        <w:gridCol w:w="294"/>
      </w:tblGrid>
      <w:tr>
        <w:trPr/>
        <w:tc>
          <w:tcPr>
            <w:tcW w:w="1494"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4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Fair Value Measurements using inputs considered 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Fair Value at Nov 30, 2023</w:t>
            </w:r>
          </w:p>
        </w:tc>
      </w:tr>
      <w:tr>
        <w:trPr/>
        <w:tc>
          <w:tcPr>
            <w:tcW w:w="41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8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Level 1</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Level 2</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4"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40" w:type="dxa"/>
            <w:gridSpan w:val="3"/>
            <w:tcBorders/>
            <w:vAlign w:val="center"/>
          </w:tcPr>
          <w:p>
            <w:pPr>
              <w:pStyle w:val="TableContents"/>
              <w:bidi w:val="0"/>
              <w:spacing w:before="0" w:after="283"/>
              <w:jc w:val="left"/>
              <w:rPr>
                <w:sz w:val="4"/>
                <w:szCs w:val="4"/>
              </w:rPr>
            </w:pPr>
            <w:r>
              <w:rPr>
                <w:sz w:val="4"/>
                <w:szCs w:val="4"/>
              </w:rPr>
            </w:r>
          </w:p>
        </w:tc>
      </w:tr>
      <w:tr>
        <w:trPr/>
        <w:tc>
          <w:tcPr>
            <w:tcW w:w="4104"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40" w:type="dxa"/>
            <w:gridSpan w:val="3"/>
            <w:tcBorders/>
            <w:vAlign w:val="center"/>
          </w:tcPr>
          <w:p>
            <w:pPr>
              <w:pStyle w:val="TableContents"/>
              <w:bidi w:val="0"/>
              <w:spacing w:before="0" w:after="283"/>
              <w:jc w:val="left"/>
              <w:rPr>
                <w:sz w:val="4"/>
                <w:szCs w:val="4"/>
              </w:rPr>
            </w:pPr>
            <w:r>
              <w:rPr>
                <w:sz w:val="4"/>
                <w:szCs w:val="4"/>
              </w:rPr>
            </w:r>
          </w:p>
        </w:tc>
      </w:tr>
      <w:tr>
        <w:trPr/>
        <w:tc>
          <w:tcPr>
            <w:tcW w:w="4104"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40" w:type="dxa"/>
            <w:gridSpan w:val="3"/>
            <w:tcBorders/>
            <w:vAlign w:val="center"/>
          </w:tcPr>
          <w:p>
            <w:pPr>
              <w:pStyle w:val="TableContents"/>
              <w:bidi w:val="0"/>
              <w:spacing w:before="0" w:after="283"/>
              <w:jc w:val="left"/>
              <w:rPr>
                <w:sz w:val="4"/>
                <w:szCs w:val="4"/>
              </w:rPr>
            </w:pPr>
            <w:r>
              <w:rPr>
                <w:sz w:val="4"/>
                <w:szCs w:val="4"/>
              </w:rPr>
            </w:r>
          </w:p>
        </w:tc>
      </w:tr>
      <w:tr>
        <w:trPr/>
        <w:tc>
          <w:tcPr>
            <w:tcW w:w="4104"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40" w:type="dxa"/>
            <w:gridSpan w:val="3"/>
            <w:tcBorders/>
            <w:vAlign w:val="center"/>
          </w:tcPr>
          <w:p>
            <w:pPr>
              <w:pStyle w:val="TableContents"/>
              <w:bidi w:val="0"/>
              <w:spacing w:before="0" w:after="283"/>
              <w:jc w:val="left"/>
              <w:rPr>
                <w:sz w:val="4"/>
                <w:szCs w:val="4"/>
              </w:rPr>
            </w:pPr>
            <w:r>
              <w:rPr>
                <w:sz w:val="4"/>
                <w:szCs w:val="4"/>
              </w:rPr>
            </w:r>
          </w:p>
        </w:tc>
      </w:tr>
      <w:tr>
        <w:trPr/>
        <w:tc>
          <w:tcPr>
            <w:tcW w:w="4104"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40" w:type="dxa"/>
            <w:gridSpan w:val="3"/>
            <w:tcBorders/>
            <w:vAlign w:val="center"/>
          </w:tcPr>
          <w:p>
            <w:pPr>
              <w:pStyle w:val="TableContents"/>
              <w:bidi w:val="0"/>
              <w:spacing w:before="0" w:after="283"/>
              <w:jc w:val="left"/>
              <w:rPr>
                <w:sz w:val="4"/>
                <w:szCs w:val="4"/>
              </w:rPr>
            </w:pPr>
            <w:r>
              <w:rPr>
                <w:sz w:val="4"/>
                <w:szCs w:val="4"/>
              </w:rPr>
            </w:r>
          </w:p>
        </w:tc>
      </w:tr>
      <w:tr>
        <w:trPr/>
        <w:tc>
          <w:tcPr>
            <w:tcW w:w="4104"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40" w:type="dxa"/>
            <w:gridSpan w:val="3"/>
            <w:tcBorders/>
            <w:vAlign w:val="center"/>
          </w:tcPr>
          <w:p>
            <w:pPr>
              <w:pStyle w:val="TableContents"/>
              <w:bidi w:val="0"/>
              <w:spacing w:before="0" w:after="283"/>
              <w:jc w:val="left"/>
              <w:rPr>
                <w:sz w:val="4"/>
                <w:szCs w:val="4"/>
              </w:rPr>
            </w:pPr>
            <w:r>
              <w:rPr>
                <w:sz w:val="4"/>
                <w:szCs w:val="4"/>
              </w:rPr>
            </w:r>
          </w:p>
        </w:tc>
      </w:tr>
      <w:tr>
        <w:trPr/>
        <w:tc>
          <w:tcPr>
            <w:tcW w:w="4104"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40" w:type="dxa"/>
            <w:gridSpan w:val="3"/>
            <w:tcBorders/>
            <w:vAlign w:val="center"/>
          </w:tcPr>
          <w:p>
            <w:pPr>
              <w:pStyle w:val="TableContents"/>
              <w:bidi w:val="0"/>
              <w:spacing w:before="0" w:after="283"/>
              <w:jc w:val="left"/>
              <w:rPr>
                <w:sz w:val="4"/>
                <w:szCs w:val="4"/>
              </w:rPr>
            </w:pPr>
            <w:r>
              <w:rPr>
                <w:sz w:val="4"/>
                <w:szCs w:val="4"/>
              </w:rPr>
            </w:r>
          </w:p>
        </w:tc>
      </w:tr>
      <w:tr>
        <w:trPr/>
        <w:tc>
          <w:tcPr>
            <w:tcW w:w="4104"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40" w:type="dxa"/>
            <w:gridSpan w:val="3"/>
            <w:tcBorders/>
            <w:vAlign w:val="center"/>
          </w:tcPr>
          <w:p>
            <w:pPr>
              <w:pStyle w:val="TableContents"/>
              <w:bidi w:val="0"/>
              <w:spacing w:before="0" w:after="283"/>
              <w:jc w:val="left"/>
              <w:rPr>
                <w:sz w:val="4"/>
                <w:szCs w:val="4"/>
              </w:rPr>
            </w:pPr>
            <w:r>
              <w:rPr>
                <w:sz w:val="4"/>
                <w:szCs w:val="4"/>
              </w:rPr>
            </w:r>
          </w:p>
        </w:tc>
      </w:tr>
      <w:tr>
        <w:trPr/>
        <w:tc>
          <w:tcPr>
            <w:tcW w:w="4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Financial Liabilities</w:t>
            </w:r>
          </w:p>
        </w:tc>
        <w:tc>
          <w:tcPr>
            <w:tcW w:w="8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4"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40" w:type="dxa"/>
            <w:gridSpan w:val="3"/>
            <w:tcBorders/>
            <w:vAlign w:val="center"/>
          </w:tcPr>
          <w:p>
            <w:pPr>
              <w:pStyle w:val="TableContents"/>
              <w:bidi w:val="0"/>
              <w:spacing w:before="0" w:after="283"/>
              <w:jc w:val="left"/>
              <w:rPr>
                <w:sz w:val="4"/>
                <w:szCs w:val="4"/>
              </w:rPr>
            </w:pPr>
            <w:r>
              <w:rPr>
                <w:sz w:val="4"/>
                <w:szCs w:val="4"/>
              </w:rPr>
            </w:r>
          </w:p>
        </w:tc>
      </w:tr>
      <w:tr>
        <w:trPr/>
        <w:tc>
          <w:tcPr>
            <w:tcW w:w="4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 for acquisition earn outs</w:t>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9,387 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Financial Liabilities</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9,387 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9,387 </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Fair Value Measurements using inputs considered 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Fair Value at May 31, 2023</w:t>
            </w:r>
          </w:p>
        </w:tc>
      </w:tr>
      <w:tr>
        <w:trPr/>
        <w:tc>
          <w:tcPr>
            <w:tcW w:w="41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8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Level 1</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Level 2</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4"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40" w:type="dxa"/>
            <w:gridSpan w:val="3"/>
            <w:tcBorders/>
            <w:vAlign w:val="center"/>
          </w:tcPr>
          <w:p>
            <w:pPr>
              <w:pStyle w:val="TableContents"/>
              <w:bidi w:val="0"/>
              <w:spacing w:before="0" w:after="283"/>
              <w:jc w:val="left"/>
              <w:rPr>
                <w:sz w:val="4"/>
                <w:szCs w:val="4"/>
              </w:rPr>
            </w:pPr>
            <w:r>
              <w:rPr>
                <w:sz w:val="4"/>
                <w:szCs w:val="4"/>
              </w:rPr>
            </w:r>
          </w:p>
        </w:tc>
      </w:tr>
      <w:tr>
        <w:trPr/>
        <w:tc>
          <w:tcPr>
            <w:tcW w:w="4104"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40" w:type="dxa"/>
            <w:gridSpan w:val="3"/>
            <w:tcBorders/>
            <w:vAlign w:val="center"/>
          </w:tcPr>
          <w:p>
            <w:pPr>
              <w:pStyle w:val="TableContents"/>
              <w:bidi w:val="0"/>
              <w:spacing w:before="0" w:after="283"/>
              <w:jc w:val="left"/>
              <w:rPr>
                <w:sz w:val="4"/>
                <w:szCs w:val="4"/>
              </w:rPr>
            </w:pPr>
            <w:r>
              <w:rPr>
                <w:sz w:val="4"/>
                <w:szCs w:val="4"/>
              </w:rPr>
            </w:r>
          </w:p>
        </w:tc>
      </w:tr>
      <w:tr>
        <w:trPr/>
        <w:tc>
          <w:tcPr>
            <w:tcW w:w="4104"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40" w:type="dxa"/>
            <w:gridSpan w:val="3"/>
            <w:tcBorders/>
            <w:vAlign w:val="center"/>
          </w:tcPr>
          <w:p>
            <w:pPr>
              <w:pStyle w:val="TableContents"/>
              <w:bidi w:val="0"/>
              <w:spacing w:before="0" w:after="283"/>
              <w:jc w:val="left"/>
              <w:rPr>
                <w:sz w:val="4"/>
                <w:szCs w:val="4"/>
              </w:rPr>
            </w:pPr>
            <w:r>
              <w:rPr>
                <w:sz w:val="4"/>
                <w:szCs w:val="4"/>
              </w:rPr>
            </w:r>
          </w:p>
        </w:tc>
      </w:tr>
      <w:tr>
        <w:trPr/>
        <w:tc>
          <w:tcPr>
            <w:tcW w:w="4104"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40" w:type="dxa"/>
            <w:gridSpan w:val="3"/>
            <w:tcBorders/>
            <w:vAlign w:val="center"/>
          </w:tcPr>
          <w:p>
            <w:pPr>
              <w:pStyle w:val="TableContents"/>
              <w:bidi w:val="0"/>
              <w:spacing w:before="0" w:after="283"/>
              <w:jc w:val="left"/>
              <w:rPr>
                <w:sz w:val="4"/>
                <w:szCs w:val="4"/>
              </w:rPr>
            </w:pPr>
            <w:r>
              <w:rPr>
                <w:sz w:val="4"/>
                <w:szCs w:val="4"/>
              </w:rPr>
            </w:r>
          </w:p>
        </w:tc>
      </w:tr>
      <w:tr>
        <w:trPr/>
        <w:tc>
          <w:tcPr>
            <w:tcW w:w="4104"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40" w:type="dxa"/>
            <w:gridSpan w:val="3"/>
            <w:tcBorders/>
            <w:vAlign w:val="center"/>
          </w:tcPr>
          <w:p>
            <w:pPr>
              <w:pStyle w:val="TableContents"/>
              <w:bidi w:val="0"/>
              <w:spacing w:before="0" w:after="283"/>
              <w:jc w:val="left"/>
              <w:rPr>
                <w:sz w:val="4"/>
                <w:szCs w:val="4"/>
              </w:rPr>
            </w:pPr>
            <w:r>
              <w:rPr>
                <w:sz w:val="4"/>
                <w:szCs w:val="4"/>
              </w:rPr>
            </w:r>
          </w:p>
        </w:tc>
      </w:tr>
      <w:tr>
        <w:trPr/>
        <w:tc>
          <w:tcPr>
            <w:tcW w:w="4104"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40" w:type="dxa"/>
            <w:gridSpan w:val="3"/>
            <w:tcBorders/>
            <w:vAlign w:val="center"/>
          </w:tcPr>
          <w:p>
            <w:pPr>
              <w:pStyle w:val="TableContents"/>
              <w:bidi w:val="0"/>
              <w:spacing w:before="0" w:after="283"/>
              <w:jc w:val="left"/>
              <w:rPr>
                <w:sz w:val="4"/>
                <w:szCs w:val="4"/>
              </w:rPr>
            </w:pPr>
            <w:r>
              <w:rPr>
                <w:sz w:val="4"/>
                <w:szCs w:val="4"/>
              </w:rPr>
            </w:r>
          </w:p>
        </w:tc>
      </w:tr>
      <w:tr>
        <w:trPr/>
        <w:tc>
          <w:tcPr>
            <w:tcW w:w="4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Financial Liabilities</w:t>
            </w:r>
          </w:p>
        </w:tc>
        <w:tc>
          <w:tcPr>
            <w:tcW w:w="8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4"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40" w:type="dxa"/>
            <w:gridSpan w:val="3"/>
            <w:tcBorders/>
            <w:vAlign w:val="center"/>
          </w:tcPr>
          <w:p>
            <w:pPr>
              <w:pStyle w:val="TableContents"/>
              <w:bidi w:val="0"/>
              <w:spacing w:before="0" w:after="283"/>
              <w:jc w:val="left"/>
              <w:rPr>
                <w:sz w:val="4"/>
                <w:szCs w:val="4"/>
              </w:rPr>
            </w:pPr>
            <w:r>
              <w:rPr>
                <w:sz w:val="4"/>
                <w:szCs w:val="4"/>
              </w:rPr>
            </w:r>
          </w:p>
        </w:tc>
      </w:tr>
      <w:tr>
        <w:trPr/>
        <w:tc>
          <w:tcPr>
            <w:tcW w:w="41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 for acquisition earn outs</w:t>
            </w:r>
          </w:p>
        </w:tc>
        <w:tc>
          <w:tcPr>
            <w:tcW w:w="25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3"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3"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19,296 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5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19,296 </w:t>
            </w:r>
          </w:p>
        </w:tc>
        <w:tc>
          <w:tcPr>
            <w:tcW w:w="2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Financial Liabilities</w:t>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19,296 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19,296 </w:t>
            </w:r>
          </w:p>
        </w:tc>
        <w:tc>
          <w:tcPr>
            <w:tcW w:w="2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There were no transfers between Level 1, 2 and 3 for the three and six months ended November 30, 2023 and 2022.</w:t>
      </w:r>
    </w:p>
    <w:p>
      <w:pPr>
        <w:pStyle w:val="TextBody"/>
        <w:bidi w:val="0"/>
        <w:spacing w:lineRule="auto" w:line="288" w:before="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table below presents the changes in fair value components of Level 3 instruments:</w:t>
      </w:r>
    </w:p>
    <w:tbl>
      <w:tblPr>
        <w:tblW w:w="9913" w:type="dxa"/>
        <w:jc w:val="left"/>
        <w:tblInd w:w="0" w:type="dxa"/>
        <w:tblLayout w:type="fixed"/>
        <w:tblCellMar>
          <w:top w:w="28" w:type="dxa"/>
          <w:left w:w="28" w:type="dxa"/>
          <w:bottom w:w="28" w:type="dxa"/>
          <w:right w:w="28" w:type="dxa"/>
        </w:tblCellMar>
      </w:tblPr>
      <w:tblGrid>
        <w:gridCol w:w="1665"/>
        <w:gridCol w:w="1460"/>
        <w:gridCol w:w="1464"/>
        <w:gridCol w:w="1145"/>
        <w:gridCol w:w="3344"/>
        <w:gridCol w:w="835"/>
      </w:tblGrid>
      <w:tr>
        <w:trPr/>
        <w:tc>
          <w:tcPr>
            <w:tcW w:w="1665"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1464"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3344"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r>
      <w:tr>
        <w:trPr/>
        <w:tc>
          <w:tcPr>
            <w:tcW w:w="4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Three Months Ended Nov 30, 2023</w:t>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53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Fair Value Measurements Using Significant Unobservable Inputs (Level 3)</w:t>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August 31, 2023</w:t>
            </w:r>
          </w:p>
        </w:tc>
        <w:tc>
          <w:tcPr>
            <w:tcW w:w="11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3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9,167 </w:t>
            </w:r>
          </w:p>
        </w:tc>
        <w:tc>
          <w:tcPr>
            <w:tcW w:w="8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vAlign w:val="center"/>
          </w:tcPr>
          <w:p>
            <w:pPr>
              <w:pStyle w:val="TableContents"/>
              <w:bidi w:val="0"/>
              <w:spacing w:before="0" w:after="283"/>
              <w:jc w:val="left"/>
              <w:rPr>
                <w:sz w:val="4"/>
                <w:szCs w:val="4"/>
              </w:rPr>
            </w:pPr>
            <w:r>
              <w:rPr>
                <w:sz w:val="4"/>
                <w:szCs w:val="4"/>
              </w:rPr>
            </w:r>
          </w:p>
        </w:tc>
        <w:tc>
          <w:tcPr>
            <w:tcW w:w="5324" w:type="dxa"/>
            <w:gridSpan w:val="3"/>
            <w:tcBorders/>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Change in present value of contingent consideration </w:t>
            </w:r>
            <w:r>
              <w:rPr>
                <w:rFonts w:ascii="Times New Roman;sans-serif" w:hAnsi="Times New Roman;sans-serif"/>
                <w:b w:val="false"/>
                <w:color w:val="000000"/>
                <w:sz w:val="13"/>
              </w:rPr>
              <w:t>(1)</w:t>
            </w:r>
          </w:p>
        </w:tc>
        <w:tc>
          <w:tcPr>
            <w:tcW w:w="4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Currency gain from remeasurement</w:t>
            </w:r>
          </w:p>
        </w:tc>
        <w:tc>
          <w:tcPr>
            <w:tcW w:w="44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8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 payment</w:t>
            </w:r>
          </w:p>
        </w:tc>
        <w:tc>
          <w:tcPr>
            <w:tcW w:w="4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November 30, 2023</w:t>
            </w:r>
          </w:p>
        </w:tc>
        <w:tc>
          <w:tcPr>
            <w:tcW w:w="1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3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9,387 </w:t>
            </w:r>
          </w:p>
        </w:tc>
        <w:tc>
          <w:tcPr>
            <w:tcW w:w="8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913" w:type="dxa"/>
        <w:jc w:val="left"/>
        <w:tblInd w:w="0" w:type="dxa"/>
        <w:tblLayout w:type="fixed"/>
        <w:tblCellMar>
          <w:top w:w="28" w:type="dxa"/>
          <w:left w:w="28" w:type="dxa"/>
          <w:bottom w:w="28" w:type="dxa"/>
          <w:right w:w="28" w:type="dxa"/>
        </w:tblCellMar>
      </w:tblPr>
      <w:tblGrid>
        <w:gridCol w:w="1663"/>
        <w:gridCol w:w="1462"/>
        <w:gridCol w:w="1464"/>
        <w:gridCol w:w="1035"/>
        <w:gridCol w:w="3536"/>
        <w:gridCol w:w="753"/>
      </w:tblGrid>
      <w:tr>
        <w:trPr/>
        <w:tc>
          <w:tcPr>
            <w:tcW w:w="1663"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1464"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3536"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r>
      <w:tr>
        <w:trPr/>
        <w:tc>
          <w:tcPr>
            <w:tcW w:w="4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Six Months Ended Nov 30, 2023</w:t>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53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Fair Value Measurements Using Significant Unobservable Inputs (Level 3)</w:t>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May 31, 2023</w:t>
            </w:r>
          </w:p>
        </w:tc>
        <w:tc>
          <w:tcPr>
            <w:tcW w:w="10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19,296 </w:t>
            </w:r>
          </w:p>
        </w:tc>
        <w:tc>
          <w:tcPr>
            <w:tcW w:w="7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vAlign w:val="center"/>
          </w:tcPr>
          <w:p>
            <w:pPr>
              <w:pStyle w:val="TableContents"/>
              <w:bidi w:val="0"/>
              <w:spacing w:before="0" w:after="283"/>
              <w:jc w:val="left"/>
              <w:rPr>
                <w:sz w:val="4"/>
                <w:szCs w:val="4"/>
              </w:rPr>
            </w:pPr>
            <w:r>
              <w:rPr>
                <w:sz w:val="4"/>
                <w:szCs w:val="4"/>
              </w:rPr>
            </w:r>
          </w:p>
        </w:tc>
        <w:tc>
          <w:tcPr>
            <w:tcW w:w="5324" w:type="dxa"/>
            <w:gridSpan w:val="3"/>
            <w:tcBorders/>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Change in present value of contingent consideration </w:t>
            </w:r>
            <w:r>
              <w:rPr>
                <w:rFonts w:ascii="Times New Roman;sans-serif" w:hAnsi="Times New Roman;sans-serif"/>
                <w:b w:val="false"/>
                <w:color w:val="000000"/>
                <w:sz w:val="13"/>
              </w:rPr>
              <w:t>(1)</w:t>
            </w:r>
          </w:p>
        </w:tc>
        <w:tc>
          <w:tcPr>
            <w:tcW w:w="4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Currency gain from remeasurement</w:t>
            </w:r>
          </w:p>
        </w:tc>
        <w:tc>
          <w:tcPr>
            <w:tcW w:w="4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 payment</w:t>
            </w:r>
          </w:p>
        </w:tc>
        <w:tc>
          <w:tcPr>
            <w:tcW w:w="4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November 30, 2023</w:t>
            </w:r>
          </w:p>
        </w:tc>
        <w:tc>
          <w:tcPr>
            <w:tcW w:w="10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9,387 </w:t>
            </w:r>
          </w:p>
        </w:tc>
        <w:tc>
          <w:tcPr>
            <w:tcW w:w="7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pPr>
      <w:r>
        <w:rPr>
          <w:rFonts w:ascii="Times New Roman;sans-serif" w:hAnsi="Times New Roman;sans-serif"/>
          <w:b w:val="false"/>
          <w:color w:val="000000"/>
          <w:sz w:val="18"/>
        </w:rPr>
        <w:t>(1) Change in the fair value of contingent consideration is included in earnings and comprised of changes in estimated earn out payments based on projections of Company performance and amortization of the present value discount.</w:t>
      </w:r>
      <w:r>
        <w:rPr>
          <w:color w:val="000000"/>
        </w:rPr>
        <w:t xml:space="preserve"> </w:t>
      </w:r>
    </w:p>
    <w:p>
      <w:pPr>
        <w:pStyle w:val="TextBody"/>
        <w:bidi w:val="0"/>
        <w:spacing w:lineRule="auto" w:line="288" w:before="0" w:after="180"/>
        <w:ind w:left="0" w:right="0" w:firstLine="450"/>
        <w:jc w:val="left"/>
        <w:rPr>
          <w:rFonts w:ascii="Times New Roman;sans-serif" w:hAnsi="Times New Roman;sans-serif"/>
          <w:b/>
          <w:color w:val="000000"/>
          <w:sz w:val="20"/>
        </w:rPr>
      </w:pPr>
      <w:r>
        <w:rPr>
          <w:rFonts w:ascii="Times New Roman;sans-serif" w:hAnsi="Times New Roman;sans-serif"/>
          <w:b/>
          <w:color w:val="000000"/>
          <w:sz w:val="20"/>
        </w:rPr>
        <w:t>Contingent Liability for Acquisition Earn Outs</w:t>
      </w:r>
    </w:p>
    <w:p>
      <w:pPr>
        <w:pStyle w:val="TextBody"/>
        <w:bidi w:val="0"/>
        <w:spacing w:lineRule="auto" w:line="288" w:before="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Some of the Company's business combinations involve the potential for the payment of future contingent consideration upon the achievement of certain product development milestones or various other performance conditions. Payment of the additional consideration is generally contingent on the acquired company reaching certain performance milestones, including attaining specified revenue levels or product development targets. Contingent consideration is recorded at the estimated fair value of the contingent payments on the acquisition date. The fair value of the contingent consideration is remeasured at the estimated fair value at each reporting period with the change in fair value recognized as income or expense within change in fair value of contingent consideration in the Consolidated Statements of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5f685e1e555b4b8b85d119fc12b2b16d_7">
        <w:r>
          <w:rPr>
            <w:rStyle w:val="InternetLink"/>
            <w:rFonts w:ascii="Times New Roman;sans-serif" w:hAnsi="Times New Roman;sans-serif"/>
            <w:b w:val="false"/>
            <w:color w:val="0000FF"/>
            <w:sz w:val="16"/>
            <w:u w:val="single"/>
          </w:rPr>
          <w:t>Table of Content</w:t>
        </w:r>
      </w:hyperlink>
    </w:p>
    <w:p>
      <w:pPr>
        <w:pStyle w:val="TextBody"/>
        <w:bidi w:val="0"/>
        <w:spacing w:lineRule="auto" w:line="288" w:before="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measures the initial liability and remeasures the liability on a recurring basis using Level 3 inputs as defined under authoritative guidance for fair value measurements, which is determined using a discounted cash flow model applied to projected net sales, using probabilities of achieving projected net sales and projected payment dates. Projected net sales are based on internal projections and extensive analysis of the target market and the sales potential. Increases or decreases in any valuation inputs in isolation may result in a significantly lower or higher fair value measurement in the future. </w:t>
      </w:r>
    </w:p>
    <w:p>
      <w:pPr>
        <w:pStyle w:val="TextBody"/>
        <w:bidi w:val="0"/>
        <w:spacing w:lineRule="auto" w:line="288" w:before="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recurring Level 3 fair value measurements of the contingent consideration liabilities include the following significant unobservable inputs as of November 30, 2023:</w:t>
      </w:r>
    </w:p>
    <w:tbl>
      <w:tblPr>
        <w:tblW w:w="9789" w:type="dxa"/>
        <w:jc w:val="left"/>
        <w:tblInd w:w="0" w:type="dxa"/>
        <w:tblLayout w:type="fixed"/>
        <w:tblCellMar>
          <w:top w:w="28" w:type="dxa"/>
          <w:left w:w="28" w:type="dxa"/>
          <w:bottom w:w="28" w:type="dxa"/>
          <w:right w:w="28" w:type="dxa"/>
        </w:tblCellMar>
      </w:tblPr>
      <w:tblGrid>
        <w:gridCol w:w="788"/>
        <w:gridCol w:w="692"/>
        <w:gridCol w:w="694"/>
        <w:gridCol w:w="211"/>
        <w:gridCol w:w="616"/>
        <w:gridCol w:w="109"/>
        <w:gridCol w:w="109"/>
        <w:gridCol w:w="109"/>
        <w:gridCol w:w="109"/>
        <w:gridCol w:w="614"/>
        <w:gridCol w:w="614"/>
        <w:gridCol w:w="616"/>
        <w:gridCol w:w="109"/>
        <w:gridCol w:w="109"/>
        <w:gridCol w:w="109"/>
        <w:gridCol w:w="898"/>
        <w:gridCol w:w="898"/>
        <w:gridCol w:w="903"/>
        <w:gridCol w:w="109"/>
        <w:gridCol w:w="109"/>
        <w:gridCol w:w="109"/>
        <w:gridCol w:w="337"/>
        <w:gridCol w:w="337"/>
        <w:gridCol w:w="481"/>
      </w:tblGrid>
      <w:tr>
        <w:trPr/>
        <w:tc>
          <w:tcPr>
            <w:tcW w:w="788"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Valuation Technique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Unobservable Input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Range</w:t>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based payments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Discounted cash flow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c>
      </w:tr>
      <w:tr>
        <w:trPr/>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Probability of payment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 - 100%</w:t>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Projected fiscal year of payment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2024 - 2025</w:t>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At November 30, 2023, the amount of undiscounted future contingent consideration that the Company expects to pay as a result of all completed acquisitions is approximately $10.0 million. The milestones, including revenue projections and technical milestones associated with the contingent consideration, must be reached in future periods ranging from fiscal years 2024 to 2029 in order for the associated consideration to be paid. </w:t>
      </w:r>
    </w:p>
    <w:p>
      <w:pPr>
        <w:pStyle w:val="TextBody"/>
        <w:bidi w:val="0"/>
        <w:spacing w:before="0" w:after="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13. LEASES</w:t>
      </w:r>
    </w:p>
    <w:p>
      <w:pPr>
        <w:pStyle w:val="TextBody"/>
        <w:bidi w:val="0"/>
        <w:spacing w:lineRule="auto" w:line="288" w:before="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determines if an arrangement is a lease at inception of the contract. The Company has operating leases for buildings, primarily for office space, R&amp;D, manufacturing and warehousing.</w:t>
      </w:r>
    </w:p>
    <w:p>
      <w:pPr>
        <w:pStyle w:val="TextBody"/>
        <w:bidi w:val="0"/>
        <w:spacing w:lineRule="auto" w:line="288" w:before="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(“ROU”) assets and operating lease liabilities are recognized based on the present value of the future minimum lease payments over the lease term at commencement date. Many of the lease agreements contain renewal or termination clauses that are factored into the determination of the lease term if it is reasonably certain that these options would be exercised. The Company recognizes lease expense for these leases on a straight-line basis over the lease term.</w:t>
      </w:r>
    </w:p>
    <w:p>
      <w:pPr>
        <w:pStyle w:val="TextBody"/>
        <w:bidi w:val="0"/>
        <w:spacing w:lineRule="auto" w:line="288" w:before="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supplemental balance sheet information related to leases:</w:t>
      </w:r>
    </w:p>
    <w:tbl>
      <w:tblPr>
        <w:tblW w:w="8287" w:type="dxa"/>
        <w:jc w:val="left"/>
        <w:tblInd w:w="0" w:type="dxa"/>
        <w:tblLayout w:type="fixed"/>
        <w:tblCellMar>
          <w:top w:w="28" w:type="dxa"/>
          <w:left w:w="28" w:type="dxa"/>
          <w:bottom w:w="28" w:type="dxa"/>
          <w:right w:w="28" w:type="dxa"/>
        </w:tblCellMar>
      </w:tblPr>
      <w:tblGrid>
        <w:gridCol w:w="1158"/>
        <w:gridCol w:w="1017"/>
        <w:gridCol w:w="1020"/>
        <w:gridCol w:w="739"/>
        <w:gridCol w:w="739"/>
        <w:gridCol w:w="741"/>
        <w:gridCol w:w="109"/>
        <w:gridCol w:w="109"/>
        <w:gridCol w:w="109"/>
        <w:gridCol w:w="243"/>
        <w:gridCol w:w="711"/>
        <w:gridCol w:w="125"/>
        <w:gridCol w:w="109"/>
        <w:gridCol w:w="109"/>
        <w:gridCol w:w="109"/>
        <w:gridCol w:w="245"/>
        <w:gridCol w:w="716"/>
        <w:gridCol w:w="179"/>
      </w:tblGrid>
      <w:tr>
        <w:trPr/>
        <w:tc>
          <w:tcPr>
            <w:tcW w:w="1158"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2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Balance Sheet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Nov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May 31, 2023</w:t>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22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ROU asset</w:t>
            </w:r>
          </w:p>
        </w:tc>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5,113 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22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operating lease liabilities</w:t>
            </w:r>
          </w:p>
        </w:tc>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1,922 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operating lease liabilities</w:t>
            </w:r>
          </w:p>
        </w:tc>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2,568 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3,316 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liabilities</w:t>
            </w:r>
          </w:p>
        </w:tc>
        <w:tc>
          <w:tcPr>
            <w:tcW w:w="22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4,220 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5,238 </w:t>
            </w:r>
          </w:p>
        </w:tc>
        <w:tc>
          <w:tcPr>
            <w:tcW w:w="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interest rate implicit in lease agreements is typically not readily determinable, and as such the Company used the incremental borrowing rate based on the information available at commencement date in determining the present value of future payments. The incremental borrowing rate is defined as the interest the Company would pay to borrow on a collateralized basis, considering factors such as length of lease term. The following table presents the weighted average remaining lease term and discount rate:</w:t>
      </w:r>
    </w:p>
    <w:tbl>
      <w:tblPr>
        <w:tblW w:w="4783" w:type="dxa"/>
        <w:jc w:val="left"/>
        <w:tblInd w:w="0" w:type="dxa"/>
        <w:tblLayout w:type="fixed"/>
        <w:tblCellMar>
          <w:top w:w="28" w:type="dxa"/>
          <w:left w:w="28" w:type="dxa"/>
          <w:bottom w:w="28" w:type="dxa"/>
          <w:right w:w="28" w:type="dxa"/>
        </w:tblCellMar>
      </w:tblPr>
      <w:tblGrid>
        <w:gridCol w:w="1323"/>
        <w:gridCol w:w="1164"/>
        <w:gridCol w:w="1172"/>
        <w:gridCol w:w="229"/>
        <w:gridCol w:w="229"/>
        <w:gridCol w:w="666"/>
      </w:tblGrid>
      <w:tr>
        <w:trPr/>
        <w:tc>
          <w:tcPr>
            <w:tcW w:w="1323"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Nov 30, 2023</w:t>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remaining term (in years)</w:t>
            </w:r>
          </w:p>
        </w:tc>
        <w:tc>
          <w:tcPr>
            <w:tcW w:w="11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w:t>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discount rate</w:t>
            </w:r>
          </w:p>
        </w:tc>
        <w:tc>
          <w:tcPr>
            <w:tcW w:w="4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6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5f685e1e555b4b8b85d119fc12b2b16d_7">
        <w:r>
          <w:rPr>
            <w:rStyle w:val="InternetLink"/>
            <w:rFonts w:ascii="Times New Roman;sans-serif" w:hAnsi="Times New Roman;sans-serif"/>
            <w:b w:val="false"/>
            <w:color w:val="0000FF"/>
            <w:sz w:val="16"/>
            <w:u w:val="single"/>
          </w:rPr>
          <w:t>Table of Content</w:t>
        </w:r>
      </w:hyperlink>
    </w:p>
    <w:p>
      <w:pPr>
        <w:pStyle w:val="TextBody"/>
        <w:bidi w:val="0"/>
        <w:spacing w:lineRule="auto" w:line="288" w:before="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maturities of the lease liabilities for each of the following fiscal years is:</w:t>
      </w:r>
    </w:p>
    <w:tbl>
      <w:tblPr>
        <w:tblW w:w="4605" w:type="dxa"/>
        <w:jc w:val="left"/>
        <w:tblInd w:w="0" w:type="dxa"/>
        <w:tblLayout w:type="fixed"/>
        <w:tblCellMar>
          <w:top w:w="28" w:type="dxa"/>
          <w:left w:w="28" w:type="dxa"/>
          <w:bottom w:w="28" w:type="dxa"/>
          <w:right w:w="28" w:type="dxa"/>
        </w:tblCellMar>
      </w:tblPr>
      <w:tblGrid>
        <w:gridCol w:w="1260"/>
        <w:gridCol w:w="1109"/>
        <w:gridCol w:w="1111"/>
        <w:gridCol w:w="242"/>
        <w:gridCol w:w="707"/>
        <w:gridCol w:w="176"/>
      </w:tblGrid>
      <w:tr>
        <w:trPr/>
        <w:tc>
          <w:tcPr>
            <w:tcW w:w="1260"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Nov 30, 2023</w:t>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Remainder of 2024</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992 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1,356 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 and thereafter</w:t>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payments</w:t>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4,506 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obligations</w:t>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4,220 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portion of lease obligations</w:t>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lease obligations</w:t>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2,568 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November 30, 2023 and 2022, the Company recognized $0.6 million and $0.7 million of operating lease expense, respectively, which includes immaterial short-term leases. During the six months ended November 30, 2023 and 2022, the Company recognized $1.3 million and $1.4 million of operating lease expense, respectively, which includes immaterial short-term leases. The expenses on the Consolidated Statement of Operations were classified as follows:</w:t>
      </w:r>
    </w:p>
    <w:tbl>
      <w:tblPr>
        <w:tblW w:w="7652" w:type="dxa"/>
        <w:jc w:val="left"/>
        <w:tblInd w:w="0" w:type="dxa"/>
        <w:tblLayout w:type="fixed"/>
        <w:tblCellMar>
          <w:top w:w="28" w:type="dxa"/>
          <w:left w:w="28" w:type="dxa"/>
          <w:bottom w:w="28" w:type="dxa"/>
          <w:right w:w="28" w:type="dxa"/>
        </w:tblCellMar>
      </w:tblPr>
      <w:tblGrid>
        <w:gridCol w:w="835"/>
        <w:gridCol w:w="734"/>
        <w:gridCol w:w="740"/>
        <w:gridCol w:w="290"/>
        <w:gridCol w:w="640"/>
        <w:gridCol w:w="149"/>
        <w:gridCol w:w="109"/>
        <w:gridCol w:w="109"/>
        <w:gridCol w:w="109"/>
        <w:gridCol w:w="290"/>
        <w:gridCol w:w="640"/>
        <w:gridCol w:w="149"/>
        <w:gridCol w:w="109"/>
        <w:gridCol w:w="109"/>
        <w:gridCol w:w="109"/>
        <w:gridCol w:w="243"/>
        <w:gridCol w:w="711"/>
        <w:gridCol w:w="125"/>
        <w:gridCol w:w="109"/>
        <w:gridCol w:w="109"/>
        <w:gridCol w:w="109"/>
        <w:gridCol w:w="242"/>
        <w:gridCol w:w="707"/>
        <w:gridCol w:w="176"/>
      </w:tblGrid>
      <w:tr>
        <w:trPr/>
        <w:tc>
          <w:tcPr>
            <w:tcW w:w="835"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1"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Six Months Ended</w:t>
            </w:r>
          </w:p>
        </w:tc>
      </w:tr>
      <w:tr>
        <w:trPr/>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10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Nov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Nov 30,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Nov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Nov 30, 2022</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w:t>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627 </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680 </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1,254 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1,350 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supplemental cash flow and other information related to leases:</w:t>
      </w:r>
    </w:p>
    <w:tbl>
      <w:tblPr>
        <w:tblW w:w="8336" w:type="dxa"/>
        <w:jc w:val="left"/>
        <w:tblInd w:w="0" w:type="dxa"/>
        <w:tblLayout w:type="fixed"/>
        <w:tblCellMar>
          <w:top w:w="28" w:type="dxa"/>
          <w:left w:w="28" w:type="dxa"/>
          <w:bottom w:w="28" w:type="dxa"/>
          <w:right w:w="28" w:type="dxa"/>
        </w:tblCellMar>
      </w:tblPr>
      <w:tblGrid>
        <w:gridCol w:w="2100"/>
        <w:gridCol w:w="1845"/>
        <w:gridCol w:w="1860"/>
        <w:gridCol w:w="243"/>
        <w:gridCol w:w="711"/>
        <w:gridCol w:w="125"/>
        <w:gridCol w:w="109"/>
        <w:gridCol w:w="109"/>
        <w:gridCol w:w="109"/>
        <w:gridCol w:w="242"/>
        <w:gridCol w:w="707"/>
        <w:gridCol w:w="176"/>
      </w:tblGrid>
      <w:tr>
        <w:trPr/>
        <w:tc>
          <w:tcPr>
            <w:tcW w:w="2100" w:type="dxa"/>
            <w:tcBorders/>
            <w:vAlign w:val="center"/>
          </w:tcPr>
          <w:p>
            <w:pPr>
              <w:pStyle w:val="TableContents"/>
              <w:bidi w:val="0"/>
              <w:spacing w:before="0" w:after="283"/>
              <w:jc w:val="left"/>
              <w:rPr>
                <w:sz w:val="4"/>
                <w:szCs w:val="4"/>
              </w:rPr>
            </w:pPr>
            <w:r>
              <w:rPr>
                <w:sz w:val="4"/>
                <w:szCs w:val="4"/>
              </w:rPr>
            </w:r>
          </w:p>
        </w:tc>
        <w:tc>
          <w:tcPr>
            <w:tcW w:w="1845" w:type="dxa"/>
            <w:tcBorders/>
            <w:vAlign w:val="center"/>
          </w:tcPr>
          <w:p>
            <w:pPr>
              <w:pStyle w:val="TableContents"/>
              <w:bidi w:val="0"/>
              <w:spacing w:before="0" w:after="283"/>
              <w:jc w:val="left"/>
              <w:rPr>
                <w:sz w:val="4"/>
                <w:szCs w:val="4"/>
              </w:rPr>
            </w:pPr>
            <w:r>
              <w:rPr>
                <w:sz w:val="4"/>
                <w:szCs w:val="4"/>
              </w:rPr>
            </w:r>
          </w:p>
        </w:tc>
        <w:tc>
          <w:tcPr>
            <w:tcW w:w="1860"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Six Months Ended</w:t>
            </w:r>
          </w:p>
        </w:tc>
      </w:tr>
      <w:tr>
        <w:trPr/>
        <w:tc>
          <w:tcPr>
            <w:tcW w:w="5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10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Nov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Nov 30, 2022</w:t>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amounts included in the measurement of lease liabilities</w:t>
            </w:r>
          </w:p>
        </w:tc>
        <w:tc>
          <w:tcPr>
            <w:tcW w:w="10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flows from operating leases</w:t>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ROU assets obtained in exchange for lease liabilities</w:t>
            </w:r>
          </w:p>
        </w:tc>
        <w:tc>
          <w:tcPr>
            <w:tcW w:w="10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
        <w:jc w:val="left"/>
        <w:rPr>
          <w:rFonts w:ascii="Times New Roman;sans-serif" w:hAnsi="Times New Roman;sans-serif"/>
          <w:b/>
          <w:color w:val="000000"/>
          <w:sz w:val="20"/>
        </w:rPr>
      </w:pPr>
      <w:r>
        <w:rPr>
          <w:rFonts w:ascii="Times New Roman;sans-serif" w:hAnsi="Times New Roman;sans-serif"/>
          <w:b/>
          <w:color w:val="000000"/>
          <w:sz w:val="20"/>
        </w:rPr>
        <w:t>14. COMMITMENTS AND CONTINGENCIES</w:t>
      </w:r>
    </w:p>
    <w:p>
      <w:pPr>
        <w:pStyle w:val="TextBody"/>
        <w:bidi w:val="0"/>
        <w:spacing w:before="0" w:after="18"/>
        <w:jc w:val="left"/>
        <w:rPr/>
      </w:pPr>
      <w:r>
        <w:rPr/>
      </w:r>
    </w:p>
    <w:p>
      <w:pPr>
        <w:pStyle w:val="TextBody"/>
        <w:bidi w:val="0"/>
        <w:spacing w:lineRule="auto" w:line="288" w:before="0" w:after="18"/>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involved in various legal proceedings, including commercial, intellectual property, product liability, and regulatory matters of a nature considered normal for its business. The Company accrues for amounts related to these matters if it is probable that a liability has been incurred, and an amount can be reasonably estimated. The Company discloses such matters when there is at least a reasonable possibility that a material loss may have been incurred. However, the Company cannot predict the outcome of any litigation or the potential for future litigation.</w:t>
      </w:r>
    </w:p>
    <w:p>
      <w:pPr>
        <w:pStyle w:val="TextBody"/>
        <w:bidi w:val="0"/>
        <w:spacing w:before="0" w:after="18"/>
        <w:ind w:left="0" w:right="0" w:firstLine="450"/>
        <w:jc w:val="left"/>
        <w:rPr/>
      </w:pPr>
      <w:r>
        <w:rPr/>
      </w:r>
    </w:p>
    <w:p>
      <w:pPr>
        <w:pStyle w:val="TextBody"/>
        <w:bidi w:val="0"/>
        <w:spacing w:lineRule="auto" w:line="288" w:before="0" w:after="18"/>
        <w:jc w:val="left"/>
        <w:rPr>
          <w:rFonts w:ascii="Times New Roman;sans-serif" w:hAnsi="Times New Roman;sans-serif"/>
          <w:b/>
          <w:color w:val="000000"/>
          <w:sz w:val="20"/>
        </w:rPr>
      </w:pPr>
      <w:r>
        <w:rPr>
          <w:rFonts w:ascii="Times New Roman;sans-serif" w:hAnsi="Times New Roman;sans-serif"/>
          <w:b/>
          <w:color w:val="000000"/>
          <w:sz w:val="20"/>
        </w:rPr>
        <w:t>C.R. Bard, Inc. v. AngioDynamics, Inc.</w:t>
      </w:r>
    </w:p>
    <w:p>
      <w:pPr>
        <w:pStyle w:val="TextBody"/>
        <w:bidi w:val="0"/>
        <w:spacing w:before="0" w:after="18"/>
        <w:jc w:val="left"/>
        <w:rPr/>
      </w:pPr>
      <w:r>
        <w:rPr/>
      </w:r>
    </w:p>
    <w:p>
      <w:pPr>
        <w:pStyle w:val="TextBody"/>
        <w:bidi w:val="0"/>
        <w:spacing w:lineRule="auto" w:line="288" w:before="0" w:after="18"/>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January 11, 2012, C.R. Bard, Inc. (“Bard”) filed a suit in the United States District Court of Utah claiming certain of the Company's implantable port products infringe on three U.S. patents held by Bard (US Patent Nos. 7,785,302 ("302"), 7,959,615 (“615”) and 7,947,022 ("022")). The case was stayed pending reexamination in the US Patent and Trademark Office ("USPTO"). Following the reexamination proceedings, and the parties’ related appeals to the Federal Circuit which resulted in further proceedings at the USPTO, certain claims of the 615 patent were held invalid, while the remaining claims of the 615 patent and the other two patents were upheld over the prior art references considered in the reexamination proceedings. Thereafter, the case was transferred from the District of Utah to the United States District Court for the District of Delaware (“District of Delaware”). On July 22, 2021, in another case against a different defendant, the District of Utah invalidated multiple claims of the ‘302, ‘022, and ‘615 Patents under 35 USC §101, including claims asserted against the Company. On December 27, 2021, the District of Delaware stayed the case pending the Federal Circuit's resolution of Bard's appeal from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5f685e1e555b4b8b85d119fc12b2b16d_7">
        <w:r>
          <w:rPr>
            <w:rStyle w:val="InternetLink"/>
            <w:rFonts w:ascii="Times New Roman;sans-serif" w:hAnsi="Times New Roman;sans-serif"/>
            <w:b w:val="false"/>
            <w:color w:val="0000FF"/>
            <w:sz w:val="16"/>
            <w:u w:val="single"/>
          </w:rPr>
          <w:t>Table of Content</w:t>
        </w:r>
      </w:hyperlink>
    </w:p>
    <w:p>
      <w:pPr>
        <w:pStyle w:val="TextBody"/>
        <w:bidi w:val="0"/>
        <w:spacing w:lineRule="auto" w:line="288" w:before="0" w:after="18"/>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Utah Decision. On February 17, 2023, the Federal Circuit Reversed-in-Part, Vacated-in-Part, and Remanded the Utah Decision. The District of Delaware lifted the stay on February 28, 2023 and held a status conference on March 23, 2023. The parties each filed motions for summary judgement, and a jury trial is currently scheduled for April 29, 2024. The Company has not recorded an expense related to the outcome of this litigation because it is not yet possible to determine if a potential loss is probable nor reasonably estimable. </w:t>
      </w:r>
    </w:p>
    <w:p>
      <w:pPr>
        <w:pStyle w:val="TextBody"/>
        <w:bidi w:val="0"/>
        <w:spacing w:before="0" w:after="18"/>
        <w:ind w:left="0" w:right="0" w:firstLine="450"/>
        <w:jc w:val="left"/>
        <w:rPr/>
      </w:pPr>
      <w:r>
        <w:rPr/>
      </w:r>
    </w:p>
    <w:p>
      <w:pPr>
        <w:pStyle w:val="TextBody"/>
        <w:bidi w:val="0"/>
        <w:spacing w:lineRule="auto" w:line="288" w:before="0" w:after="18"/>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10, 2015, Bard and Bard Peripheral Vascular filed suit in the District of Delaware claiming certain of the Company's implantable port products infringe on three U.S. patents held by Bard (US Patent Nos. 8,475,417, 8,545,460, 8,805,478). The case proceeded through trial which began on March 4, 2019. At the close of Bard’s case, the Court granted the Company's oral motion for judgment as a matter of law as well as its motions for summary judgment on the grounds that the asserted patents are invalid, ineligible, not infringed and not willfully infringed. Bard appealed the judgment to the Federal Circuit and on November 10, 2020, the Federal Circuit reversed the judgment in part with respect to Section 101 (subject matter eligibility), and vacated and remanded the trial court’s invalidity and non-infringement judgments. Following remand from the Federal Circuit, a jury trial commenced in the District of Delaware beginning November 14, 2022. On November 22, 2022, a jury entered a verdict finding that certain of the Company’s implantable port products infringe certain claims of U.S. patents held by Bard. The issue of damages was bifurcated by the Court during trial, and was not determined by the jury. On June 1, 2023, following post-trial briefing, the Court issued its decision on the Company's Renewed Judgement as a Matter of Law. The Court held the asserted patent claims were invalid as anticipated, indefinite, ineligible and not willfully infringed. The Court entered Judgement the same day in favor of the Company. Bard has appealed to the Federal Circuit, where the Company has a brief in response to Bard's appeal brief due at the end of January 2024. The Company maintains its belief that Bard’s claims are without merit. The Company has not recorded an expense related to the outcome of this litigation because it is not yet possible to determine if a potential loss is probable nor reasonably estimable. </w:t>
      </w:r>
    </w:p>
    <w:p>
      <w:pPr>
        <w:pStyle w:val="TextBody"/>
        <w:bidi w:val="0"/>
        <w:spacing w:before="0" w:after="18"/>
        <w:ind w:left="0" w:right="0" w:firstLine="450"/>
        <w:jc w:val="left"/>
        <w:rPr/>
      </w:pPr>
      <w:r>
        <w:rPr/>
      </w:r>
    </w:p>
    <w:p>
      <w:pPr>
        <w:pStyle w:val="TextBody"/>
        <w:bidi w:val="0"/>
        <w:spacing w:lineRule="auto" w:line="288" w:before="0" w:after="18"/>
        <w:ind w:left="0" w:right="0" w:firstLine="450"/>
        <w:jc w:val="left"/>
        <w:rPr/>
      </w:pPr>
      <w:r>
        <w:rPr>
          <w:rFonts w:ascii="Times New Roman;sans-serif" w:hAnsi="Times New Roman;sans-serif"/>
          <w:b w:val="false"/>
          <w:color w:val="000000"/>
          <w:sz w:val="20"/>
        </w:rPr>
        <w:t xml:space="preserve">On March 8, 2021, Bard filed suit in the District of Delaware asserting certain of the Company’s port products (including certain related infusion sets) infringe U.S. Patent Nos. 8,025,639, 9,603,992 and 9,603,993. On December 27, 2021, the District of Delaware stayed the case pending the Federal Circuit's resolution of Bard's appeal of the Utah decision invalidating multiple claims of the ‘302, ‘022, and ‘615 patents under 35 USC §101. Following the Federal Circuit’s decision on appeal, the District of Delaware lifted the stay on February 28, 2023, and held a scheduling conference on March 23, 2023. A </w:t>
      </w:r>
      <w:r>
        <w:rPr>
          <w:rFonts w:ascii="Times New Roman;sans-serif" w:hAnsi="Times New Roman;sans-serif"/>
          <w:b w:val="false"/>
          <w:i/>
          <w:color w:val="000000"/>
          <w:sz w:val="20"/>
        </w:rPr>
        <w:t>Markman</w:t>
      </w:r>
      <w:r>
        <w:rPr>
          <w:color w:val="000000"/>
        </w:rPr>
        <w:t xml:space="preserve"> </w:t>
      </w:r>
      <w:r>
        <w:rPr>
          <w:rFonts w:ascii="Times New Roman;sans-serif" w:hAnsi="Times New Roman;sans-serif"/>
          <w:b w:val="false"/>
          <w:color w:val="000000"/>
          <w:sz w:val="20"/>
        </w:rPr>
        <w:t>hearing was held on December 18, 2023. A jury trial is currently scheduled for June 9, 2025. The Company maintains its belief that Bard's claims are without merit. The Company has not recorded an expense related to the outcome of this litigation because it is not yet possible to determine if a potential loss is probable nor reasonably estimable.</w:t>
      </w:r>
    </w:p>
    <w:p>
      <w:pPr>
        <w:pStyle w:val="TextBody"/>
        <w:bidi w:val="0"/>
        <w:spacing w:before="0" w:after="18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15. ACQUISITION, RESTRUCTURING, AND OTHER ITEMS, NET</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Acquisition, Restructuring and Other Items</w:t>
      </w:r>
    </w:p>
    <w:p>
      <w:pPr>
        <w:pStyle w:val="TextBody"/>
        <w:bidi w:val="0"/>
        <w:spacing w:lineRule="auto" w:line="288" w:before="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restructuring and other items, net, consisted of:</w:t>
      </w:r>
    </w:p>
    <w:tbl>
      <w:tblPr>
        <w:tblW w:w="8958" w:type="dxa"/>
        <w:jc w:val="left"/>
        <w:tblInd w:w="0" w:type="dxa"/>
        <w:tblLayout w:type="fixed"/>
        <w:tblCellMar>
          <w:top w:w="28" w:type="dxa"/>
          <w:left w:w="28" w:type="dxa"/>
          <w:bottom w:w="28" w:type="dxa"/>
          <w:right w:w="28" w:type="dxa"/>
        </w:tblCellMar>
      </w:tblPr>
      <w:tblGrid>
        <w:gridCol w:w="1308"/>
        <w:gridCol w:w="1148"/>
        <w:gridCol w:w="1159"/>
        <w:gridCol w:w="243"/>
        <w:gridCol w:w="711"/>
        <w:gridCol w:w="125"/>
        <w:gridCol w:w="109"/>
        <w:gridCol w:w="109"/>
        <w:gridCol w:w="109"/>
        <w:gridCol w:w="243"/>
        <w:gridCol w:w="711"/>
        <w:gridCol w:w="125"/>
        <w:gridCol w:w="109"/>
        <w:gridCol w:w="109"/>
        <w:gridCol w:w="109"/>
        <w:gridCol w:w="243"/>
        <w:gridCol w:w="711"/>
        <w:gridCol w:w="125"/>
        <w:gridCol w:w="109"/>
        <w:gridCol w:w="109"/>
        <w:gridCol w:w="109"/>
        <w:gridCol w:w="242"/>
        <w:gridCol w:w="707"/>
        <w:gridCol w:w="176"/>
      </w:tblGrid>
      <w:tr>
        <w:trPr/>
        <w:tc>
          <w:tcPr>
            <w:tcW w:w="1308"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Six Months Ended</w:t>
            </w:r>
          </w:p>
        </w:tc>
      </w:tr>
      <w:tr>
        <w:trPr/>
        <w:tc>
          <w:tcPr>
            <w:tcW w:w="3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10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Nov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Nov 30,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Nov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Nov 30, 2022</w:t>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Legal </w:t>
            </w:r>
            <w:r>
              <w:rPr>
                <w:rFonts w:ascii="Times New Roman;sans-serif" w:hAnsi="Times New Roman;sans-serif"/>
                <w:b w:val="false"/>
                <w:color w:val="000000"/>
                <w:sz w:val="13"/>
              </w:rPr>
              <w:t>(1)</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5,322 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2,422 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7,139 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4,285 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Mergers and acquisitions </w:t>
            </w:r>
            <w:r>
              <w:rPr>
                <w:rFonts w:ascii="Times New Roman;sans-serif" w:hAnsi="Times New Roman;sans-serif"/>
                <w:b w:val="false"/>
                <w:color w:val="000000"/>
                <w:sz w:val="13"/>
              </w:rPr>
              <w:t>(2)</w:t>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Manufacturing relocation </w:t>
            </w:r>
            <w:r>
              <w:rPr>
                <w:rFonts w:ascii="Times New Roman;sans-serif" w:hAnsi="Times New Roman;sans-serif"/>
                <w:b w:val="false"/>
                <w:color w:val="000000"/>
                <w:sz w:val="13"/>
              </w:rPr>
              <w:t>(3)</w:t>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Transition service agreement </w:t>
            </w:r>
            <w:r>
              <w:rPr>
                <w:rFonts w:ascii="Times New Roman;sans-serif" w:hAnsi="Times New Roman;sans-serif"/>
                <w:b w:val="false"/>
                <w:color w:val="000000"/>
                <w:sz w:val="13"/>
              </w:rPr>
              <w:t>(4)</w:t>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Israeli Innovation Authority prepayment </w:t>
            </w:r>
            <w:r>
              <w:rPr>
                <w:rFonts w:ascii="Times New Roman;sans-serif" w:hAnsi="Times New Roman;sans-serif"/>
                <w:b w:val="false"/>
                <w:color w:val="000000"/>
                <w:sz w:val="13"/>
              </w:rPr>
              <w:t>(5)</w:t>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3,544 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Other</w:t>
            </w:r>
            <w:r>
              <w:rPr>
                <w:rFonts w:ascii="Times New Roman;sans-serif" w:hAnsi="Times New Roman;sans-serif"/>
                <w:b w:val="false"/>
                <w:color w:val="000000"/>
                <w:sz w:val="13"/>
              </w:rPr>
              <w:t>(6)</w:t>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6,188 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3,059 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9,400 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8,640 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45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(1) Legal expenses related to litigation that is outside the normal course of business.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(2) Mergers and acquisitions expense related to legal and due diligence.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(3) Expenses to relocate certain manufacturing lines out of Queensbury, NY.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(4) Transition services agreement that was entered into as a result of the sale of the dialysis and BioSentry businesses.</w:t>
      </w:r>
    </w:p>
    <w:p>
      <w:pPr>
        <w:pStyle w:val="TextBody"/>
        <w:bidi w:val="0"/>
        <w:spacing w:lineRule="auto" w:line="288" w:before="0" w:after="0"/>
        <w:jc w:val="left"/>
        <w:rPr/>
      </w:pPr>
      <w:r>
        <w:rPr>
          <w:rFonts w:ascii="Times New Roman;sans-serif" w:hAnsi="Times New Roman;sans-serif"/>
          <w:b w:val="false"/>
          <w:color w:val="000000"/>
          <w:sz w:val="18"/>
        </w:rPr>
        <w:t>(5) I</w:t>
      </w:r>
      <w:r>
        <w:rPr>
          <w:rFonts w:ascii="Times New Roman;sans-serif" w:hAnsi="Times New Roman;sans-serif"/>
          <w:b w:val="false"/>
          <w:color w:val="000000"/>
          <w:sz w:val="18"/>
          <w:shd w:fill="FFFFFF" w:val="clear"/>
        </w:rPr>
        <w:t xml:space="preserve">n the first quarter of fiscal year 2023, a $3.5 million payment was made to the Israeli Innovation Authority to fully satisfy the obligation related to grant funds that were provided to Eximo for development of the Auryon laser prior to the acquisition in the second quarter of fiscal year 2020. </w:t>
      </w:r>
    </w:p>
    <w:p>
      <w:pPr>
        <w:pStyle w:val="TextBody"/>
        <w:bidi w:val="0"/>
        <w:spacing w:lineRule="auto" w:line="288" w:before="0" w:after="0"/>
        <w:jc w:val="left"/>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 xml:space="preserve">(6) Included in the $1.1 million in other for the six months ended November 30, 2023 is $0.9 million of deferred financing fees that were written-off in conjunction with the sale of the Dialysis and BioSentry businesses and concurrent extinguishment of the debt. </w:t>
      </w:r>
    </w:p>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5f685e1e555b4b8b85d119fc12b2b16d_7">
        <w:r>
          <w:rPr>
            <w:rStyle w:val="InternetLink"/>
            <w:rFonts w:ascii="Times New Roman;sans-serif" w:hAnsi="Times New Roman;sans-serif"/>
            <w:b w:val="false"/>
            <w:color w:val="0000FF"/>
            <w:sz w:val="16"/>
            <w:u w:val="single"/>
          </w:rPr>
          <w:t>Table of Content</w:t>
        </w:r>
      </w:hyperlink>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16. ACCUMULATED OTHER COMPREHENSIVE LOSS</w:t>
      </w:r>
    </w:p>
    <w:p>
      <w:pPr>
        <w:pStyle w:val="TextBody"/>
        <w:bidi w:val="0"/>
        <w:spacing w:lineRule="auto" w:line="288" w:before="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Changes in each component of accumulated other comprehensive income, net of tax, are as follows:</w:t>
      </w:r>
    </w:p>
    <w:tbl>
      <w:tblPr>
        <w:tblW w:w="6014" w:type="dxa"/>
        <w:jc w:val="left"/>
        <w:tblInd w:w="0" w:type="dxa"/>
        <w:tblLayout w:type="fixed"/>
        <w:tblCellMar>
          <w:top w:w="28" w:type="dxa"/>
          <w:left w:w="28" w:type="dxa"/>
          <w:bottom w:w="28" w:type="dxa"/>
          <w:right w:w="28" w:type="dxa"/>
        </w:tblCellMar>
      </w:tblPr>
      <w:tblGrid>
        <w:gridCol w:w="1213"/>
        <w:gridCol w:w="1064"/>
        <w:gridCol w:w="1067"/>
        <w:gridCol w:w="533"/>
        <w:gridCol w:w="1748"/>
        <w:gridCol w:w="389"/>
      </w:tblGrid>
      <w:tr>
        <w:trPr/>
        <w:tc>
          <w:tcPr>
            <w:tcW w:w="1213"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748"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Three Months Ended Nov 30, 2023</w:t>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26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Foreign currency translation income</w:t>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August 31, 2023</w:t>
            </w:r>
          </w:p>
        </w:tc>
        <w:tc>
          <w:tcPr>
            <w:tcW w:w="5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(5,653)</w:t>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net of tax</w:t>
            </w:r>
          </w:p>
        </w:tc>
        <w:tc>
          <w:tcPr>
            <w:tcW w:w="2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2670" w:type="dxa"/>
            <w:gridSpan w:val="3"/>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other comprehensive loss</w:t>
            </w:r>
          </w:p>
        </w:tc>
        <w:tc>
          <w:tcPr>
            <w:tcW w:w="5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945 </w:t>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at November 30, 2023</w:t>
            </w:r>
          </w:p>
        </w:tc>
        <w:tc>
          <w:tcPr>
            <w:tcW w:w="5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(4,708)</w:t>
            </w:r>
          </w:p>
        </w:tc>
        <w:tc>
          <w:tcPr>
            <w:tcW w:w="3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013" w:type="dxa"/>
        <w:jc w:val="left"/>
        <w:tblInd w:w="0" w:type="dxa"/>
        <w:tblLayout w:type="fixed"/>
        <w:tblCellMar>
          <w:top w:w="28" w:type="dxa"/>
          <w:left w:w="28" w:type="dxa"/>
          <w:bottom w:w="28" w:type="dxa"/>
          <w:right w:w="28" w:type="dxa"/>
        </w:tblCellMar>
      </w:tblPr>
      <w:tblGrid>
        <w:gridCol w:w="1213"/>
        <w:gridCol w:w="1064"/>
        <w:gridCol w:w="1067"/>
        <w:gridCol w:w="533"/>
        <w:gridCol w:w="1748"/>
        <w:gridCol w:w="388"/>
      </w:tblGrid>
      <w:tr>
        <w:trPr/>
        <w:tc>
          <w:tcPr>
            <w:tcW w:w="1213"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74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Six Months Ended Nov 30, 2023</w:t>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26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Foreign currency translation income</w:t>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May 31, 2023</w:t>
            </w:r>
          </w:p>
        </w:tc>
        <w:tc>
          <w:tcPr>
            <w:tcW w:w="5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(4,723)</w:t>
            </w:r>
          </w:p>
        </w:tc>
        <w:tc>
          <w:tcPr>
            <w:tcW w:w="3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net of tax</w:t>
            </w:r>
          </w:p>
        </w:tc>
        <w:tc>
          <w:tcPr>
            <w:tcW w:w="2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2669" w:type="dxa"/>
            <w:gridSpan w:val="3"/>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other comprehensive loss</w:t>
            </w:r>
          </w:p>
        </w:tc>
        <w:tc>
          <w:tcPr>
            <w:tcW w:w="5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3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at November 30, 2023</w:t>
            </w:r>
          </w:p>
        </w:tc>
        <w:tc>
          <w:tcPr>
            <w:tcW w:w="5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(4,708)</w:t>
            </w:r>
          </w:p>
        </w:tc>
        <w:tc>
          <w:tcPr>
            <w:tcW w:w="3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17. RECENTLY ISSUED ACCOUNTING PRONOUNCEMENTS</w:t>
      </w:r>
    </w:p>
    <w:tbl>
      <w:tblPr>
        <w:tblW w:w="4779" w:type="dxa"/>
        <w:jc w:val="left"/>
        <w:tblInd w:w="0" w:type="dxa"/>
        <w:tblLayout w:type="fixed"/>
        <w:tblCellMar>
          <w:top w:w="28" w:type="dxa"/>
          <w:left w:w="28" w:type="dxa"/>
          <w:bottom w:w="28" w:type="dxa"/>
          <w:right w:w="28" w:type="dxa"/>
        </w:tblCellMar>
      </w:tblPr>
      <w:tblGrid>
        <w:gridCol w:w="431"/>
        <w:gridCol w:w="379"/>
        <w:gridCol w:w="379"/>
        <w:gridCol w:w="379"/>
        <w:gridCol w:w="379"/>
        <w:gridCol w:w="379"/>
        <w:gridCol w:w="379"/>
        <w:gridCol w:w="379"/>
        <w:gridCol w:w="379"/>
        <w:gridCol w:w="379"/>
        <w:gridCol w:w="379"/>
        <w:gridCol w:w="558"/>
      </w:tblGrid>
      <w:tr>
        <w:trPr/>
        <w:tc>
          <w:tcPr>
            <w:tcW w:w="431"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r>
      <w:tr>
        <w:trPr/>
        <w:tc>
          <w:tcPr>
            <w:tcW w:w="4779"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Recently Issued Accounting Pronouncements - Adopted</w:t>
            </w:r>
          </w:p>
        </w:tc>
      </w:tr>
      <w:tr>
        <w:trPr/>
        <w:tc>
          <w:tcPr>
            <w:tcW w:w="1189"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r>
      <w:tr>
        <w:trPr/>
        <w:tc>
          <w:tcPr>
            <w:tcW w:w="1189"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r>
      <w:tr>
        <w:trPr/>
        <w:tc>
          <w:tcPr>
            <w:tcW w:w="1189"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921"/>
        <w:gridCol w:w="809"/>
        <w:gridCol w:w="819"/>
        <w:gridCol w:w="1381"/>
        <w:gridCol w:w="1381"/>
        <w:gridCol w:w="1395"/>
        <w:gridCol w:w="266"/>
        <w:gridCol w:w="266"/>
        <w:gridCol w:w="267"/>
        <w:gridCol w:w="854"/>
        <w:gridCol w:w="762"/>
        <w:gridCol w:w="1084"/>
      </w:tblGrid>
      <w:tr>
        <w:trPr/>
        <w:tc>
          <w:tcPr>
            <w:tcW w:w="921"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Standard</w:t>
            </w:r>
          </w:p>
        </w:tc>
        <w:tc>
          <w:tcPr>
            <w:tcW w:w="41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c>
          <w:tcPr>
            <w:tcW w:w="7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Effective Date</w:t>
            </w:r>
          </w:p>
        </w:tc>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Effect on the Consolidated Financial Statements</w:t>
            </w:r>
          </w:p>
        </w:tc>
      </w:tr>
      <w:tr>
        <w:trPr/>
        <w:tc>
          <w:tcPr>
            <w:tcW w:w="254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ASU 2021-08, </w:t>
            </w:r>
            <w:r>
              <w:rPr>
                <w:rFonts w:ascii="Times New Roman;sans-serif" w:hAnsi="Times New Roman;sans-serif"/>
                <w:b w:val="false"/>
                <w:i/>
                <w:color w:val="000000"/>
                <w:sz w:val="20"/>
              </w:rPr>
              <w:t>Business Combinations (Topic 805): Accounting for Contract Assets and Contract Liabilities from Contracts with Customers</w:t>
            </w:r>
          </w:p>
          <w:p>
            <w:pPr>
              <w:pStyle w:val="TableContents"/>
              <w:bidi w:val="0"/>
              <w:spacing w:before="0" w:after="0"/>
              <w:jc w:val="left"/>
              <w:rPr/>
            </w:pPr>
            <w:r>
              <w:rPr/>
            </w:r>
          </w:p>
        </w:tc>
        <w:tc>
          <w:tcPr>
            <w:tcW w:w="4157"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56" w:before="0" w:after="0"/>
              <w:jc w:val="left"/>
              <w:rPr/>
            </w:pPr>
            <w:r>
              <w:rPr>
                <w:rFonts w:ascii="Times New Roman;sans-serif" w:hAnsi="Times New Roman;sans-serif"/>
                <w:b w:val="false"/>
                <w:color w:val="000000"/>
                <w:sz w:val="20"/>
              </w:rPr>
              <w:t>This ASU</w:t>
            </w:r>
            <w:r>
              <w:rPr>
                <w:color w:val="000000"/>
                <w:shd w:fill="FFFFFF" w:val="clear"/>
              </w:rPr>
              <w:t xml:space="preserve"> </w:t>
            </w:r>
            <w:r>
              <w:rPr>
                <w:rFonts w:ascii="Times New Roman;sans-serif" w:hAnsi="Times New Roman;sans-serif"/>
                <w:b w:val="false"/>
                <w:color w:val="000000"/>
                <w:sz w:val="20"/>
                <w:shd w:fill="FFFFFF" w:val="clear"/>
              </w:rPr>
              <w:t xml:space="preserve">improves the accounting for acquired revenue contracts with customers in a business combination by addressing diversity in practice and inconsistency related to recognition of an acquired contract liability and payment terms and their effect on subsequent revenue recognized by the acquirer. </w:t>
            </w:r>
          </w:p>
        </w:tc>
        <w:tc>
          <w:tcPr>
            <w:tcW w:w="79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1, 2023</w:t>
            </w:r>
          </w:p>
        </w:tc>
        <w:tc>
          <w:tcPr>
            <w:tcW w:w="270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adopted the new standard in the first quarter of fiscal year 2024 and it did not have an impact on the Company's consolidated financial statements.</w:t>
            </w:r>
          </w:p>
        </w:tc>
      </w:tr>
    </w:tbl>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Recently Issued Accounting Pronouncements - Not Yet Applicable or Adopted</w:t>
      </w:r>
    </w:p>
    <w:tbl>
      <w:tblPr>
        <w:tblW w:w="10205" w:type="dxa"/>
        <w:jc w:val="left"/>
        <w:tblInd w:w="0" w:type="dxa"/>
        <w:tblLayout w:type="fixed"/>
        <w:tblCellMar>
          <w:top w:w="28" w:type="dxa"/>
          <w:left w:w="28" w:type="dxa"/>
          <w:bottom w:w="28" w:type="dxa"/>
          <w:right w:w="28" w:type="dxa"/>
        </w:tblCellMar>
      </w:tblPr>
      <w:tblGrid>
        <w:gridCol w:w="845"/>
        <w:gridCol w:w="743"/>
        <w:gridCol w:w="752"/>
        <w:gridCol w:w="1320"/>
        <w:gridCol w:w="1282"/>
        <w:gridCol w:w="1295"/>
        <w:gridCol w:w="269"/>
        <w:gridCol w:w="269"/>
        <w:gridCol w:w="270"/>
        <w:gridCol w:w="987"/>
        <w:gridCol w:w="897"/>
        <w:gridCol w:w="1276"/>
      </w:tblGrid>
      <w:tr>
        <w:trPr/>
        <w:tc>
          <w:tcPr>
            <w:tcW w:w="845"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Standard</w:t>
            </w:r>
          </w:p>
        </w:tc>
        <w:tc>
          <w:tcPr>
            <w:tcW w:w="38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c>
          <w:tcPr>
            <w:tcW w:w="8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Effective Date</w:t>
            </w:r>
          </w:p>
        </w:tc>
        <w:tc>
          <w:tcPr>
            <w:tcW w:w="31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Effect on the Consolidated Financial Statements</w:t>
            </w:r>
          </w:p>
        </w:tc>
      </w:tr>
      <w:tr>
        <w:trPr/>
        <w:tc>
          <w:tcPr>
            <w:tcW w:w="2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ASU 2023-07, </w:t>
            </w:r>
            <w:r>
              <w:rPr>
                <w:rFonts w:ascii="Times New Roman;sans-serif" w:hAnsi="Times New Roman;sans-serif"/>
                <w:b w:val="false"/>
                <w:i/>
                <w:color w:val="000000"/>
                <w:sz w:val="20"/>
              </w:rPr>
              <w:t>Segment Reporting (Topic 280): Improvements to Reportable Segment Disclosures</w:t>
            </w:r>
          </w:p>
        </w:tc>
        <w:tc>
          <w:tcPr>
            <w:tcW w:w="389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56" w:before="0" w:after="0"/>
              <w:jc w:val="left"/>
              <w:rPr/>
            </w:pPr>
            <w:r>
              <w:rPr>
                <w:rFonts w:ascii="Times New Roman;sans-serif" w:hAnsi="Times New Roman;sans-serif"/>
                <w:b w:val="false"/>
                <w:color w:val="000000"/>
                <w:sz w:val="20"/>
              </w:rPr>
              <w:t>This ASU</w:t>
            </w:r>
            <w:r>
              <w:rPr>
                <w:color w:val="000000"/>
                <w:shd w:fill="FFFFFF" w:val="clear"/>
              </w:rPr>
              <w:t xml:space="preserve"> </w:t>
            </w:r>
            <w:r>
              <w:rPr>
                <w:rFonts w:ascii="Times New Roman;sans-serif" w:hAnsi="Times New Roman;sans-serif"/>
                <w:b w:val="false"/>
                <w:color w:val="000000"/>
                <w:sz w:val="20"/>
                <w:shd w:fill="FFFFFF" w:val="clear"/>
              </w:rPr>
              <w:t xml:space="preserve">improves the reportable segment disclosure requirements, primarily through enhanced disclosures about significant segment expenses. </w:t>
            </w:r>
          </w:p>
        </w:tc>
        <w:tc>
          <w:tcPr>
            <w:tcW w:w="80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1, 2024</w:t>
            </w:r>
          </w:p>
        </w:tc>
        <w:tc>
          <w:tcPr>
            <w:tcW w:w="31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plans to adopt the new standard in the first quarter of fiscal year 2025 and does not expect there to be a material impact to the consolidated financial statements. </w:t>
            </w:r>
          </w:p>
        </w:tc>
      </w:tr>
      <w:tr>
        <w:trPr/>
        <w:tc>
          <w:tcPr>
            <w:tcW w:w="234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ASU 2023-09, </w:t>
            </w:r>
            <w:r>
              <w:rPr>
                <w:rFonts w:ascii="Times New Roman;sans-serif" w:hAnsi="Times New Roman;sans-serif"/>
                <w:b w:val="false"/>
                <w:i/>
                <w:color w:val="000000"/>
                <w:sz w:val="20"/>
              </w:rPr>
              <w:t>Income Taxes (Topic 740): Improvements to Income Tax Disclosures</w:t>
            </w:r>
          </w:p>
        </w:tc>
        <w:tc>
          <w:tcPr>
            <w:tcW w:w="3897"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56" w:before="0" w:after="0"/>
              <w:jc w:val="left"/>
              <w:rPr/>
            </w:pPr>
            <w:r>
              <w:rPr>
                <w:rFonts w:ascii="Times New Roman;sans-serif" w:hAnsi="Times New Roman;sans-serif"/>
                <w:b w:val="false"/>
                <w:color w:val="000000"/>
                <w:sz w:val="20"/>
              </w:rPr>
              <w:t>This ASU</w:t>
            </w:r>
            <w:r>
              <w:rPr>
                <w:color w:val="000000"/>
                <w:shd w:fill="FFFFFF" w:val="clear"/>
              </w:rPr>
              <w:t xml:space="preserve"> </w:t>
            </w:r>
            <w:r>
              <w:rPr>
                <w:rFonts w:ascii="Times New Roman;sans-serif" w:hAnsi="Times New Roman;sans-serif"/>
                <w:b w:val="false"/>
                <w:color w:val="000000"/>
                <w:sz w:val="20"/>
                <w:shd w:fill="FFFFFF" w:val="clear"/>
              </w:rPr>
              <w:t xml:space="preserve">improves the income tax disclosure requirements on an annual basis by (1) disclose specific categories in the rate reconciliation and (2) provide additional information for reconciling items that meet a quantitative threshold. </w:t>
            </w:r>
          </w:p>
        </w:tc>
        <w:tc>
          <w:tcPr>
            <w:tcW w:w="808"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1, 2025</w:t>
            </w:r>
          </w:p>
        </w:tc>
        <w:tc>
          <w:tcPr>
            <w:tcW w:w="316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plans to adopt the new standard in the first quarter of fiscal year 2026 and does not expect there to be a material impact to the consolidated financial statements.</w:t>
            </w:r>
          </w:p>
        </w:tc>
      </w:tr>
    </w:tbl>
    <w:p>
      <w:pPr>
        <w:pStyle w:val="TextBody"/>
        <w:bidi w:val="0"/>
        <w:spacing w:lineRule="auto" w:line="288" w:before="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to our critical accounting policies since our Annual Report on Form 10-K for fiscal year ended May 31, 2023.</w:t>
      </w:r>
    </w:p>
    <w:p>
      <w:pPr>
        <w:pStyle w:val="TextBody"/>
        <w:bidi w:val="0"/>
        <w:spacing w:before="0" w:after="18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p>
    <w:p>
      <w:pPr>
        <w:pStyle w:val="TextBody"/>
        <w:bidi w:val="0"/>
        <w:spacing w:before="0" w:after="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5f685e1e555b4b8b85d119fc12b2b16d_7">
        <w:r>
          <w:rPr>
            <w:rStyle w:val="InternetLink"/>
            <w:rFonts w:ascii="Times New Roman;sans-serif" w:hAnsi="Times New Roman;sans-serif"/>
            <w:b w:val="false"/>
            <w:color w:val="0000FF"/>
            <w:sz w:val="16"/>
            <w:u w:val="single"/>
          </w:rPr>
          <w:t>Table of Content</w:t>
        </w:r>
      </w:hyperlink>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18. SUBSEQUENT EVENTS</w:t>
      </w:r>
    </w:p>
    <w:p>
      <w:pPr>
        <w:pStyle w:val="TextBody"/>
        <w:bidi w:val="0"/>
        <w:spacing w:lineRule="auto" w:line="288" w:before="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January 5, 2024, the Company announced a plan to shift its manufacturing operations from company-owned facilities in upstate New York to a fully outsourced model. This plan will reduce structural and overhead costs. The restructuring activities associated with the plan are expected to be completed in the third quarter of fiscal year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5f685e1e555b4b8b85d119fc12b2b16d_7">
        <w:r>
          <w:rPr>
            <w:rStyle w:val="InternetLink"/>
            <w:rFonts w:ascii="Times New Roman;sans-serif" w:hAnsi="Times New Roman;sans-serif"/>
            <w:b w:val="false"/>
            <w:color w:val="0000FF"/>
            <w:sz w:val="16"/>
            <w:u w:val="single"/>
          </w:rPr>
          <w:t>Table of Content</w:t>
        </w:r>
      </w:hyperlink>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88" w:before="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information should be read together with the consolidated financial statements and the notes thereto and other information included elsewhere in this quarterly report on Form 10-Q. The following discussion should be read in conjunction with the Company's 2023 Annual Report on Form 10-K, and the consolidated financial statements and notes thereto included elsewhere in the Form 10-Q. </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Disclosure Regarding Forward-Looking Statements</w:t>
      </w:r>
    </w:p>
    <w:p>
      <w:pPr>
        <w:pStyle w:val="TextBody"/>
        <w:bidi w:val="0"/>
        <w:spacing w:lineRule="auto" w:line="288" w:before="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This quarterly report on Form 10-Q, including the sections entitled “Management’s Discussion and Analysis of Financial Condition and Results of Operations,” contains forward-looking statements within the meaning of the Private Securities Litigation Reform Act of 1995. All statements regarding AngioDynamics' expected future financial position, results of operations, cash flows, business strategy, budgets, projected costs, capital expenditures, products, competitive positions, growth opportunities, plans and objectives of management for future operations, as well as statements that include the words such as "expects," "reaffirms," "intends," "anticipates," "plans," "believes," "seeks," "estimates," "projects," "optimistic," or variations of such words and similar expressions, are forward-looking statements. These forward-looking statements are not guarantees of future performance and are subject to risks and uncertainties. Investors are cautioned that actual events or results may differ materially from AngioDynamics' expectations, expressed or implied. Factors that may affect the actual results achieved by AngioDynamics include, without limitation, the ability of AngioDynamics to develop its existing and new products, technological advances and patents attained by competitors, infringement of AngioDynamics' technology or assertions that AngioDynamics' technology infringes the technology of third parties, the ability of AngioDynamics to effectively compete against competitors that have substantially greater resources, future actions by the FDA or other regulatory agencies, domestic and foreign health care reforms and government regulations, results of pending or future clinical trials, overall economic conditions (including inflation, labor shortages and supply chain challenges including the cost and availability of raw materials), the results of on-going litigation, challenges with respect to third-party distributors or joint venture partners or collaborators, the results of sales efforts, the effects of product recalls and product liability claims, changes in key personnel, the ability of AngioDynamics to execute on strategic initiatives, the effects of economic, credit and capital market conditions, general market conditions, market acceptance, foreign currency exchange rate fluctuations, the effects on pricing from group purchasing organizations and competition, the ability of AngioDynamics to obtain regulatory clearances or approval of its products, or to integrate acquired businesses. Other risks and uncertainties include, but are not limited to, the factors described from time to time in our reports filed with the Securities and Exchange Commission (the "SEC").</w:t>
      </w:r>
    </w:p>
    <w:p>
      <w:pPr>
        <w:pStyle w:val="TextBody"/>
        <w:bidi w:val="0"/>
        <w:spacing w:lineRule="auto" w:line="288" w:before="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Although we believe that the assumptions underlying the forward-looking statements contained herein are reasonable, any of the assumptions could be inaccurate and, therefore, there can be no assurance that the forward-looking statements included in this quarterly report on Form 10-Q will prove to be accurate. In light of the significant uncertainties inherent in the forward-looking statements included herein, the inclusion of such information should not be regarded as a representation by us or any other person that our objectives and plans will be achieved. Any forward-looking statements are made pursuant to the Private Securities Litigation Reform Act of 1995 and, as such, investors are cautioned not to place undue reliance on these forward-looking statements which speak only as of the date stated, or if no date is stated, as of the date of this report. AngioDynamics disclaims any obligation to update the forward-looking statements. </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Disclosure Regarding Trademarks</w:t>
      </w:r>
    </w:p>
    <w:p>
      <w:pPr>
        <w:pStyle w:val="TextBody"/>
        <w:bidi w:val="0"/>
        <w:spacing w:lineRule="auto" w:line="288" w:before="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This report includes trademarks, tradenames and service marks that are our property or the property of other third parties. Solely for convenience, such trademarks and tradenames sometimes appear without any “™” or “®” symbol. However, failure to include such symbols is not intended to suggest, in any way, that we will not assert our rights or the rights of any applicable licensor, to these trademarks and tradenames. For a complete listing of all our trademarks, tradenames and service marks please visit www.angiodynamics.com/IP. Information on our website or connected to our website is not incorporated by reference into this Quarterly Report on Form 10-Q.</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Executive Overview</w:t>
      </w:r>
    </w:p>
    <w:p>
      <w:pPr>
        <w:pStyle w:val="TextBody"/>
        <w:bidi w:val="0"/>
        <w:spacing w:lineRule="auto" w:line="288" w:before="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AngioDynamics is a leading and transformative medical technology company focused on restoring healthy blood flow in the body's vascular system, expanding cancer treatment options and improving quality of life for patients. We design, manufacture and sell a wide range of medical, surgical and diagnostic devices used by professional healthcare providers for vascular access, for the treatment of peripheral vascular disease and for use in oncology and surgical settings. Our devices are generally used in minimally invasive, image-guided procedures. Many of our products are intended to be used once and then discarded, or they may be temporarily implanted for short- or long-term use. </w:t>
      </w:r>
    </w:p>
    <w:p>
      <w:pPr>
        <w:pStyle w:val="TextBody"/>
        <w:bidi w:val="0"/>
        <w:spacing w:lineRule="auto" w:line="288" w:before="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business operations cross a variety of markets. Our financial performance is impacted by changing market dynamics, which have included an emergence of value-based purchasing by healthcare providers, consolidation of healthcare providers,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5f685e1e555b4b8b85d119fc12b2b16d_7">
        <w:r>
          <w:rPr>
            <w:rStyle w:val="InternetLink"/>
            <w:rFonts w:ascii="Times New Roman;sans-serif" w:hAnsi="Times New Roman;sans-serif"/>
            <w:b w:val="false"/>
            <w:color w:val="0000FF"/>
            <w:sz w:val="16"/>
            <w:u w:val="single"/>
          </w:rPr>
          <w:t>Table of Content</w:t>
        </w:r>
      </w:hyperlink>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increased role of the consumer in health care decision-making and an aging population, among others. In addition, our growth is impacted by changes within our sector, such as the merging of competitors to gain scale and influence; changes in the regulatory environment for medical devices; and fluctuations in the global economy. </w:t>
      </w:r>
    </w:p>
    <w:p>
      <w:pPr>
        <w:pStyle w:val="TextBody"/>
        <w:bidi w:val="0"/>
        <w:spacing w:lineRule="auto" w:line="288" w:before="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sales and profitability growth also depends, in part, on the introduction of new and innovative products, together with ongoing enhancements to our existing products. Expansions of our product offerings are created through internal and external product development, technology licensing and strategic alliances. We recognize the importance of, and intend to continue to make investments in research and development activities and selective business development opportunities to provide growth opportunities. </w:t>
      </w:r>
    </w:p>
    <w:p>
      <w:pPr>
        <w:pStyle w:val="TextBody"/>
        <w:bidi w:val="0"/>
        <w:spacing w:lineRule="auto" w:line="288" w:before="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sell our products in the United States primarily through a direct sales force, and outside the U.S. through a combination of direct sales and distributor relationships. Our end users include interventional radiologists, interventional cardiologists, vascular surgeons, urologists, interventional and surgical oncologists and critical care nurses. We expect our businesses to grow in both sales and profitability by expanding geographically, penetrating new markets, introducing new products and increasing our presence internationally.</w:t>
      </w:r>
    </w:p>
    <w:p>
      <w:pPr>
        <w:pStyle w:val="TextBody"/>
        <w:bidi w:val="0"/>
        <w:spacing w:lineRule="auto" w:line="288" w:before="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current macroeconomic environment continues to impact our business and may continue to pose future risks. The Company's ability to manufacture products, the reliability of our supply chain, labor shortages, backlog and inflation (including the cost and availability of raw materials, direct labor and shipping) have impacted our business, trends that may continue. Accordingly, management continues to evaluate the Company’s liquidity position, communicate with and monitor the actions of our customers and suppliers, and review our near-term financial performance. </w:t>
      </w:r>
    </w:p>
    <w:p>
      <w:pPr>
        <w:pStyle w:val="TextBody"/>
        <w:bidi w:val="0"/>
        <w:spacing w:lineRule="auto" w:line="288" w:before="24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8, 2023, the Company completed the sale of the dialysis and BioSentry businesses to Merit Medical Systems, Inc. The Company also entered into various agreements to facilitate the transition to Merit, including a Transition Services Agreement and Contract Manufacturing Agreement. Total consideration received by the Company for the Divestiture was $100.0 million in cash and resulted in a pre-tax book gain of $47.8 million. </w:t>
      </w:r>
    </w:p>
    <w:p>
      <w:pPr>
        <w:pStyle w:val="TextBody"/>
        <w:bidi w:val="0"/>
        <w:spacing w:lineRule="auto" w:line="288" w:before="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8, 2023 and in connection with the completion of the Divestiture, the Company repaid all amounts outstanding under its existing Credit Agreement, and as a result, the Credit Agreement was extinguished. </w:t>
      </w:r>
    </w:p>
    <w:p>
      <w:pPr>
        <w:pStyle w:val="TextBody"/>
        <w:bidi w:val="0"/>
        <w:spacing w:lineRule="auto" w:line="288" w:before="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evaluating the operating performance of our business, management focuses on company-wide and segment revenue and gross margin and company-wide operating income, earnings per share and cash flow from operations. A summary of these key financial metrics for the three and six months ended November 30, 2023 compared to the three and six months ended November 30, 2022 are as follows: </w:t>
      </w:r>
    </w:p>
    <w:p>
      <w:pPr>
        <w:pStyle w:val="TextBody"/>
        <w:bidi w:val="0"/>
        <w:spacing w:lineRule="auto" w:line="288" w:before="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Three months ended November 30, 2023:</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Revenue decreased by 7.4% to $79.1 million</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Med Tech growth of 3.5% and Med Device declined by 11.8%</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Gross profit decreased 190 bps to 50.9%</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Med Tech gross profit decreased 130 bps to 62.4% and Med Device gross profit decreased 290 bps to 45.5%</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Net loss increased by $20.6 million to $29.0 million</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Loss per share increased by $0.51 to $0.72</w:t>
      </w:r>
    </w:p>
    <w:p>
      <w:pPr>
        <w:pStyle w:val="TextBody"/>
        <w:bidi w:val="0"/>
        <w:spacing w:before="0" w:after="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Six months ended November 30, 2023:</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Revenue decreased by 5.5% to $157.8 million</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Med Tech growth of 8.3% and Med Device declined by 11.0%</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Gross profit decreased 140 bps to 50.9%</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Med Tech gross profit was consistent at 63.5% and Med Device gross profit decreased 300 bps to 44.9%</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Net income increased by $38.3 million to $16.8 million</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Earnings per share increased by $0.97 to $0.42</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Cash used in operations increased by $3.4 million to $20.6 million</w:t>
      </w:r>
    </w:p>
    <w:p>
      <w:pPr>
        <w:pStyle w:val="TextBody"/>
        <w:bidi w:val="0"/>
        <w:spacing w:before="0" w:after="0"/>
        <w:jc w:val="left"/>
        <w:rPr/>
      </w:pPr>
      <w:r>
        <w:rPr/>
      </w:r>
    </w:p>
    <w:p>
      <w:pPr>
        <w:pStyle w:val="TextBody"/>
        <w:bidi w:val="0"/>
        <w:spacing w:lineRule="auto" w:line="288" w:before="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For the three and six months ended November 30, 2023, the decrease in revenue is due to the sale of the dialysis and BioSentry businesses, which closed on June 8, 2023 and impacted sales by $8.4 million and $16.2 million compared to the same periods in the prior year, respectively. Our Med Tech revenue, comprised of Auryon, the thrombus management platform and NanoKnife, grew 3.5% in the second quarter of fiscal year 2024. The growth in Auryon and NanoKnife was partially offset by continued softness in the thrombus management platform. Our Med Device revenue declined by 11.8% in the second quarter of fiscal year 2024 driven mainly by the sale of the dialysis and BioSentry businesses.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5f685e1e555b4b8b85d119fc12b2b16d_7">
        <w:r>
          <w:rPr>
            <w:rStyle w:val="InternetLink"/>
            <w:rFonts w:ascii="Times New Roman;sans-serif" w:hAnsi="Times New Roman;sans-serif"/>
            <w:b w:val="false"/>
            <w:color w:val="0000FF"/>
            <w:sz w:val="16"/>
            <w:u w:val="single"/>
          </w:rPr>
          <w:t>Table of Content</w:t>
        </w:r>
      </w:hyperlink>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 xml:space="preserve">Results of Operations </w:t>
      </w:r>
    </w:p>
    <w:p>
      <w:pPr>
        <w:pStyle w:val="TextBody"/>
        <w:bidi w:val="0"/>
        <w:spacing w:lineRule="auto" w:line="288" w:before="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November 30, 2023, the Company reported net loss of $29.0 million, or diluted loss per share of $0.72, on net sales of $79.1 million, compared with a net loss of $8.5 million, or a loss of $0.21 per diluted share, on net sales of $85.4 million during the same quarter of the prior year. For the six months ended November 30, 2023, the Company reported net income of $16.8 million, or diluted earnings per share of $0.42, on net sales of $157.8 million, compared with a net loss of $21.5 million, or a loss of $0.55 per diluted share, on net sales of $167.0 million during the same quarter of the prior year. </w:t>
      </w:r>
    </w:p>
    <w:p>
      <w:pPr>
        <w:pStyle w:val="TextBody"/>
        <w:bidi w:val="0"/>
        <w:spacing w:lineRule="auto" w:line="288" w:before="0" w:after="180"/>
        <w:jc w:val="left"/>
        <w:rPr/>
      </w:pPr>
      <w:r>
        <w:rPr>
          <w:rFonts w:ascii="Times New Roman;sans-serif" w:hAnsi="Times New Roman;sans-serif"/>
          <w:b w:val="false"/>
          <w:color w:val="000000"/>
          <w:sz w:val="20"/>
          <w:u w:val="single"/>
        </w:rPr>
        <w:t>Net sales</w:t>
      </w:r>
      <w:r>
        <w:rPr>
          <w:color w:val="000000"/>
        </w:rPr>
        <w:t xml:space="preserve"> </w:t>
      </w:r>
      <w:r>
        <w:rPr>
          <w:rFonts w:ascii="Times New Roman;sans-serif" w:hAnsi="Times New Roman;sans-serif"/>
          <w:b w:val="false"/>
          <w:color w:val="000000"/>
          <w:sz w:val="20"/>
        </w:rPr>
        <w:t xml:space="preserve">- Net sales are derived from the sale of products and related freight charges, less discounts, rebates and returns. </w:t>
      </w:r>
    </w:p>
    <w:tbl>
      <w:tblPr>
        <w:tblW w:w="9263" w:type="dxa"/>
        <w:jc w:val="left"/>
        <w:tblInd w:w="0" w:type="dxa"/>
        <w:tblLayout w:type="fixed"/>
        <w:tblCellMar>
          <w:top w:w="28" w:type="dxa"/>
          <w:left w:w="28" w:type="dxa"/>
          <w:bottom w:w="28" w:type="dxa"/>
          <w:right w:w="28" w:type="dxa"/>
        </w:tblCellMar>
      </w:tblPr>
      <w:tblGrid>
        <w:gridCol w:w="402"/>
        <w:gridCol w:w="353"/>
        <w:gridCol w:w="354"/>
        <w:gridCol w:w="219"/>
        <w:gridCol w:w="748"/>
        <w:gridCol w:w="113"/>
        <w:gridCol w:w="109"/>
        <w:gridCol w:w="109"/>
        <w:gridCol w:w="109"/>
        <w:gridCol w:w="219"/>
        <w:gridCol w:w="748"/>
        <w:gridCol w:w="113"/>
        <w:gridCol w:w="109"/>
        <w:gridCol w:w="109"/>
        <w:gridCol w:w="109"/>
        <w:gridCol w:w="211"/>
        <w:gridCol w:w="691"/>
        <w:gridCol w:w="109"/>
        <w:gridCol w:w="109"/>
        <w:gridCol w:w="109"/>
        <w:gridCol w:w="109"/>
        <w:gridCol w:w="211"/>
        <w:gridCol w:w="826"/>
        <w:gridCol w:w="109"/>
        <w:gridCol w:w="109"/>
        <w:gridCol w:w="109"/>
        <w:gridCol w:w="109"/>
        <w:gridCol w:w="211"/>
        <w:gridCol w:w="826"/>
        <w:gridCol w:w="109"/>
        <w:gridCol w:w="109"/>
        <w:gridCol w:w="109"/>
        <w:gridCol w:w="109"/>
        <w:gridCol w:w="211"/>
        <w:gridCol w:w="691"/>
        <w:gridCol w:w="154"/>
      </w:tblGrid>
      <w:tr>
        <w:trPr/>
        <w:tc>
          <w:tcPr>
            <w:tcW w:w="402"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Six Months Ended</w:t>
            </w:r>
          </w:p>
        </w:tc>
      </w:tr>
      <w:tr>
        <w:trPr/>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Nov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Nov 30, 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Nov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Nov 30, 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 Change</w:t>
            </w:r>
          </w:p>
        </w:tc>
      </w:tr>
      <w:tr>
        <w:trPr/>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10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Med Tech</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25,363 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24,502 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Med Device</w:t>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53,710 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60,927 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106,528 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119,648 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(13,120)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79,073 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85,429 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157,752 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166,966 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(9,214)</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878" w:type="dxa"/>
        <w:jc w:val="center"/>
        <w:tblInd w:w="0" w:type="dxa"/>
        <w:tblLayout w:type="fixed"/>
        <w:tblCellMar>
          <w:top w:w="28" w:type="dxa"/>
          <w:left w:w="28" w:type="dxa"/>
          <w:bottom w:w="28" w:type="dxa"/>
          <w:right w:w="28" w:type="dxa"/>
        </w:tblCellMar>
      </w:tblPr>
      <w:tblGrid>
        <w:gridCol w:w="587"/>
        <w:gridCol w:w="515"/>
        <w:gridCol w:w="517"/>
        <w:gridCol w:w="219"/>
        <w:gridCol w:w="748"/>
        <w:gridCol w:w="113"/>
        <w:gridCol w:w="109"/>
        <w:gridCol w:w="109"/>
        <w:gridCol w:w="109"/>
        <w:gridCol w:w="219"/>
        <w:gridCol w:w="748"/>
        <w:gridCol w:w="113"/>
        <w:gridCol w:w="109"/>
        <w:gridCol w:w="109"/>
        <w:gridCol w:w="109"/>
        <w:gridCol w:w="211"/>
        <w:gridCol w:w="691"/>
        <w:gridCol w:w="109"/>
        <w:gridCol w:w="109"/>
        <w:gridCol w:w="109"/>
        <w:gridCol w:w="109"/>
        <w:gridCol w:w="211"/>
        <w:gridCol w:w="826"/>
        <w:gridCol w:w="109"/>
        <w:gridCol w:w="109"/>
        <w:gridCol w:w="109"/>
        <w:gridCol w:w="109"/>
        <w:gridCol w:w="211"/>
        <w:gridCol w:w="826"/>
        <w:gridCol w:w="109"/>
        <w:gridCol w:w="109"/>
        <w:gridCol w:w="109"/>
        <w:gridCol w:w="109"/>
        <w:gridCol w:w="211"/>
        <w:gridCol w:w="796"/>
        <w:gridCol w:w="154"/>
      </w:tblGrid>
      <w:tr>
        <w:trPr/>
        <w:tc>
          <w:tcPr>
            <w:tcW w:w="587"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Six Months Ended</w:t>
            </w:r>
          </w:p>
        </w:tc>
      </w:tr>
      <w:tr>
        <w:trPr/>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Nov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Nov 30, 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Nov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Nov 30, 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 Change</w:t>
            </w:r>
          </w:p>
        </w:tc>
      </w:tr>
      <w:tr>
        <w:trPr/>
        <w:tc>
          <w:tcPr>
            <w:tcW w:w="1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10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United States</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64,002 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71,631 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140,655 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(12,254)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International</w:t>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15,071 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13,798 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79,073 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85,429 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157,752 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166,966 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(9,214)</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November 30, 2023, net sales decreased $6.4 million to $79.1 million compared to the same period in the prior year. For the six months ended November 30, 2023, net sales decreased $9.2 million to $157.8 million compared to the same period in the prior year. At November 30, 2023, the Company had a backlog of $2.0 million, a decrease of $1.3 million from August 31, 2023.</w:t>
      </w:r>
    </w:p>
    <w:p>
      <w:pPr>
        <w:pStyle w:val="TextBody"/>
        <w:bidi w:val="0"/>
        <w:spacing w:lineRule="auto" w:line="288" w:before="0" w:after="180"/>
        <w:ind w:left="0" w:right="0" w:firstLine="450"/>
        <w:jc w:val="left"/>
        <w:rPr/>
      </w:pPr>
      <w:r>
        <w:rPr>
          <w:rFonts w:ascii="Times New Roman;sans-serif" w:hAnsi="Times New Roman;sans-serif"/>
          <w:b w:val="false"/>
          <w:color w:val="000000"/>
          <w:sz w:val="20"/>
          <w:shd w:fill="FFFFFF" w:val="clear"/>
        </w:rPr>
        <w:t>The Med Tec</w:t>
      </w:r>
      <w:r>
        <w:rPr>
          <w:rFonts w:ascii="Times New Roman;sans-serif" w:hAnsi="Times New Roman;sans-serif"/>
          <w:b w:val="false"/>
          <w:color w:val="000000"/>
          <w:sz w:val="20"/>
        </w:rPr>
        <w:t>h segment net sales increased $0.9 million and $3.9 million fo</w:t>
      </w:r>
      <w:r>
        <w:rPr>
          <w:rFonts w:ascii="Times New Roman;sans-serif" w:hAnsi="Times New Roman;sans-serif"/>
          <w:b w:val="false"/>
          <w:color w:val="000000"/>
          <w:sz w:val="20"/>
          <w:shd w:fill="FFFFFF" w:val="clear"/>
        </w:rPr>
        <w:t>r the three and six months ended November 30, 2023 compared to the same period in the prior year, respectively. The change in sales for both periods was primarily driven by:</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Increased Auryon sales of $1.3 million and $3.6 million compared to the same periods in the prior year, respectively;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Decreased sales of the thrombus management platform of $0.6 million and $1.3 million compared to the same period in the prior year, respectively. This was driven by a decrease in AngioVac sales of $0.6 million and $1.2 million compared to the same periods in the prior year, respectively, partially offset by increased AlphaVac sales of $0.3 million and $0.3 million compared to the same periods in the prior year, respectively; and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Increased NanoKnife sales of $0.2 million and $1.6 million compared to the same periods in the prior year, respectively, which was driven by increased capital sales for the three months ended November 30, 2023 and increased capital and disposable sales for the six months ended November 30, 2023. </w:t>
      </w:r>
    </w:p>
    <w:p>
      <w:pPr>
        <w:pStyle w:val="TextBody"/>
        <w:bidi w:val="0"/>
        <w:spacing w:lineRule="auto" w:line="288" w:before="0" w:after="180"/>
        <w:ind w:left="0" w:right="0" w:firstLine="450"/>
        <w:jc w:val="left"/>
        <w:rPr/>
      </w:pPr>
      <w:r>
        <w:rPr>
          <w:rFonts w:ascii="Times New Roman;sans-serif" w:hAnsi="Times New Roman;sans-serif"/>
          <w:b w:val="false"/>
          <w:color w:val="000000"/>
          <w:sz w:val="20"/>
          <w:shd w:fill="FFFFFF" w:val="clear"/>
        </w:rPr>
        <w:t>The Me</w:t>
      </w:r>
      <w:r>
        <w:rPr>
          <w:rFonts w:ascii="Times New Roman;sans-serif" w:hAnsi="Times New Roman;sans-serif"/>
          <w:b w:val="false"/>
          <w:color w:val="000000"/>
          <w:sz w:val="20"/>
        </w:rPr>
        <w:t>d Device segment net sales decreased $7.2 million and $13.1 million for</w:t>
      </w:r>
      <w:r>
        <w:rPr>
          <w:color w:val="000000"/>
          <w:shd w:fill="FFFFFF" w:val="clear"/>
        </w:rPr>
        <w:t xml:space="preserve"> </w:t>
      </w:r>
      <w:r>
        <w:rPr>
          <w:rFonts w:ascii="Times New Roman;sans-serif" w:hAnsi="Times New Roman;sans-serif"/>
          <w:b w:val="false"/>
          <w:color w:val="000000"/>
          <w:sz w:val="20"/>
          <w:shd w:fill="FFFFFF" w:val="clear"/>
        </w:rPr>
        <w:t xml:space="preserve">the three and six months ended November 30, 2023 compared to the same period in the prior year, respectively. The backlog, which primarily impacted sales of Core and Vascular Access products, was </w:t>
      </w:r>
      <w:r>
        <w:rPr>
          <w:rFonts w:ascii="Times New Roman;sans-serif" w:hAnsi="Times New Roman;sans-serif"/>
          <w:b w:val="false"/>
          <w:color w:val="000000"/>
          <w:sz w:val="20"/>
        </w:rPr>
        <w:t xml:space="preserve">$2.0 million, a decrease of $1.3 million from August 31, 2023. </w:t>
      </w:r>
    </w:p>
    <w:p>
      <w:pPr>
        <w:pStyle w:val="TextBody"/>
        <w:bidi w:val="0"/>
        <w:spacing w:lineRule="auto" w:line="288" w:before="0" w:after="180"/>
        <w:ind w:left="0" w:right="0" w:firstLine="45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change in sales for the three months ended November 30, 2023 compared to the same period in the prior year was primarily driven by:</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Decreased sales of dialysis and BioSentry products of $6.7 million and $1.8 million, respectively, which was due to the divestiture of these businesses on June 8, 2023;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Decreased sales of Microwave and Other Oncology and Vascular Access sales of $0.4 million and $0.1 million, respectively. These decreases were partially offset by increased sales of Core, PICCS and Ports products of $0.4 million, $0.1 million and $0.4 million, respectively. </w:t>
      </w:r>
    </w:p>
    <w:p>
      <w:pPr>
        <w:pStyle w:val="TextBody"/>
        <w:bidi w:val="0"/>
        <w:spacing w:before="0" w:after="0"/>
        <w:jc w:val="left"/>
        <w:rPr/>
      </w:pPr>
      <w:r>
        <w:rPr/>
      </w:r>
    </w:p>
    <w:p>
      <w:pPr>
        <w:pStyle w:val="TextBody"/>
        <w:bidi w:val="0"/>
        <w:spacing w:lineRule="auto" w:line="288" w:before="0" w:after="180"/>
        <w:ind w:left="0" w:right="0" w:firstLine="45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change in sales for the six months ended November 30, 2023 compared to the same period in the prior year was primarily driven by: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5f685e1e555b4b8b85d119fc12b2b16d_7">
        <w:r>
          <w:rPr>
            <w:rStyle w:val="InternetLink"/>
            <w:rFonts w:ascii="Times New Roman;sans-serif" w:hAnsi="Times New Roman;sans-serif"/>
            <w:b w:val="false"/>
            <w:color w:val="0000FF"/>
            <w:sz w:val="16"/>
            <w:u w:val="single"/>
          </w:rPr>
          <w:t>Table of Content</w:t>
        </w:r>
      </w:hyperlink>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Decreased sales of dialysis and BioSentry products of $12.6 million and $3.6 million, respectively, which was due to the divestiture of these businesses on June 8, 2023;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Decreased sales of PICCs and Other Oncology and Vascular Access sales of $0.7 million and $0.7 million, respectively. These decreases were partially offset by increased sales of Core, Midlines, Ports and Microwave products of $0.3 million, $0.3 million, $2.0 million and $0.7 million, respectively.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Gross Profit </w:t>
      </w:r>
    </w:p>
    <w:tbl>
      <w:tblPr>
        <w:tblW w:w="10205" w:type="dxa"/>
        <w:jc w:val="left"/>
        <w:tblInd w:w="0" w:type="dxa"/>
        <w:tblLayout w:type="fixed"/>
        <w:tblCellMar>
          <w:top w:w="28" w:type="dxa"/>
          <w:left w:w="28" w:type="dxa"/>
          <w:bottom w:w="28" w:type="dxa"/>
          <w:right w:w="28" w:type="dxa"/>
        </w:tblCellMar>
      </w:tblPr>
      <w:tblGrid>
        <w:gridCol w:w="621"/>
        <w:gridCol w:w="545"/>
        <w:gridCol w:w="547"/>
        <w:gridCol w:w="211"/>
        <w:gridCol w:w="721"/>
        <w:gridCol w:w="271"/>
        <w:gridCol w:w="109"/>
        <w:gridCol w:w="109"/>
        <w:gridCol w:w="109"/>
        <w:gridCol w:w="211"/>
        <w:gridCol w:w="721"/>
        <w:gridCol w:w="271"/>
        <w:gridCol w:w="109"/>
        <w:gridCol w:w="109"/>
        <w:gridCol w:w="109"/>
        <w:gridCol w:w="211"/>
        <w:gridCol w:w="679"/>
        <w:gridCol w:w="109"/>
        <w:gridCol w:w="109"/>
        <w:gridCol w:w="109"/>
        <w:gridCol w:w="109"/>
        <w:gridCol w:w="211"/>
        <w:gridCol w:w="721"/>
        <w:gridCol w:w="271"/>
        <w:gridCol w:w="109"/>
        <w:gridCol w:w="109"/>
        <w:gridCol w:w="109"/>
        <w:gridCol w:w="211"/>
        <w:gridCol w:w="721"/>
        <w:gridCol w:w="271"/>
        <w:gridCol w:w="109"/>
        <w:gridCol w:w="109"/>
        <w:gridCol w:w="109"/>
        <w:gridCol w:w="211"/>
        <w:gridCol w:w="679"/>
        <w:gridCol w:w="156"/>
      </w:tblGrid>
      <w:tr>
        <w:trPr/>
        <w:tc>
          <w:tcPr>
            <w:tcW w:w="621"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7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9"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6"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Six Months Ended</w:t>
            </w:r>
          </w:p>
        </w:tc>
      </w:tr>
      <w:tr>
        <w:trPr/>
        <w:tc>
          <w:tcPr>
            <w:tcW w:w="17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120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Nov 30, 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Nov 30, 2022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Nov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Nov 30, 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 Change</w:t>
            </w:r>
          </w:p>
        </w:tc>
      </w:tr>
      <w:tr>
        <w:trPr/>
        <w:tc>
          <w:tcPr>
            <w:tcW w:w="1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Med Tech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15,816 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15,614 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32,543 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30,043 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 % of sales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Med Device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24,446 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29,464 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47,779 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57,340 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(9,561)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 % of sales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40,262 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45,078 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80,322 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87,383 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 % of sales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76" w:before="0" w:after="180"/>
        <w:jc w:val="left"/>
        <w:rPr/>
      </w:pPr>
      <w:r>
        <w:rPr>
          <w:rFonts w:ascii="Times New Roman;sans-serif" w:hAnsi="Times New Roman;sans-serif"/>
          <w:b w:val="false"/>
          <w:color w:val="000000"/>
          <w:sz w:val="20"/>
          <w:u w:val="single"/>
        </w:rPr>
        <w:t>Gross profit</w:t>
      </w:r>
      <w:r>
        <w:rPr>
          <w:color w:val="000000"/>
        </w:rPr>
        <w:t xml:space="preserve"> </w:t>
      </w:r>
      <w:r>
        <w:rPr>
          <w:rFonts w:ascii="Times New Roman;sans-serif" w:hAnsi="Times New Roman;sans-serif"/>
          <w:b w:val="false"/>
          <w:color w:val="000000"/>
          <w:sz w:val="20"/>
        </w:rPr>
        <w:t xml:space="preserve">- Gross profit consists of net sales less the cost of goods sold, which includes the costs of materials, products purchased from third parties and sold by us, manufacturing personnel, royalties, freight, business insurance, depreciation of property and equipment and other manufacturing overhead, exclusive of intangible amortization. </w:t>
      </w:r>
    </w:p>
    <w:p>
      <w:pPr>
        <w:pStyle w:val="TextBody"/>
        <w:bidi w:val="0"/>
        <w:spacing w:lineRule="auto" w:line="288" w:before="0" w:after="180"/>
        <w:jc w:val="left"/>
        <w:rPr/>
      </w:pPr>
      <w:r>
        <w:rPr>
          <w:rFonts w:ascii="Times New Roman;sans-serif" w:hAnsi="Times New Roman;sans-serif"/>
          <w:b w:val="false"/>
          <w:color w:val="000000"/>
          <w:sz w:val="20"/>
        </w:rPr>
        <w:t xml:space="preserve">Total Company gross profit decreased by $4.8 million and $7.1 million for the three and </w:t>
      </w:r>
      <w:r>
        <w:rPr>
          <w:rFonts w:ascii="Times New Roman;sans-serif" w:hAnsi="Times New Roman;sans-serif"/>
          <w:b w:val="false"/>
          <w:color w:val="000000"/>
          <w:sz w:val="20"/>
          <w:shd w:fill="FFFFFF" w:val="clear"/>
        </w:rPr>
        <w:t>six</w:t>
      </w:r>
      <w:r>
        <w:rPr>
          <w:color w:val="000000"/>
        </w:rPr>
        <w:t xml:space="preserve"> </w:t>
      </w:r>
      <w:r>
        <w:rPr>
          <w:rFonts w:ascii="Times New Roman;sans-serif" w:hAnsi="Times New Roman;sans-serif"/>
          <w:b w:val="false"/>
          <w:color w:val="000000"/>
          <w:sz w:val="20"/>
        </w:rPr>
        <w:t>months ended November 30, 2023 compared to the same period in the prior year, respectively. The change for both periods was primarily driven by:</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sale of the dialysis and BioSentry businesses, which negatively impacted gross profit by $5.3 million and $9.4 million, respectively;</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Sales volume, which positively impacted gross profit by $1.5 million and $3.7 million, respectively;</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Production volume, price and other incentives which positively impacted gross profit by $0.1 million and $1.0 million, respectively;</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Sales mix, which negatively impacted gross profit by $0.5 million and $1.0 million, respectively;</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Inflationary costs on raw materials, labor shortages and freight costs, which negatively impacted gross profit by $0.5 million and $0.9 million, respectively; and</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Incremental depreciation on placement units of $0.3 million and $0.6 million, respectively.</w:t>
      </w:r>
    </w:p>
    <w:p>
      <w:pPr>
        <w:pStyle w:val="TextBody"/>
        <w:bidi w:val="0"/>
        <w:spacing w:before="0" w:after="0"/>
        <w:jc w:val="left"/>
        <w:rPr/>
      </w:pPr>
      <w:r>
        <w:rPr/>
      </w:r>
    </w:p>
    <w:p>
      <w:pPr>
        <w:pStyle w:val="TextBody"/>
        <w:bidi w:val="0"/>
        <w:spacing w:lineRule="auto" w:line="288" w:before="0" w:after="180"/>
        <w:jc w:val="left"/>
        <w:rPr/>
      </w:pPr>
      <w:r>
        <w:rPr>
          <w:rFonts w:ascii="Times New Roman;sans-serif" w:hAnsi="Times New Roman;sans-serif"/>
          <w:b w:val="false"/>
          <w:color w:val="000000"/>
          <w:sz w:val="20"/>
        </w:rPr>
        <w:t xml:space="preserve">The Med Tech segment gross profit increased by $0.2 million and $2.5 million for the three and </w:t>
      </w:r>
      <w:r>
        <w:rPr>
          <w:rFonts w:ascii="Times New Roman;sans-serif" w:hAnsi="Times New Roman;sans-serif"/>
          <w:b w:val="false"/>
          <w:color w:val="000000"/>
          <w:sz w:val="20"/>
          <w:shd w:fill="FFFFFF" w:val="clear"/>
        </w:rPr>
        <w:t xml:space="preserve">six </w:t>
      </w:r>
      <w:r>
        <w:rPr>
          <w:rFonts w:ascii="Times New Roman;sans-serif" w:hAnsi="Times New Roman;sans-serif"/>
          <w:b w:val="false"/>
          <w:color w:val="000000"/>
          <w:sz w:val="20"/>
        </w:rPr>
        <w:t>months ended November 30, 2023 compared to the same period in the prior year, respectively. The change for both periods was primarily driven by: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Sales volume, which positively impacted gross profit by $0.7 million and $2.8 million, respectively;</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Price and other incentives which positively impacted gross profit by $0.2 million and $0.9 million, respectively;</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Sales mix, which negatively impacted gross profit by $0.5 million and $0.9 million, respectively; and</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Incremental depreciation on placement units of $0.2 million and $0.4 million, respectively.</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0"/>
        </w:rPr>
        <w:t xml:space="preserve">The Med Device segment gross profit decreased by $5.0 million and $9.6 million for the three and </w:t>
      </w:r>
      <w:r>
        <w:rPr>
          <w:rFonts w:ascii="Times New Roman;sans-serif" w:hAnsi="Times New Roman;sans-serif"/>
          <w:b w:val="false"/>
          <w:color w:val="000000"/>
          <w:sz w:val="20"/>
          <w:shd w:fill="FFFFFF" w:val="clear"/>
        </w:rPr>
        <w:t>six</w:t>
      </w:r>
      <w:r>
        <w:rPr>
          <w:color w:val="000000"/>
        </w:rPr>
        <w:t xml:space="preserve"> </w:t>
      </w:r>
      <w:r>
        <w:rPr>
          <w:rFonts w:ascii="Times New Roman;sans-serif" w:hAnsi="Times New Roman;sans-serif"/>
          <w:b w:val="false"/>
          <w:color w:val="000000"/>
          <w:sz w:val="20"/>
        </w:rPr>
        <w:t>months ended November 30, 2023 compared to the same period in the prior year, respectively. The change for both periods was primarily driven by:</w:t>
      </w:r>
    </w:p>
    <w:p>
      <w:pPr>
        <w:pStyle w:val="TextBody"/>
        <w:bidi w:val="0"/>
        <w:spacing w:lineRule="auto" w:line="268" w:before="0" w:after="0"/>
        <w:jc w:val="left"/>
        <w:rPr>
          <w:color w:val="000000"/>
        </w:rPr>
      </w:pPr>
      <w:r>
        <w:rPr>
          <w:color w:val="000000"/>
        </w:rPr>
        <w:t>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sale of the dialysis and BioSentry businesses, which negatively impacted gross profit by $5.3 million and $9.4 million, respectively;</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Sales volume, which positively impacted gross profit by $0.8 million and $1.3 million, respectively;</w:t>
      </w:r>
    </w:p>
    <w:p>
      <w:pPr>
        <w:pStyle w:val="TextBody"/>
        <w:bidi w:val="0"/>
        <w:spacing w:lineRule="auto" w:line="288" w:before="0" w:after="0"/>
        <w:ind w:left="0" w:right="0" w:hanging="360"/>
        <w:jc w:val="left"/>
        <w:rPr/>
      </w:pPr>
      <w:r>
        <w:rPr>
          <w:color w:val="000000"/>
          <w:shd w:fill="FFFFFF" w:val="clear"/>
        </w:rPr>
        <w:t>•</w:t>
      </w:r>
      <w:r>
        <w:rPr>
          <w:rFonts w:ascii="Times New Roman;sans-serif" w:hAnsi="Times New Roman;sans-serif"/>
          <w:b w:val="false"/>
          <w:color w:val="000000"/>
          <w:sz w:val="20"/>
        </w:rPr>
        <w:t xml:space="preserve">Production volume and price, which negatively impacted gross profit by $0.1 million for the three months ended November 30, 2023 compared to the same period in the prior year, and which positively impacted gross profit by $0.1 million for the </w:t>
      </w:r>
      <w:r>
        <w:rPr>
          <w:rFonts w:ascii="Times New Roman;sans-serif" w:hAnsi="Times New Roman;sans-serif"/>
          <w:b w:val="false"/>
          <w:color w:val="000000"/>
          <w:sz w:val="20"/>
          <w:shd w:fill="FFFFFF" w:val="clear"/>
        </w:rPr>
        <w:t>six</w:t>
      </w:r>
      <w:r>
        <w:rPr>
          <w:color w:val="000000"/>
        </w:rPr>
        <w:t xml:space="preserve"> </w:t>
      </w:r>
      <w:r>
        <w:rPr>
          <w:rFonts w:ascii="Times New Roman;sans-serif" w:hAnsi="Times New Roman;sans-serif"/>
          <w:b w:val="false"/>
          <w:color w:val="000000"/>
          <w:sz w:val="20"/>
        </w:rPr>
        <w:t>months ended November 30, 2023 compared to the same period in the prior year;</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Sales mix, which negatively impacted gross profit by $0.1 million and $0.8 million, respectively;</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Inflationary costs on raw materials, labor shortages and freight costs, which negatively impacted gross profit by $0.5 million and $0.8 million, respectively; and</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Incremental depreciation on placement units of $0.1 million and $0.1 million,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5f685e1e555b4b8b85d119fc12b2b16d_7">
        <w:r>
          <w:rPr>
            <w:rStyle w:val="InternetLink"/>
            <w:rFonts w:ascii="Times New Roman;sans-serif" w:hAnsi="Times New Roman;sans-serif"/>
            <w:b w:val="false"/>
            <w:color w:val="0000FF"/>
            <w:sz w:val="16"/>
            <w:u w:val="single"/>
          </w:rPr>
          <w:t>Table of Content</w:t>
        </w:r>
      </w:hyperlink>
    </w:p>
    <w:p>
      <w:pPr>
        <w:pStyle w:val="TextBody"/>
        <w:bidi w:val="0"/>
        <w:spacing w:lineRule="auto" w:line="276" w:before="0" w:after="180"/>
        <w:jc w:val="left"/>
        <w:rPr>
          <w:rFonts w:ascii="Times New Roman;sans-serif" w:hAnsi="Times New Roman;sans-serif"/>
          <w:b/>
          <w:i/>
          <w:color w:val="000000"/>
          <w:sz w:val="20"/>
        </w:rPr>
      </w:pPr>
      <w:r>
        <w:rPr>
          <w:rFonts w:ascii="Times New Roman;sans-serif" w:hAnsi="Times New Roman;sans-serif"/>
          <w:b/>
          <w:i/>
          <w:color w:val="000000"/>
          <w:sz w:val="20"/>
        </w:rPr>
        <w:t>Operating Expenses and Other Income (Expense)</w:t>
      </w:r>
    </w:p>
    <w:tbl>
      <w:tblPr>
        <w:tblW w:w="10205" w:type="dxa"/>
        <w:jc w:val="left"/>
        <w:tblInd w:w="0" w:type="dxa"/>
        <w:tblLayout w:type="fixed"/>
        <w:tblCellMar>
          <w:top w:w="28" w:type="dxa"/>
          <w:left w:w="28" w:type="dxa"/>
          <w:bottom w:w="28" w:type="dxa"/>
          <w:right w:w="28" w:type="dxa"/>
        </w:tblCellMar>
      </w:tblPr>
      <w:tblGrid>
        <w:gridCol w:w="683"/>
        <w:gridCol w:w="554"/>
        <w:gridCol w:w="558"/>
        <w:gridCol w:w="211"/>
        <w:gridCol w:w="721"/>
        <w:gridCol w:w="271"/>
        <w:gridCol w:w="109"/>
        <w:gridCol w:w="109"/>
        <w:gridCol w:w="109"/>
        <w:gridCol w:w="211"/>
        <w:gridCol w:w="721"/>
        <w:gridCol w:w="271"/>
        <w:gridCol w:w="109"/>
        <w:gridCol w:w="109"/>
        <w:gridCol w:w="109"/>
        <w:gridCol w:w="211"/>
        <w:gridCol w:w="660"/>
        <w:gridCol w:w="109"/>
        <w:gridCol w:w="109"/>
        <w:gridCol w:w="109"/>
        <w:gridCol w:w="109"/>
        <w:gridCol w:w="211"/>
        <w:gridCol w:w="721"/>
        <w:gridCol w:w="271"/>
        <w:gridCol w:w="109"/>
        <w:gridCol w:w="109"/>
        <w:gridCol w:w="109"/>
        <w:gridCol w:w="211"/>
        <w:gridCol w:w="721"/>
        <w:gridCol w:w="271"/>
        <w:gridCol w:w="109"/>
        <w:gridCol w:w="109"/>
        <w:gridCol w:w="109"/>
        <w:gridCol w:w="211"/>
        <w:gridCol w:w="616"/>
        <w:gridCol w:w="156"/>
      </w:tblGrid>
      <w:tr>
        <w:trPr/>
        <w:tc>
          <w:tcPr>
            <w:tcW w:w="683"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3"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Six Months Ended</w:t>
            </w:r>
          </w:p>
        </w:tc>
      </w:tr>
      <w:tr>
        <w:trPr/>
        <w:tc>
          <w:tcPr>
            <w:tcW w:w="1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Nov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Nov 30, 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Nov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Nov 30, 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 Change</w:t>
            </w:r>
          </w:p>
        </w:tc>
      </w:tr>
      <w:tr>
        <w:trPr/>
        <w:tc>
          <w:tcPr>
            <w:tcW w:w="1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16,599 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15,171 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of sales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and marketing</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25,464 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26,007 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52,832 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52,550 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of sales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9,289 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10,835 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20,145 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20,936 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of sales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5"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1795"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180"/>
        <w:jc w:val="left"/>
        <w:rPr/>
      </w:pPr>
      <w:r>
        <w:rPr>
          <w:rFonts w:ascii="Times New Roman;sans-serif" w:hAnsi="Times New Roman;sans-serif"/>
          <w:b w:val="false"/>
          <w:color w:val="000000"/>
          <w:sz w:val="20"/>
          <w:u w:val="single"/>
          <w:shd w:fill="FFFFFF" w:val="clear"/>
        </w:rPr>
        <w:t>Research and development expense</w:t>
      </w:r>
      <w:r>
        <w:rPr>
          <w:color w:val="000000"/>
          <w:shd w:fill="FFFFFF" w:val="clear"/>
        </w:rPr>
        <w:t xml:space="preserve"> </w:t>
      </w:r>
      <w:r>
        <w:rPr>
          <w:rFonts w:ascii="Times New Roman;sans-serif" w:hAnsi="Times New Roman;sans-serif"/>
          <w:b w:val="false"/>
          <w:color w:val="000000"/>
          <w:sz w:val="20"/>
          <w:shd w:fill="FFFFFF" w:val="clear"/>
        </w:rPr>
        <w:t xml:space="preserve">- Research and development (“R&amp;D”) expense includes internal and external costs to develop new products, enhance existing products, validate new and enhanced products, and manage clinical, regulatory and medical affairs. </w:t>
      </w:r>
    </w:p>
    <w:p>
      <w:pPr>
        <w:pStyle w:val="TextBody"/>
        <w:bidi w:val="0"/>
        <w:spacing w:lineRule="auto" w:line="288" w:before="0" w:after="180"/>
        <w:jc w:val="left"/>
        <w:rPr/>
      </w:pPr>
      <w:r>
        <w:rPr>
          <w:rFonts w:ascii="Times New Roman;sans-serif" w:hAnsi="Times New Roman;sans-serif"/>
          <w:b w:val="false"/>
          <w:color w:val="000000"/>
          <w:sz w:val="20"/>
          <w:shd w:fill="FFFFFF" w:val="clear"/>
        </w:rPr>
        <w:t>R&amp;</w:t>
      </w:r>
      <w:r>
        <w:rPr>
          <w:rFonts w:ascii="Times New Roman;sans-serif" w:hAnsi="Times New Roman;sans-serif"/>
          <w:b w:val="false"/>
          <w:color w:val="000000"/>
          <w:sz w:val="20"/>
        </w:rPr>
        <w:t>D expense increased $1.8 million and $1.4 million for t</w:t>
      </w:r>
      <w:r>
        <w:rPr>
          <w:rFonts w:ascii="Times New Roman;sans-serif" w:hAnsi="Times New Roman;sans-serif"/>
          <w:b w:val="false"/>
          <w:color w:val="000000"/>
          <w:sz w:val="20"/>
          <w:shd w:fill="FFFFFF" w:val="clear"/>
        </w:rPr>
        <w:t>he three and six months ended November 30, 2023 compared to the same period in the prior year, respectively. The change for both periods was primarily driven by:</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timing of certain projects and clinical spend associated with the ongoing clinical trials, which increased R&amp;D expense by $1.6 million and $1.0 million, respectively;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Compensation and benefits expenses, which increased $0.2 million and $0.6 million, respectively.</w:t>
      </w:r>
    </w:p>
    <w:p>
      <w:pPr>
        <w:pStyle w:val="TextBody"/>
        <w:bidi w:val="0"/>
        <w:spacing w:before="0" w:after="0"/>
        <w:jc w:val="left"/>
        <w:rPr/>
      </w:pPr>
      <w:r>
        <w:rPr/>
      </w:r>
    </w:p>
    <w:p>
      <w:pPr>
        <w:pStyle w:val="TextBody"/>
        <w:bidi w:val="0"/>
        <w:spacing w:lineRule="auto" w:line="288" w:before="0" w:after="180"/>
        <w:jc w:val="left"/>
        <w:rPr/>
      </w:pPr>
      <w:r>
        <w:rPr>
          <w:rFonts w:ascii="Times New Roman;sans-serif" w:hAnsi="Times New Roman;sans-serif"/>
          <w:b w:val="false"/>
          <w:color w:val="000000"/>
          <w:sz w:val="20"/>
          <w:u w:val="single"/>
        </w:rPr>
        <w:t>Sales and marketing expense</w:t>
      </w:r>
      <w:r>
        <w:rPr>
          <w:color w:val="000000"/>
        </w:rPr>
        <w:t xml:space="preserve"> </w:t>
      </w:r>
      <w:r>
        <w:rPr>
          <w:rFonts w:ascii="Times New Roman;sans-serif" w:hAnsi="Times New Roman;sans-serif"/>
          <w:b w:val="false"/>
          <w:color w:val="000000"/>
          <w:sz w:val="20"/>
        </w:rPr>
        <w:t xml:space="preserve">- Sales and marketing (“S&amp;M”) expense consists primarily of salaries, commissions, travel and related business expenses, attendance at medical society meetings, product promotions and marketing activities. </w:t>
      </w:r>
    </w:p>
    <w:p>
      <w:pPr>
        <w:pStyle w:val="TextBody"/>
        <w:bidi w:val="0"/>
        <w:spacing w:lineRule="auto" w:line="288" w:before="0" w:after="180"/>
        <w:jc w:val="left"/>
        <w:rPr/>
      </w:pPr>
      <w:r>
        <w:rPr>
          <w:rFonts w:ascii="Times New Roman;sans-serif" w:hAnsi="Times New Roman;sans-serif"/>
          <w:b w:val="false"/>
          <w:color w:val="000000"/>
          <w:sz w:val="20"/>
        </w:rPr>
        <w:t>S&amp;M expense decreased $0.5 million and increased $0.3 million for t</w:t>
      </w:r>
      <w:r>
        <w:rPr>
          <w:rFonts w:ascii="Times New Roman;sans-serif" w:hAnsi="Times New Roman;sans-serif"/>
          <w:b w:val="false"/>
          <w:color w:val="000000"/>
          <w:sz w:val="20"/>
          <w:shd w:fill="FFFFFF" w:val="clear"/>
        </w:rPr>
        <w:t>he three and six months ended November 30, 2023 compared to the same period in the prior year. The change for both periods was primarily driven by:</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Compensation and benefits expense, which increased by $0.7 million and $2.1 million, respectively; and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Trade show expenses, which increased $0.1 million and $0.2 million, respectively. This was partially offset by travel and other selling expenses, which decreased $1.2 million and $1.9 million, respectively.</w:t>
      </w:r>
    </w:p>
    <w:p>
      <w:pPr>
        <w:pStyle w:val="TextBody"/>
        <w:bidi w:val="0"/>
        <w:spacing w:before="0" w:after="0"/>
        <w:jc w:val="left"/>
        <w:rPr/>
      </w:pPr>
      <w:r>
        <w:rPr/>
      </w:r>
    </w:p>
    <w:p>
      <w:pPr>
        <w:pStyle w:val="TextBody"/>
        <w:bidi w:val="0"/>
        <w:spacing w:lineRule="auto" w:line="288" w:before="0" w:after="180"/>
        <w:jc w:val="left"/>
        <w:rPr/>
      </w:pPr>
      <w:r>
        <w:rPr>
          <w:rFonts w:ascii="Times New Roman;sans-serif" w:hAnsi="Times New Roman;sans-serif"/>
          <w:b w:val="false"/>
          <w:color w:val="000000"/>
          <w:sz w:val="20"/>
          <w:u w:val="single"/>
        </w:rPr>
        <w:t>General and administrative expense</w:t>
      </w:r>
      <w:r>
        <w:rPr>
          <w:color w:val="000000"/>
        </w:rPr>
        <w:t xml:space="preserve"> </w:t>
      </w:r>
      <w:r>
        <w:rPr>
          <w:rFonts w:ascii="Times New Roman;sans-serif" w:hAnsi="Times New Roman;sans-serif"/>
          <w:b w:val="false"/>
          <w:color w:val="000000"/>
          <w:sz w:val="20"/>
        </w:rPr>
        <w:t xml:space="preserve">- General and administrative (“G&amp;A”) expense includes executive management, finance, information technology, human resources, business development, legal, and the administrative and professional costs associated with those activities. </w:t>
      </w:r>
    </w:p>
    <w:p>
      <w:pPr>
        <w:pStyle w:val="TextBody"/>
        <w:bidi w:val="0"/>
        <w:spacing w:lineRule="auto" w:line="288" w:before="0" w:after="180"/>
        <w:jc w:val="left"/>
        <w:rPr/>
      </w:pPr>
      <w:r>
        <w:rPr>
          <w:rFonts w:ascii="Times New Roman;sans-serif" w:hAnsi="Times New Roman;sans-serif"/>
          <w:b w:val="false"/>
          <w:color w:val="000000"/>
          <w:sz w:val="20"/>
          <w:shd w:fill="FFFFFF" w:val="clear"/>
        </w:rPr>
        <w:t>G&amp;A e</w:t>
      </w:r>
      <w:r>
        <w:rPr>
          <w:rFonts w:ascii="Times New Roman;sans-serif" w:hAnsi="Times New Roman;sans-serif"/>
          <w:b w:val="false"/>
          <w:color w:val="000000"/>
          <w:sz w:val="20"/>
        </w:rPr>
        <w:t>xpense decreased $1.5 million and $0.8 million for th</w:t>
      </w:r>
      <w:r>
        <w:rPr>
          <w:rFonts w:ascii="Times New Roman;sans-serif" w:hAnsi="Times New Roman;sans-serif"/>
          <w:b w:val="false"/>
          <w:color w:val="000000"/>
          <w:sz w:val="20"/>
          <w:shd w:fill="FFFFFF" w:val="clear"/>
        </w:rPr>
        <w:t>e three and six months ended November 30, 2023 compared to the same period in the prior year. The change for both periods was primarily driven by:</w:t>
      </w:r>
    </w:p>
    <w:p>
      <w:pPr>
        <w:pStyle w:val="TextBody"/>
        <w:bidi w:val="0"/>
        <w:spacing w:lineRule="auto" w:line="288" w:before="0" w:after="0"/>
        <w:ind w:left="0" w:right="0" w:hanging="360"/>
        <w:jc w:val="left"/>
        <w:rPr/>
      </w:pPr>
      <w:r>
        <w:rPr>
          <w:color w:val="000000"/>
          <w:shd w:fill="FFFFFF" w:val="clear"/>
        </w:rPr>
        <w:t>•</w:t>
      </w:r>
      <w:r>
        <w:rPr>
          <w:rFonts w:ascii="Times New Roman;sans-serif" w:hAnsi="Times New Roman;sans-serif"/>
          <w:b w:val="false"/>
          <w:color w:val="000000"/>
          <w:sz w:val="20"/>
        </w:rPr>
        <w:t xml:space="preserve">Compensation and benefits expenses, which decreased $1.4 million and $0.5 million, respectively. The decrease for the </w:t>
      </w:r>
      <w:r>
        <w:rPr>
          <w:rFonts w:ascii="Times New Roman;sans-serif" w:hAnsi="Times New Roman;sans-serif"/>
          <w:b w:val="false"/>
          <w:color w:val="000000"/>
          <w:sz w:val="20"/>
          <w:shd w:fill="FFFFFF" w:val="clear"/>
        </w:rPr>
        <w:t xml:space="preserve">six months ended November 30, 2023 </w:t>
      </w:r>
      <w:r>
        <w:rPr>
          <w:rFonts w:ascii="Times New Roman;sans-serif" w:hAnsi="Times New Roman;sans-serif"/>
          <w:b w:val="false"/>
          <w:color w:val="000000"/>
          <w:sz w:val="20"/>
        </w:rPr>
        <w:t>was partially offset by a change in the vesting of equity grants to members of the Board from a one-year vest period to immediate vesting which resulted in additional expense of $1.1 million in the first quarter of fiscal year 2024;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Other outside consultant spend for legal and IT, which decreased $0.2 million and $0.1 million, respectively along with decreased travel expenses of $0.1 million and $0.3 million, respectively. </w:t>
      </w:r>
    </w:p>
    <w:tbl>
      <w:tblPr>
        <w:tblW w:w="10205" w:type="dxa"/>
        <w:jc w:val="left"/>
        <w:tblInd w:w="0" w:type="dxa"/>
        <w:tblLayout w:type="fixed"/>
        <w:tblCellMar>
          <w:top w:w="28" w:type="dxa"/>
          <w:left w:w="28" w:type="dxa"/>
          <w:bottom w:w="28" w:type="dxa"/>
          <w:right w:w="28" w:type="dxa"/>
        </w:tblCellMar>
      </w:tblPr>
      <w:tblGrid>
        <w:gridCol w:w="933"/>
        <w:gridCol w:w="805"/>
        <w:gridCol w:w="810"/>
        <w:gridCol w:w="225"/>
        <w:gridCol w:w="660"/>
        <w:gridCol w:w="116"/>
        <w:gridCol w:w="109"/>
        <w:gridCol w:w="109"/>
        <w:gridCol w:w="109"/>
        <w:gridCol w:w="225"/>
        <w:gridCol w:w="660"/>
        <w:gridCol w:w="116"/>
        <w:gridCol w:w="109"/>
        <w:gridCol w:w="109"/>
        <w:gridCol w:w="109"/>
        <w:gridCol w:w="211"/>
        <w:gridCol w:w="658"/>
        <w:gridCol w:w="109"/>
        <w:gridCol w:w="109"/>
        <w:gridCol w:w="109"/>
        <w:gridCol w:w="109"/>
        <w:gridCol w:w="225"/>
        <w:gridCol w:w="660"/>
        <w:gridCol w:w="116"/>
        <w:gridCol w:w="109"/>
        <w:gridCol w:w="109"/>
        <w:gridCol w:w="109"/>
        <w:gridCol w:w="217"/>
        <w:gridCol w:w="680"/>
        <w:gridCol w:w="112"/>
        <w:gridCol w:w="109"/>
        <w:gridCol w:w="109"/>
        <w:gridCol w:w="109"/>
        <w:gridCol w:w="211"/>
        <w:gridCol w:w="658"/>
        <w:gridCol w:w="163"/>
      </w:tblGrid>
      <w:tr>
        <w:trPr/>
        <w:tc>
          <w:tcPr>
            <w:tcW w:w="933"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Six Months Ended</w:t>
            </w:r>
          </w:p>
        </w:tc>
      </w:tr>
      <w:tr>
        <w:trPr/>
        <w:tc>
          <w:tcPr>
            <w:tcW w:w="25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10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Nov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Nov 30, 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Nov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Nov 30, 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 Change</w:t>
            </w:r>
          </w:p>
        </w:tc>
      </w:tr>
      <w:tr>
        <w:trPr/>
        <w:tc>
          <w:tcPr>
            <w:tcW w:w="25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intangibles</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3,562 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4,808 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7,187 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9,645 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(2,458)</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contingent consideration</w:t>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(1,766)</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restructuring and other items, net</w:t>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9,400 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w:t>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(936)</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(1,492)</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5f685e1e555b4b8b85d119fc12b2b16d_7">
        <w:r>
          <w:rPr>
            <w:rStyle w:val="InternetLink"/>
            <w:rFonts w:ascii="Times New Roman;sans-serif" w:hAnsi="Times New Roman;sans-serif"/>
            <w:b w:val="false"/>
            <w:color w:val="0000FF"/>
            <w:sz w:val="16"/>
            <w:u w:val="single"/>
          </w:rPr>
          <w:t>Table of Content</w:t>
        </w:r>
      </w:hyperlink>
    </w:p>
    <w:p>
      <w:pPr>
        <w:pStyle w:val="TextBody"/>
        <w:bidi w:val="0"/>
        <w:spacing w:lineRule="auto" w:line="288" w:before="0" w:after="180"/>
        <w:jc w:val="left"/>
        <w:rPr/>
      </w:pPr>
      <w:r>
        <w:rPr>
          <w:rFonts w:ascii="Times New Roman;sans-serif" w:hAnsi="Times New Roman;sans-serif"/>
          <w:b w:val="false"/>
          <w:color w:val="000000"/>
          <w:sz w:val="20"/>
          <w:u w:val="single"/>
        </w:rPr>
        <w:t>Amortization of intangibles</w:t>
      </w:r>
      <w:r>
        <w:rPr>
          <w:color w:val="000000"/>
        </w:rPr>
        <w:t xml:space="preserve"> </w:t>
      </w:r>
      <w:r>
        <w:rPr>
          <w:rFonts w:ascii="Times New Roman;sans-serif" w:hAnsi="Times New Roman;sans-serif"/>
          <w:b w:val="false"/>
          <w:color w:val="000000"/>
          <w:sz w:val="20"/>
        </w:rPr>
        <w:t>- Represents the amount of amortization expense that was taken on intangibles assets held by the Company.</w:t>
      </w:r>
    </w:p>
    <w:p>
      <w:pPr>
        <w:pStyle w:val="TextBody"/>
        <w:bidi w:val="0"/>
        <w:spacing w:lineRule="auto" w:line="288" w:before="0" w:after="180"/>
        <w:ind w:left="0" w:right="0" w:hanging="360"/>
        <w:jc w:val="left"/>
        <w:rPr/>
      </w:pPr>
      <w:r>
        <w:rPr>
          <w:color w:val="000000"/>
          <w:shd w:fill="FFFFFF" w:val="clear"/>
        </w:rPr>
        <w:t>•</w:t>
      </w:r>
      <w:r>
        <w:rPr>
          <w:rFonts w:ascii="Times New Roman;sans-serif" w:hAnsi="Times New Roman;sans-serif"/>
          <w:b w:val="false"/>
          <w:color w:val="000000"/>
          <w:sz w:val="20"/>
        </w:rPr>
        <w:t xml:space="preserve">Amortization expense decreased $1.2 million and $2.5 million for the three and six months ended November 30, 2023 compared to the same period in the prior year, respectively, due to the intangible assets that were included in the sale of the dialysis and BioSentry businesses. </w:t>
      </w:r>
    </w:p>
    <w:p>
      <w:pPr>
        <w:pStyle w:val="TextBody"/>
        <w:bidi w:val="0"/>
        <w:spacing w:lineRule="auto" w:line="288" w:before="0" w:after="180"/>
        <w:jc w:val="left"/>
        <w:rPr/>
      </w:pPr>
      <w:r>
        <w:rPr>
          <w:rFonts w:ascii="Times New Roman;sans-serif" w:hAnsi="Times New Roman;sans-serif"/>
          <w:b w:val="false"/>
          <w:color w:val="000000"/>
          <w:sz w:val="20"/>
          <w:u w:val="single"/>
          <w:shd w:fill="FFFFFF" w:val="clear"/>
        </w:rPr>
        <w:t>Change in fair value of contingent consideration</w:t>
      </w:r>
      <w:r>
        <w:rPr>
          <w:color w:val="000000"/>
          <w:shd w:fill="FFFFFF" w:val="clear"/>
        </w:rPr>
        <w:t xml:space="preserve"> </w:t>
      </w:r>
      <w:r>
        <w:rPr>
          <w:rFonts w:ascii="Times New Roman;sans-serif" w:hAnsi="Times New Roman;sans-serif"/>
          <w:b w:val="false"/>
          <w:color w:val="000000"/>
          <w:sz w:val="20"/>
          <w:shd w:fill="FFFFFF" w:val="clear"/>
        </w:rPr>
        <w:t xml:space="preserve">- Represents changes in contingent consideration driven by changes to estimated future payments on earn-out liabilities created through acquisitions and amortization of present value discounts on long-term contingent consideration.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The change in the fair value for the three and six months ended November 30, 2023 is related to the Eximo contingent consideration. </w:t>
      </w:r>
    </w:p>
    <w:p>
      <w:pPr>
        <w:pStyle w:val="TextBody"/>
        <w:bidi w:val="0"/>
        <w:spacing w:lineRule="auto" w:line="288" w:before="0" w:after="180"/>
        <w:jc w:val="left"/>
        <w:rPr/>
      </w:pPr>
      <w:r>
        <w:rPr>
          <w:rFonts w:ascii="Times New Roman;sans-serif" w:hAnsi="Times New Roman;sans-serif"/>
          <w:b w:val="false"/>
          <w:color w:val="000000"/>
          <w:sz w:val="20"/>
          <w:u w:val="single"/>
          <w:shd w:fill="FFFFFF" w:val="clear"/>
        </w:rPr>
        <w:t>Acquisition, restructuring and other items, net</w:t>
      </w:r>
      <w:r>
        <w:rPr>
          <w:color w:val="000000"/>
          <w:shd w:fill="FFFFFF" w:val="clear"/>
        </w:rPr>
        <w:t xml:space="preserve"> </w:t>
      </w:r>
      <w:r>
        <w:rPr>
          <w:rFonts w:ascii="Times New Roman;sans-serif" w:hAnsi="Times New Roman;sans-serif"/>
          <w:b w:val="false"/>
          <w:color w:val="000000"/>
          <w:sz w:val="20"/>
          <w:shd w:fill="FFFFFF" w:val="clear"/>
        </w:rPr>
        <w:t>- Represents costs associated with mergers and acquisitions, restructuring expenses, legal costs that are related to litigation that is not in the ordinary course of business, legal settlements and other one-time items.</w:t>
      </w:r>
    </w:p>
    <w:p>
      <w:pPr>
        <w:pStyle w:val="TextBody"/>
        <w:bidi w:val="0"/>
        <w:spacing w:lineRule="auto" w:line="288" w:before="0" w:after="180"/>
        <w:jc w:val="left"/>
        <w:rPr/>
      </w:pPr>
      <w:r>
        <w:rPr>
          <w:rFonts w:ascii="Times New Roman;sans-serif" w:hAnsi="Times New Roman;sans-serif"/>
          <w:b w:val="false"/>
          <w:color w:val="000000"/>
          <w:sz w:val="20"/>
          <w:shd w:fill="FFFFFF" w:val="clear"/>
        </w:rPr>
        <w:t>Acquisition, restructuring and other item</w:t>
      </w:r>
      <w:r>
        <w:rPr>
          <w:rFonts w:ascii="Times New Roman;sans-serif" w:hAnsi="Times New Roman;sans-serif"/>
          <w:b w:val="false"/>
          <w:color w:val="000000"/>
          <w:sz w:val="20"/>
        </w:rPr>
        <w:t>s, net, increased by $3.1 million and $0.8 million for</w:t>
      </w:r>
      <w:r>
        <w:rPr>
          <w:color w:val="000000"/>
          <w:shd w:fill="FFFFFF" w:val="clear"/>
        </w:rPr>
        <w:t xml:space="preserve"> </w:t>
      </w:r>
      <w:r>
        <w:rPr>
          <w:rFonts w:ascii="Times New Roman;sans-serif" w:hAnsi="Times New Roman;sans-serif"/>
          <w:b w:val="false"/>
          <w:color w:val="000000"/>
          <w:sz w:val="20"/>
          <w:shd w:fill="FFFFFF" w:val="clear"/>
        </w:rPr>
        <w:t>the three and six months ended November 30, 2023, compared to the same period in the prior year, respectively. The change for both periods was primarily driven by:</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Legal expense, re</w:t>
      </w:r>
      <w:r>
        <w:rPr>
          <w:rFonts w:ascii="Times New Roman;sans-serif" w:hAnsi="Times New Roman;sans-serif"/>
          <w:b w:val="false"/>
          <w:color w:val="000000"/>
          <w:sz w:val="20"/>
          <w:shd w:fill="FFFFFF" w:val="clear"/>
        </w:rPr>
        <w:t xml:space="preserve">lated to litigation that is outside of the normal course of business, which increased $2.9 million and $2.9 million, respectively;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Mergers and acquisition expense, </w:t>
      </w:r>
      <w:r>
        <w:rPr>
          <w:rFonts w:ascii="Times New Roman;sans-serif" w:hAnsi="Times New Roman;sans-serif"/>
          <w:b w:val="false"/>
          <w:color w:val="000000"/>
          <w:sz w:val="20"/>
          <w:shd w:fill="FFFFFF" w:val="clear"/>
        </w:rPr>
        <w:t xml:space="preserve">which increased $0.3 million and $0.3 million, respectively;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Manufacturing relocation expense related to the move of certain manufacturing lines from Queensbury, New York to a third party, which increased $0.1 million and $0.5 million, respectively;</w:t>
      </w:r>
    </w:p>
    <w:p>
      <w:pPr>
        <w:pStyle w:val="TextBody"/>
        <w:bidi w:val="0"/>
        <w:spacing w:lineRule="auto" w:line="288" w:before="0" w:after="0"/>
        <w:ind w:left="0" w:right="0" w:hanging="360"/>
        <w:jc w:val="left"/>
        <w:rPr/>
      </w:pPr>
      <w:r>
        <w:rPr>
          <w:color w:val="000000"/>
          <w:shd w:fill="FFFFFF" w:val="clear"/>
        </w:rPr>
        <w:t>•</w:t>
      </w:r>
      <w:r>
        <w:rPr>
          <w:rFonts w:ascii="Times New Roman;sans-serif" w:hAnsi="Times New Roman;sans-serif"/>
          <w:b w:val="false"/>
          <w:color w:val="000000"/>
          <w:sz w:val="20"/>
        </w:rPr>
        <w:t>A transition services agreement that was entered into as a result of the sale of the dialysis and BioSentry businesses. The Company invoiced Merit Medical Systems, Inc. $0.2 million and $0.3 million for</w:t>
      </w:r>
      <w:r>
        <w:rPr>
          <w:color w:val="000000"/>
          <w:shd w:fill="FFFFFF" w:val="clear"/>
        </w:rPr>
        <w:t xml:space="preserve"> </w:t>
      </w:r>
      <w:r>
        <w:rPr>
          <w:rFonts w:ascii="Times New Roman;sans-serif" w:hAnsi="Times New Roman;sans-serif"/>
          <w:b w:val="false"/>
          <w:color w:val="000000"/>
          <w:sz w:val="20"/>
          <w:shd w:fill="FFFFFF" w:val="clear"/>
        </w:rPr>
        <w:t>the three and six months ended November 30, 2023, respectively</w:t>
      </w:r>
      <w:r>
        <w:rPr>
          <w:rFonts w:ascii="Times New Roman;sans-serif" w:hAnsi="Times New Roman;sans-serif"/>
          <w:b w:val="false"/>
          <w:color w:val="000000"/>
          <w:sz w:val="20"/>
        </w:rPr>
        <w:t xml:space="preserve">;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payment to the Israeli Innovation Authority of $3.5 million related to grant funds that were provided to Eximo to develop the Auryon laser prior to the acquisition in the second quarter of fiscal year 2020. These grant funds were fully repaid in the first quarter of fiscal year 2023 to satisfy the obligation which was otherwise being paid as a royalty based on a percentage of sales; and</w:t>
      </w:r>
    </w:p>
    <w:p>
      <w:pPr>
        <w:pStyle w:val="TextBody"/>
        <w:bidi w:val="0"/>
        <w:spacing w:lineRule="auto" w:line="288" w:before="0" w:after="0"/>
        <w:ind w:left="0" w:right="0" w:hanging="360"/>
        <w:jc w:val="left"/>
        <w:rPr/>
      </w:pPr>
      <w:r>
        <w:rPr>
          <w:color w:val="000000"/>
          <w:shd w:fill="FFFFFF" w:val="clear"/>
        </w:rPr>
        <w:t>•</w:t>
      </w:r>
      <w:r>
        <w:rPr>
          <w:rFonts w:ascii="Times New Roman;sans-serif" w:hAnsi="Times New Roman;sans-serif"/>
          <w:b w:val="false"/>
          <w:color w:val="000000"/>
          <w:sz w:val="20"/>
          <w:shd w:fill="FFFFFF" w:val="clear"/>
        </w:rPr>
        <w:t xml:space="preserve">$0.9 million of deferred financing fees that were written-off in conjunction with the sale of the Dialysis and BioSentry businesses and concurrent extinguishment of the debt </w:t>
      </w:r>
      <w:r>
        <w:rPr>
          <w:rFonts w:ascii="Times New Roman;sans-serif" w:hAnsi="Times New Roman;sans-serif"/>
          <w:b w:val="false"/>
          <w:color w:val="000000"/>
          <w:sz w:val="20"/>
        </w:rPr>
        <w:t>for</w:t>
      </w:r>
      <w:r>
        <w:rPr>
          <w:color w:val="000000"/>
          <w:shd w:fill="FFFFFF" w:val="clear"/>
        </w:rPr>
        <w:t xml:space="preserve"> </w:t>
      </w:r>
      <w:r>
        <w:rPr>
          <w:rFonts w:ascii="Times New Roman;sans-serif" w:hAnsi="Times New Roman;sans-serif"/>
          <w:b w:val="false"/>
          <w:color w:val="000000"/>
          <w:sz w:val="20"/>
          <w:shd w:fill="FFFFFF" w:val="clear"/>
        </w:rPr>
        <w:t xml:space="preserve">the six months ended November 30, 2023, compared to the same period in the prior year. </w:t>
      </w:r>
    </w:p>
    <w:p>
      <w:pPr>
        <w:pStyle w:val="TextBody"/>
        <w:bidi w:val="0"/>
        <w:spacing w:before="0" w:after="0"/>
        <w:jc w:val="left"/>
        <w:rPr/>
      </w:pPr>
      <w:r>
        <w:rPr/>
      </w:r>
    </w:p>
    <w:p>
      <w:pPr>
        <w:pStyle w:val="TextBody"/>
        <w:bidi w:val="0"/>
        <w:spacing w:lineRule="auto" w:line="288" w:before="0" w:after="180"/>
        <w:jc w:val="left"/>
        <w:rPr/>
      </w:pPr>
      <w:r>
        <w:rPr>
          <w:rFonts w:ascii="Times New Roman;sans-serif" w:hAnsi="Times New Roman;sans-serif"/>
          <w:b w:val="false"/>
          <w:color w:val="000000"/>
          <w:sz w:val="20"/>
          <w:u w:val="single"/>
          <w:shd w:fill="FFFFFF" w:val="clear"/>
        </w:rPr>
        <w:t>Other expense, net</w:t>
      </w:r>
      <w:r>
        <w:rPr>
          <w:color w:val="000000"/>
          <w:shd w:fill="FFFFFF" w:val="clear"/>
        </w:rPr>
        <w:t xml:space="preserve"> </w:t>
      </w:r>
      <w:r>
        <w:rPr>
          <w:rFonts w:ascii="Times New Roman;sans-serif" w:hAnsi="Times New Roman;sans-serif"/>
          <w:b w:val="false"/>
          <w:color w:val="000000"/>
          <w:sz w:val="20"/>
          <w:shd w:fill="FFFFFF" w:val="clear"/>
        </w:rPr>
        <w:t xml:space="preserve">- Other expenses include interest expense, foreign currency impacts, bank fees, and amortization of deferred financing costs. </w:t>
      </w:r>
    </w:p>
    <w:p>
      <w:pPr>
        <w:pStyle w:val="TextBody"/>
        <w:bidi w:val="0"/>
        <w:spacing w:lineRule="auto" w:line="288" w:before="0" w:after="180"/>
        <w:ind w:left="0" w:right="0" w:hanging="360"/>
        <w:jc w:val="left"/>
        <w:rPr/>
      </w:pPr>
      <w:r>
        <w:rPr>
          <w:color w:val="000000"/>
          <w:shd w:fill="FFFFFF" w:val="clear"/>
        </w:rPr>
        <w:t>•</w:t>
      </w:r>
      <w:r>
        <w:rPr>
          <w:rFonts w:ascii="Times New Roman;sans-serif" w:hAnsi="Times New Roman;sans-serif"/>
          <w:b w:val="false"/>
          <w:color w:val="000000"/>
          <w:sz w:val="20"/>
          <w:shd w:fill="FFFFFF" w:val="clear"/>
        </w:rPr>
        <w:t>The change in other expe</w:t>
      </w:r>
      <w:r>
        <w:rPr>
          <w:rFonts w:ascii="Times New Roman;sans-serif" w:hAnsi="Times New Roman;sans-serif"/>
          <w:b w:val="false"/>
          <w:color w:val="000000"/>
          <w:sz w:val="20"/>
        </w:rPr>
        <w:t xml:space="preserve">nse of $1.4 million and $1.8 million for </w:t>
      </w:r>
      <w:r>
        <w:rPr>
          <w:rFonts w:ascii="Times New Roman;sans-serif" w:hAnsi="Times New Roman;sans-serif"/>
          <w:b w:val="false"/>
          <w:color w:val="000000"/>
          <w:sz w:val="20"/>
          <w:shd w:fill="FFFFFF" w:val="clear"/>
        </w:rPr>
        <w:t xml:space="preserve">the three and six months ended November 30, 2023, compared to the same period in the prior year, respectively, is primarily due to </w:t>
      </w:r>
      <w:r>
        <w:rPr>
          <w:rFonts w:ascii="Times New Roman;sans-serif" w:hAnsi="Times New Roman;sans-serif"/>
          <w:b w:val="false"/>
          <w:color w:val="000000"/>
          <w:sz w:val="20"/>
        </w:rPr>
        <w:t>decreased interest expense of $0.6 million and $0.9 million, respectively, increased interest income of $0.5 million and $0.7 million, respectively and unrealized foreign currency fluctuations of $0.3 million and $0.1 million, respectively.</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Income Tax Benefit</w:t>
      </w:r>
    </w:p>
    <w:tbl>
      <w:tblPr>
        <w:tblW w:w="8837" w:type="dxa"/>
        <w:jc w:val="left"/>
        <w:tblInd w:w="0" w:type="dxa"/>
        <w:tblLayout w:type="fixed"/>
        <w:tblCellMar>
          <w:top w:w="28" w:type="dxa"/>
          <w:left w:w="28" w:type="dxa"/>
          <w:bottom w:w="28" w:type="dxa"/>
          <w:right w:w="28" w:type="dxa"/>
        </w:tblCellMar>
      </w:tblPr>
      <w:tblGrid>
        <w:gridCol w:w="1267"/>
        <w:gridCol w:w="1112"/>
        <w:gridCol w:w="1115"/>
        <w:gridCol w:w="229"/>
        <w:gridCol w:w="556"/>
        <w:gridCol w:w="295"/>
        <w:gridCol w:w="109"/>
        <w:gridCol w:w="109"/>
        <w:gridCol w:w="109"/>
        <w:gridCol w:w="236"/>
        <w:gridCol w:w="539"/>
        <w:gridCol w:w="304"/>
        <w:gridCol w:w="109"/>
        <w:gridCol w:w="109"/>
        <w:gridCol w:w="109"/>
        <w:gridCol w:w="256"/>
        <w:gridCol w:w="494"/>
        <w:gridCol w:w="329"/>
        <w:gridCol w:w="109"/>
        <w:gridCol w:w="109"/>
        <w:gridCol w:w="109"/>
        <w:gridCol w:w="235"/>
        <w:gridCol w:w="537"/>
        <w:gridCol w:w="352"/>
      </w:tblGrid>
      <w:tr>
        <w:trPr/>
        <w:tc>
          <w:tcPr>
            <w:tcW w:w="1267"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Six Months Ended</w:t>
            </w:r>
          </w:p>
        </w:tc>
      </w:tr>
      <w:tr>
        <w:trPr/>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Nov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Nov 30,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Nov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Nov 30, 2022</w:t>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 (expense)</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16.4 </w:t>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Effective tax rate including discrete items</w:t>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(130.2)</w:t>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30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24.3 </w:t>
            </w:r>
          </w:p>
        </w:tc>
        <w:tc>
          <w:tcPr>
            <w:tcW w:w="32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35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effective tax rate including discrete items for the three months ended November 30, 2023 and 2022 was (130.2)% and 6.2%, respectively. Our effective tax rate including discrete items for the six months ended November 30, 2023 and 2022 was 24.3% and 6.2%, respectively. In fiscal year 2024, the Company’s effective tax rate differs from the U.S. statutory rate primarily due to the impact of the valuation allowance, foreign taxes, and other non-deductible permanent items (such as non-deductible meals and entertainment, Section 162(m) excess compensation and non-deductible share-based compensation). </w:t>
      </w:r>
    </w:p>
    <w:p>
      <w:pPr>
        <w:pStyle w:val="TextBody"/>
        <w:bidi w:val="0"/>
        <w:spacing w:before="0" w:after="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5f685e1e555b4b8b85d119fc12b2b16d_7">
        <w:r>
          <w:rPr>
            <w:rStyle w:val="InternetLink"/>
            <w:rFonts w:ascii="Times New Roman;sans-serif" w:hAnsi="Times New Roman;sans-serif"/>
            <w:b w:val="false"/>
            <w:color w:val="0000FF"/>
            <w:sz w:val="16"/>
            <w:u w:val="single"/>
          </w:rPr>
          <w:t>Table of Content</w:t>
        </w:r>
      </w:hyperlink>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Liquidity and Capital Resources</w:t>
      </w:r>
    </w:p>
    <w:p>
      <w:pPr>
        <w:pStyle w:val="TextBody"/>
        <w:bidi w:val="0"/>
        <w:spacing w:lineRule="auto" w:line="288" w:before="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regularly review our liquidity and anticipated capital requirements and we believe that our current cash on hand provides sufficient liquidity to meet our anticipated needs for capital for at least the next 12 months. </w:t>
      </w:r>
    </w:p>
    <w:p>
      <w:pPr>
        <w:pStyle w:val="TextBody"/>
        <w:bidi w:val="0"/>
        <w:spacing w:lineRule="auto" w:line="288" w:before="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cash and cash equivalents totaled $60.9 million as of November 30, 2023, compared with $44.6 million as of May 31, 2023. As of November 30, 2023 there was no outstanding debt as the Credit Agreement was extinguished in connection with the Divestiture (see Note 7 "Long-Term Debt" set forth in the Notes to our consolidated financial statements included in this Quarterly Report on Form 10-Q). As of May 31, 2023, total debt outstanding related to the Credit Agreement was $50.0 million. The fair value of contingent consideration liability as of November 30, 2023 and May 31, 2023, was $9.4 million and $19.3 million, respectively.</w:t>
      </w:r>
    </w:p>
    <w:p>
      <w:pPr>
        <w:pStyle w:val="TextBody"/>
        <w:bidi w:val="0"/>
        <w:spacing w:lineRule="auto" w:line="288" w:before="0" w:after="18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table below summarizes our cash flows:</w:t>
      </w:r>
    </w:p>
    <w:tbl>
      <w:tblPr>
        <w:tblW w:w="7689" w:type="dxa"/>
        <w:jc w:val="left"/>
        <w:tblInd w:w="0" w:type="dxa"/>
        <w:tblLayout w:type="fixed"/>
        <w:tblCellMar>
          <w:top w:w="28" w:type="dxa"/>
          <w:left w:w="28" w:type="dxa"/>
          <w:bottom w:w="28" w:type="dxa"/>
          <w:right w:w="28" w:type="dxa"/>
        </w:tblCellMar>
      </w:tblPr>
      <w:tblGrid>
        <w:gridCol w:w="1844"/>
        <w:gridCol w:w="1618"/>
        <w:gridCol w:w="1623"/>
        <w:gridCol w:w="211"/>
        <w:gridCol w:w="796"/>
        <w:gridCol w:w="109"/>
        <w:gridCol w:w="109"/>
        <w:gridCol w:w="109"/>
        <w:gridCol w:w="109"/>
        <w:gridCol w:w="211"/>
        <w:gridCol w:w="796"/>
        <w:gridCol w:w="154"/>
      </w:tblGrid>
      <w:tr>
        <w:trPr/>
        <w:tc>
          <w:tcPr>
            <w:tcW w:w="1844" w:type="dxa"/>
            <w:tcBorders/>
            <w:vAlign w:val="center"/>
          </w:tcPr>
          <w:p>
            <w:pPr>
              <w:pStyle w:val="TableContents"/>
              <w:bidi w:val="0"/>
              <w:spacing w:before="0" w:after="283"/>
              <w:jc w:val="left"/>
              <w:rPr>
                <w:sz w:val="4"/>
                <w:szCs w:val="4"/>
              </w:rPr>
            </w:pPr>
            <w:r>
              <w:rPr>
                <w:sz w:val="4"/>
                <w:szCs w:val="4"/>
              </w:rPr>
            </w:r>
          </w:p>
        </w:tc>
        <w:tc>
          <w:tcPr>
            <w:tcW w:w="1618"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Six Months Ended</w:t>
            </w:r>
          </w:p>
        </w:tc>
      </w:tr>
      <w:tr>
        <w:trPr/>
        <w:tc>
          <w:tcPr>
            <w:tcW w:w="5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Nov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Nov 30, 2022</w:t>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provided by (used in):</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(17,246)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Investing activities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activities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exchange rate changes on cash and cash equivalents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 in cash and cash equivalents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16,276 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During the quarters ended November 30, 2023 and 2022, cash flows consisted of the following:</w:t>
      </w:r>
    </w:p>
    <w:p>
      <w:pPr>
        <w:pStyle w:val="TextBody"/>
        <w:bidi w:val="0"/>
        <w:spacing w:lineRule="auto" w:line="288" w:before="0" w:after="18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Cash used in operating activities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Six months ended November 30, 2023 and 2022:</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Net income of $16.8 million and a net loss of $21.5 million, respectively, plus the non-cash items, primarily driven by depreciation and amortization and stock based compensation, along with the changes in working capital below, contributed to cash used in operations of $20.6 million and $17.2 million, respectively, for these periods.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For the period ended November 30, 2023, working capital was unfavorably impacted by decreased accounts payable, accrued liabilities and other liabilities of $1.0 million, along with increased in</w:t>
      </w:r>
      <w:r>
        <w:rPr>
          <w:rFonts w:ascii="Times New Roman;sans-serif" w:hAnsi="Times New Roman;sans-serif"/>
          <w:b w:val="false"/>
          <w:color w:val="000000"/>
          <w:sz w:val="20"/>
          <w:shd w:fill="FFFFFF" w:val="clear"/>
        </w:rPr>
        <w:t xml:space="preserve">ventory and prepaid expenses of </w:t>
      </w:r>
      <w:r>
        <w:rPr>
          <w:rFonts w:ascii="Times New Roman;sans-serif" w:hAnsi="Times New Roman;sans-serif"/>
          <w:b w:val="false"/>
          <w:color w:val="000000"/>
          <w:sz w:val="20"/>
        </w:rPr>
        <w:t>$8.8 million and $5.0 million, respectively. This was partially offset by decreased accounts rec</w:t>
      </w:r>
      <w:r>
        <w:rPr>
          <w:rFonts w:ascii="Times New Roman;sans-serif" w:hAnsi="Times New Roman;sans-serif"/>
          <w:b w:val="false"/>
          <w:color w:val="000000"/>
          <w:sz w:val="20"/>
          <w:shd w:fill="FFFFFF" w:val="clear"/>
        </w:rPr>
        <w:t xml:space="preserve">eivable of </w:t>
      </w:r>
      <w:r>
        <w:rPr>
          <w:rFonts w:ascii="Times New Roman;sans-serif" w:hAnsi="Times New Roman;sans-serif"/>
          <w:b w:val="false"/>
          <w:color w:val="000000"/>
          <w:sz w:val="20"/>
        </w:rPr>
        <w:t>$0.7 million</w:t>
      </w:r>
      <w:r>
        <w:rPr>
          <w:rFonts w:ascii="Times New Roman;sans-serif" w:hAnsi="Times New Roman;sans-serif"/>
          <w:b w:val="false"/>
          <w:color w:val="000000"/>
          <w:sz w:val="20"/>
          <w:shd w:fill="FFFFFF" w:val="clear"/>
        </w:rPr>
        <w:t xml:space="preserve">.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For the period ended November 30, 2022, working capital was unfavorably impacted by decreased accounts payable, accrued liabilities and other liabilities of $2.8 million, along with increased receivables, inventory and prepaid expenses of $1.0 million, $11.8 million and $3.9 million, respectively. </w:t>
      </w:r>
    </w:p>
    <w:p>
      <w:pPr>
        <w:pStyle w:val="TextBody"/>
        <w:bidi w:val="0"/>
        <w:spacing w:lineRule="auto" w:line="288" w:before="0" w:after="18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Cash provided by (used in) investing activities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Six months ended November 30, 2023 and 2022:</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$1.3 million and $2.1 million, respectively, of cash was used for fixed asset additions;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shd w:fill="FFFFFF" w:val="clear"/>
        </w:rPr>
        <w:t>$2.0 million</w:t>
      </w:r>
      <w:r>
        <w:rPr>
          <w:color w:val="000000"/>
        </w:rPr>
        <w:t xml:space="preserve"> </w:t>
      </w:r>
      <w:r>
        <w:rPr>
          <w:rFonts w:ascii="Times New Roman;sans-serif" w:hAnsi="Times New Roman;sans-serif"/>
          <w:b w:val="false"/>
          <w:color w:val="000000"/>
          <w:sz w:val="20"/>
        </w:rPr>
        <w:t xml:space="preserve">and $3.4 million, respectively, of cash was used for Auryon placement and evaluation unit additions;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$100.0 million of cash was received for the divestiture of the dialysis and BioSentry businesses in the first quarter of fiscal year 2024;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$0.5 million of cash was used for the acquisition of an exclusive license in the first quarter of fiscal year 2023.</w:t>
      </w:r>
    </w:p>
    <w:p>
      <w:pPr>
        <w:pStyle w:val="TextBody"/>
        <w:bidi w:val="0"/>
        <w:spacing w:before="0" w:after="0"/>
        <w:jc w:val="left"/>
        <w:rPr/>
      </w:pPr>
      <w:r>
        <w:rPr/>
      </w:r>
    </w:p>
    <w:p>
      <w:pPr>
        <w:pStyle w:val="TextBody"/>
        <w:bidi w:val="0"/>
        <w:spacing w:lineRule="auto" w:line="288" w:before="0" w:after="18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Cash (used in) provided by financing activities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Six months ended November 30, 2023 and 2022:</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$50.0 million repayment of the Credit Agreement in connection with the completion of the dialysis and BioSentry divestiture in the first quarter of fiscal year 2024;</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$70.0 million in proceeds on long-term debt less the repayment of $45.0 million associated with the then new Credit Agreement in the first quarter of fiscal year 2023;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$0.8 million of deferred financing costs associated with the then new Credit Agreement in the first quarter of fiscal year 2023;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$10.0 million contingent consideration payment made in the first quarter of fiscal year 2024; and</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$0.1 million and $0.2 million, respectively, of proceeds from stock option and ESPP activity.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5f685e1e555b4b8b85d119fc12b2b16d_7">
        <w:r>
          <w:rPr>
            <w:rStyle w:val="InternetLink"/>
            <w:rFonts w:ascii="Times New Roman;sans-serif" w:hAnsi="Times New Roman;sans-serif"/>
            <w:b w:val="false"/>
            <w:color w:val="0000FF"/>
            <w:sz w:val="16"/>
            <w:u w:val="single"/>
          </w:rPr>
          <w:t>Table of Content</w:t>
        </w:r>
      </w:hyperlink>
    </w:p>
    <w:p>
      <w:pPr>
        <w:pStyle w:val="TextBody"/>
        <w:bidi w:val="0"/>
        <w:spacing w:lineRule="auto" w:line="288" w:before="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8, 2023 and in connection with the completion of the dialysis and BioSentry divestiture, the Company repaid all amounts outstanding under its existing Credit Agreement, and as a result, the Credit Agreement was extinguished. Pursuant to the terms of the Credit Agreement, AngioDynamics had the option to repay this facility prior to the maturity date without penalty. </w:t>
      </w:r>
    </w:p>
    <w:p>
      <w:pPr>
        <w:pStyle w:val="TextBody"/>
        <w:bidi w:val="0"/>
        <w:spacing w:lineRule="auto" w:line="288" w:before="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our current cash balance, together with cash generated from operations will provide sufficient liquidity to meet our anticipated needs for capital for at least the next 12 months. If we seek to make acquisitions of other businesses or technologies in the future for cash, we may require external financing. </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New Accounting Pronouncements</w:t>
      </w:r>
    </w:p>
    <w:p>
      <w:pPr>
        <w:pStyle w:val="TextBody"/>
        <w:bidi w:val="0"/>
        <w:spacing w:lineRule="auto" w:line="288" w:before="0" w:after="18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Information regarding new accounting pronouncements is included in Note 17 to our consolidated financial statements in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5f685e1e555b4b8b85d119fc12b2b16d_7">
        <w:r>
          <w:rPr>
            <w:rStyle w:val="InternetLink"/>
            <w:rFonts w:ascii="Times New Roman;sans-serif" w:hAnsi="Times New Roman;sans-serif"/>
            <w:b w:val="false"/>
            <w:color w:val="0000FF"/>
            <w:sz w:val="16"/>
            <w:u w:val="single"/>
          </w:rPr>
          <w:t>Table of Content</w:t>
        </w:r>
      </w:hyperlink>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Foreign Currency Exchange Rate Risk</w:t>
      </w:r>
    </w:p>
    <w:p>
      <w:pPr>
        <w:pStyle w:val="TextBody"/>
        <w:bidi w:val="0"/>
        <w:spacing w:lineRule="auto" w:line="288" w:before="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are exposed to market risk from changes in currency exchange rates and investments that could impact our results of operations and financial position.</w:t>
      </w:r>
    </w:p>
    <w:p>
      <w:pPr>
        <w:pStyle w:val="TextBody"/>
        <w:bidi w:val="0"/>
        <w:spacing w:lineRule="auto" w:line="288" w:before="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transact sales in currencies other than the U.S. Dollar, particularly the Euro, British Pound and Canadian Dollar. For the six months ended November 30, 2023, approximately 4.14% of our sales were denominated in foreign currencies. We do not have expenses denominated in foreign currencies at the level of our sales and as a result, our profitability is exposed to currency fluctuations. When the U.S. Dollar strengthens, our sales and gross profit will be negatively impacted. In addition, we have assets and liabilities denominated in non-functional currencies which are remeasured at each reporting period, with the offset to changes presented as a component of Other (Expenses) Income. Significant non-functional balances include accounts receivable due from a sub-section of our international customers. </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Concentration of Credit Risk</w:t>
      </w:r>
    </w:p>
    <w:p>
      <w:pPr>
        <w:pStyle w:val="TextBody"/>
        <w:bidi w:val="0"/>
        <w:spacing w:lineRule="auto" w:line="288" w:before="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Financial instruments, which potentially subject the Company to significant concentrations of credit risk, consist primarily of cash and cash equivalents and trade accounts receivable.</w:t>
      </w:r>
    </w:p>
    <w:p>
      <w:pPr>
        <w:pStyle w:val="TextBody"/>
        <w:bidi w:val="0"/>
        <w:spacing w:lineRule="auto" w:line="288" w:before="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maintains cash and cash equivalents at various institutions and performs periodic evaluations of the relative credit standings of these financial institutions to ensure their credit worthiness. </w:t>
      </w:r>
    </w:p>
    <w:p>
      <w:pPr>
        <w:pStyle w:val="TextBody"/>
        <w:bidi w:val="0"/>
        <w:spacing w:lineRule="auto" w:line="288" w:before="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Concentration of credit risk with respect to trade accounts receivable is limited due to the large number of customers that purchase products from the Company. No single customer represents more than 10% of total sales. The Company monitors the creditworthiness of its customers. As the Company’s standard payment terms are 30 to 90 days from invoicing, the Company does not provide any significant financing to its customers. Although the Company does not currently foresee a significant credit risk associated with the outstanding accounts receivable, repayment is dependent upon the financial stability of our customers.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5f685e1e555b4b8b85d119fc12b2b16d_7">
        <w:r>
          <w:rPr>
            <w:rStyle w:val="InternetLink"/>
            <w:rFonts w:ascii="Times New Roman;sans-serif" w:hAnsi="Times New Roman;sans-serif"/>
            <w:b w:val="false"/>
            <w:color w:val="0000FF"/>
            <w:sz w:val="16"/>
            <w:u w:val="single"/>
          </w:rPr>
          <w:t>Table of Content</w:t>
        </w:r>
      </w:hyperlink>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bidi w:val="0"/>
        <w:spacing w:lineRule="auto" w:line="288" w:before="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 of the end of the period covered by this report, our management, under the supervision and with the participation of our Chief Executive Officer and Chief Financial Officer, evaluated the effectiveness of the design and operation of our disclosure controls and procedures pursuant to Rule 13a-15(b) of the Securities Exchange Act of 1934, as amended. Based on that evaluation, the Chief Executive Officer and the Chief Financial Officer concluded that our disclosure controls and procedures as of the end of the period covered by this report were effective to provide reasonable assurance that the information required to be disclosed by us in reports filed under the Securities Exchange Act of 1934, as amended, is recorded, processed, summarized and reported within the time periods specified in the SEC rules and forms and is accumulated and communicated to management, including our Chief Executive Officer and Chief Financial Officer, as appropriate to allow timely decisions regarding required disclosure.</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There was no change in our internal control over financial reporting for the fiscal quarter ended November 30, 2023 that has materially affected, or is reasonably likely to materially affect, our internal control over financial reporting. </w:t>
      </w:r>
    </w:p>
    <w:p>
      <w:pPr>
        <w:pStyle w:val="TextBody"/>
        <w:bidi w:val="0"/>
        <w:spacing w:before="240" w:after="283"/>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5f685e1e555b4b8b85d119fc12b2b16d_7">
        <w:r>
          <w:rPr>
            <w:rStyle w:val="InternetLink"/>
            <w:rFonts w:ascii="Times New Roman;sans-serif" w:hAnsi="Times New Roman;sans-serif"/>
            <w:b w:val="false"/>
            <w:color w:val="0000FF"/>
            <w:sz w:val="16"/>
            <w:u w:val="single"/>
          </w:rPr>
          <w:t>Table of Content</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AngioDynamics, Inc. and Subsidiaries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180" w:after="180"/>
        <w:ind w:left="0" w:right="0" w:firstLine="432"/>
        <w:jc w:val="left"/>
        <w:rPr>
          <w:rFonts w:ascii="Times New Roman;sans-serif" w:hAnsi="Times New Roman;sans-serif"/>
          <w:b w:val="false"/>
          <w:color w:val="000000"/>
          <w:sz w:val="20"/>
        </w:rPr>
      </w:pPr>
      <w:r>
        <w:rPr>
          <w:rFonts w:ascii="Times New Roman;sans-serif" w:hAnsi="Times New Roman;sans-serif"/>
          <w:b w:val="false"/>
          <w:color w:val="000000"/>
          <w:sz w:val="20"/>
        </w:rPr>
        <w:t>See Note 14 "Commitments and Contingencies" set forth in the notes to our consolidated financial statements included in Part I, Item I of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information set forth in this report, you should carefully consider the factors discussed in “Part I, Item 1A. Risk Factors” of our annual report on Form 10-K for our fiscal year ended May 31, 2023 which set forth information relating to important risks and uncertainties that could materially adversely affect our business, financial condition or operating results. You should review and consider such Risk Factors in making any investment decision with respect to our securities. An investment in our securities continues to involve a high degree of risk. </w:t>
      </w:r>
    </w:p>
    <w:p>
      <w:pPr>
        <w:pStyle w:val="TextBody"/>
        <w:bidi w:val="0"/>
        <w:spacing w:lineRule="auto" w:line="268" w:before="240" w:after="180"/>
        <w:ind w:left="0" w:right="0" w:firstLine="450"/>
        <w:jc w:val="left"/>
        <w:rPr/>
      </w:pPr>
      <w:r>
        <w:rPr>
          <w:rFonts w:ascii="Times New Roman;sans-serif" w:hAnsi="Times New Roman;sans-serif"/>
          <w:b w:val="false"/>
          <w:color w:val="000000"/>
          <w:sz w:val="20"/>
        </w:rPr>
        <w:t>On June 8, 2023, the Company completed the sale of the dialysis and BioSentry businesses to Merit Medical Systems, Inc. In connection with the completion of the sale, the Company repaid all amounts outstanding under its then existing Credit Agreement, and as a result, the Credit Agreement was extinguished. We believe that our current cash balance, together with cash generated from operations will provide sufficient liquidity to meet our anticipated needs for capital for at least the next 12 months. If we seek to make acquisitions of other businesses or technologies in the future for cash or if circumstances materially change, we may require additional financing for liquidity, capital requirements or growth initiatives. We may not be able to obtain financing on terms and at interest rates that are favorable to us or at all. Any inability by us to obtain financing in the future could have a material adverse effect on our business, financial position, results of operations and cash flows</w:t>
      </w:r>
      <w:r>
        <w:rPr>
          <w:rFonts w:ascii="Arial;sans-serif" w:hAnsi="Arial;sans-serif"/>
          <w:b w:val="false"/>
          <w:color w:val="000000"/>
          <w:sz w:val="20"/>
          <w:shd w:fill="FFFFFF" w:val="clear"/>
        </w:rPr>
        <w:t>.</w:t>
      </w:r>
    </w:p>
    <w:p>
      <w:pPr>
        <w:pStyle w:val="TextBody"/>
        <w:bidi w:val="0"/>
        <w:spacing w:before="0" w:after="18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lineRule="auto" w:line="288" w:before="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information with respect to the shares of the Company’s common stock repurchased during the three months ended November 30, 2023:</w:t>
      </w:r>
    </w:p>
    <w:tbl>
      <w:tblPr>
        <w:tblW w:w="8559" w:type="dxa"/>
        <w:jc w:val="left"/>
        <w:tblInd w:w="0" w:type="dxa"/>
        <w:tblLayout w:type="fixed"/>
        <w:tblCellMar>
          <w:top w:w="28" w:type="dxa"/>
          <w:left w:w="28" w:type="dxa"/>
          <w:bottom w:w="28" w:type="dxa"/>
          <w:right w:w="28" w:type="dxa"/>
        </w:tblCellMar>
      </w:tblPr>
      <w:tblGrid>
        <w:gridCol w:w="1231"/>
        <w:gridCol w:w="1083"/>
        <w:gridCol w:w="1090"/>
        <w:gridCol w:w="354"/>
        <w:gridCol w:w="354"/>
        <w:gridCol w:w="356"/>
        <w:gridCol w:w="109"/>
        <w:gridCol w:w="109"/>
        <w:gridCol w:w="109"/>
        <w:gridCol w:w="211"/>
        <w:gridCol w:w="511"/>
        <w:gridCol w:w="109"/>
        <w:gridCol w:w="109"/>
        <w:gridCol w:w="109"/>
        <w:gridCol w:w="109"/>
        <w:gridCol w:w="339"/>
        <w:gridCol w:w="339"/>
        <w:gridCol w:w="341"/>
        <w:gridCol w:w="109"/>
        <w:gridCol w:w="109"/>
        <w:gridCol w:w="109"/>
        <w:gridCol w:w="344"/>
        <w:gridCol w:w="663"/>
        <w:gridCol w:w="253"/>
      </w:tblGrid>
      <w:tr>
        <w:trPr/>
        <w:tc>
          <w:tcPr>
            <w:tcW w:w="1231"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Issuer Purchases of Equity Securities</w:t>
            </w:r>
          </w:p>
        </w:tc>
      </w:tr>
      <w:tr>
        <w:trPr/>
        <w:tc>
          <w:tcPr>
            <w:tcW w:w="3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Total</w:t>
              <w:br/>
              <w:t>Number of</w:t>
              <w:br/>
              <w:t>Shares</w:t>
              <w:br/>
              <w:t>Purchased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Average</w:t>
              <w:br/>
              <w:t>Price Paid</w:t>
              <w:br/>
              <w:t>per Share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Total</w:t>
              <w:br/>
              <w:t>Number of</w:t>
              <w:br/>
              <w:t>Shares</w:t>
              <w:br/>
              <w:t>Purchased</w:t>
              <w:br/>
              <w:t>as Part of</w:t>
              <w:br/>
              <w:t>Publicly</w:t>
              <w:br/>
              <w:t>Announced</w:t>
              <w:br/>
              <w:t>Programs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Maximum</w:t>
              <w:br/>
              <w:t>Approximate</w:t>
              <w:br/>
              <w:t>Dollar Value</w:t>
              <w:br/>
              <w:t>of Shares</w:t>
              <w:br/>
              <w:t>that May Yet</w:t>
              <w:br/>
              <w:t>Be</w:t>
              <w:br/>
              <w:t>Purchased</w:t>
              <w:br/>
              <w:t>Under Plans</w:t>
              <w:br/>
              <w:t>or Programs (2)</w:t>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September 1, 2023 - September 30, 2023</w:t>
            </w:r>
          </w:p>
        </w:tc>
        <w:tc>
          <w:tcPr>
            <w:tcW w:w="7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October 1, 2023 - October 31, 2023</w:t>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1,802 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1, 2023 - November 30, 2023</w:t>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733 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70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2,535 </w:t>
            </w:r>
          </w:p>
        </w:tc>
        <w:tc>
          <w:tcPr>
            <w:tcW w:w="3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(1)These shares were purchased from employees to satisfy tax withholding requirements on the vesting of restricted shares/units from equity-based awards.</w:t>
      </w:r>
    </w:p>
    <w:p>
      <w:pPr>
        <w:pStyle w:val="TextBody"/>
        <w:bidi w:val="0"/>
        <w:spacing w:lineRule="auto" w:line="288"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(2)These amounts are not applicable as the Company currently does not have a share repurchase program in effect.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ans-serif" w:hAnsi="Times New Roman;sans-serif"/>
          <w:b/>
          <w:color w:val="000000"/>
          <w:sz w:val="20"/>
        </w:rPr>
      </w:pPr>
      <w:r>
        <w:rPr>
          <w:rFonts w:ascii="Times New Roman;sans-serif" w:hAnsi="Times New Roman;sans-serif"/>
          <w:b/>
          <w:color w:val="000000"/>
          <w:sz w:val="20"/>
        </w:rPr>
        <w:t>Item 3. Defaults on Senior Securities.</w:t>
      </w:r>
    </w:p>
    <w:p>
      <w:pPr>
        <w:pStyle w:val="TextBody"/>
        <w:bidi w:val="0"/>
        <w:spacing w:lineRule="auto" w:line="288" w:before="0" w:after="18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120" w:after="18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88" w:before="120" w:after="283"/>
        <w:jc w:val="left"/>
        <w:rPr/>
      </w:pPr>
      <w:r>
        <w:rPr>
          <w:rFonts w:ascii="Times New Roman;sans-serif" w:hAnsi="Times New Roman;sans-serif"/>
          <w:b w:val="false"/>
          <w:color w:val="000000"/>
          <w:sz w:val="20"/>
          <w:u w:val="single"/>
        </w:rPr>
        <w:t>Insider Trading Arrangements</w:t>
      </w:r>
      <w:r>
        <w:rPr>
          <w:color w:val="000000"/>
        </w:rPr>
        <w:t xml:space="preserve">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During the quarter ended November 30, 2023, none of our directors or officers (as defined in Section 16 of the Securities Exchange Act of 1934, as amended) or the Company adopted or terminated a "Rule 10b5-1 trading arrangement" or a "non-Rule 10b5-1 trading arrangement" (each as defined in Item 408(a) and (c), respectively,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5f685e1e555b4b8b85d119fc12b2b16d_7">
        <w:r>
          <w:rPr>
            <w:rStyle w:val="InternetLink"/>
            <w:rFonts w:ascii="Times New Roman;sans-serif" w:hAnsi="Times New Roman;sans-serif"/>
            <w:b w:val="false"/>
            <w:color w:val="0000FF"/>
            <w:sz w:val="16"/>
            <w:u w:val="single"/>
          </w:rPr>
          <w:t>Table of Content</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w:t>
      </w:r>
    </w:p>
    <w:tbl>
      <w:tblPr>
        <w:tblW w:w="10205" w:type="dxa"/>
        <w:jc w:val="left"/>
        <w:tblInd w:w="0" w:type="dxa"/>
        <w:tblLayout w:type="fixed"/>
        <w:tblCellMar>
          <w:top w:w="28" w:type="dxa"/>
          <w:left w:w="28" w:type="dxa"/>
          <w:bottom w:w="28" w:type="dxa"/>
          <w:right w:w="28" w:type="dxa"/>
        </w:tblCellMar>
      </w:tblPr>
      <w:tblGrid>
        <w:gridCol w:w="257"/>
        <w:gridCol w:w="211"/>
        <w:gridCol w:w="215"/>
        <w:gridCol w:w="2581"/>
        <w:gridCol w:w="2358"/>
        <w:gridCol w:w="2365"/>
        <w:gridCol w:w="241"/>
        <w:gridCol w:w="199"/>
        <w:gridCol w:w="181"/>
        <w:gridCol w:w="247"/>
        <w:gridCol w:w="247"/>
        <w:gridCol w:w="246"/>
        <w:gridCol w:w="272"/>
        <w:gridCol w:w="260"/>
        <w:gridCol w:w="325"/>
      </w:tblGrid>
      <w:tr>
        <w:trPr/>
        <w:tc>
          <w:tcPr>
            <w:tcW w:w="2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581" w:type="dxa"/>
            <w:tcBorders/>
            <w:vAlign w:val="center"/>
          </w:tcPr>
          <w:p>
            <w:pPr>
              <w:pStyle w:val="TableContents"/>
              <w:bidi w:val="0"/>
              <w:spacing w:before="0" w:after="283"/>
              <w:jc w:val="left"/>
              <w:rPr>
                <w:sz w:val="4"/>
                <w:szCs w:val="4"/>
              </w:rPr>
            </w:pPr>
            <w:r>
              <w:rPr>
                <w:sz w:val="4"/>
                <w:szCs w:val="4"/>
              </w:rPr>
            </w:r>
          </w:p>
        </w:tc>
        <w:tc>
          <w:tcPr>
            <w:tcW w:w="2358" w:type="dxa"/>
            <w:tcBorders/>
            <w:vAlign w:val="center"/>
          </w:tcPr>
          <w:p>
            <w:pPr>
              <w:pStyle w:val="TableContents"/>
              <w:bidi w:val="0"/>
              <w:spacing w:before="0" w:after="283"/>
              <w:jc w:val="left"/>
              <w:rPr>
                <w:sz w:val="4"/>
                <w:szCs w:val="4"/>
              </w:rPr>
            </w:pPr>
            <w:r>
              <w:rPr>
                <w:sz w:val="4"/>
                <w:szCs w:val="4"/>
              </w:rPr>
            </w:r>
          </w:p>
        </w:tc>
        <w:tc>
          <w:tcPr>
            <w:tcW w:w="236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r>
      <w:tr>
        <w:trPr/>
        <w:tc>
          <w:tcPr>
            <w:tcW w:w="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EXHIBIT INDEX</w:t>
            </w:r>
          </w:p>
        </w:tc>
        <w:tc>
          <w:tcPr>
            <w:tcW w:w="22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Incorporated by Reference</w:t>
            </w:r>
          </w:p>
        </w:tc>
      </w:tr>
      <w:tr>
        <w:trPr/>
        <w:tc>
          <w:tcPr>
            <w:tcW w:w="6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No.</w:t>
            </w:r>
          </w:p>
        </w:tc>
        <w:tc>
          <w:tcPr>
            <w:tcW w:w="7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w:t>
            </w:r>
          </w:p>
        </w:tc>
        <w:tc>
          <w:tcPr>
            <w:tcW w:w="6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Form</w:t>
            </w:r>
          </w:p>
        </w:tc>
        <w:tc>
          <w:tcPr>
            <w:tcW w:w="7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Exhibit </w:t>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Filing Date</w:t>
            </w:r>
          </w:p>
        </w:tc>
      </w:tr>
      <w:tr>
        <w:trPr/>
        <w:tc>
          <w:tcPr>
            <w:tcW w:w="6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73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11302023-exx311.htm">
              <w:r>
                <w:rPr>
                  <w:rStyle w:val="InternetLink"/>
                  <w:rFonts w:ascii="Times New Roman;sans-serif" w:hAnsi="Times New Roman;sans-serif"/>
                  <w:b w:val="false"/>
                  <w:color w:val="0000FF"/>
                  <w:sz w:val="20"/>
                  <w:u w:val="single"/>
                </w:rPr>
                <w:t>Certification pursuant to Rule 13a-14(a) or 15d-14 under the Securities Exchange Act of 1934</w:t>
              </w:r>
            </w:hyperlink>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73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11302023-exx312.htm">
              <w:r>
                <w:rPr>
                  <w:rStyle w:val="InternetLink"/>
                  <w:rFonts w:ascii="Times New Roman;sans-serif" w:hAnsi="Times New Roman;sans-serif"/>
                  <w:b w:val="false"/>
                  <w:color w:val="0000FF"/>
                  <w:sz w:val="20"/>
                  <w:u w:val="single"/>
                </w:rPr>
                <w:t>Certification pursuant to Rule 13a-14(a) or 15d-14 under the Securities Exchange Act of 1934</w:t>
              </w:r>
            </w:hyperlink>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73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11302023-exx321.htm">
              <w:r>
                <w:rPr>
                  <w:rStyle w:val="InternetLink"/>
                  <w:rFonts w:ascii="Times New Roman;sans-serif" w:hAnsi="Times New Roman;sans-serif"/>
                  <w:b w:val="false"/>
                  <w:color w:val="0000FF"/>
                  <w:sz w:val="20"/>
                  <w:u w:val="single"/>
                </w:rPr>
                <w:t>Certification of Chief Executive Officer pursuant to Title 18, United States Code, Section 1350, as adopted pursuant to Section 906 of the Sarbanes-Oxley Act of 2002</w:t>
              </w:r>
            </w:hyperlink>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73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11302023-exx322.htm">
              <w:r>
                <w:rPr>
                  <w:rStyle w:val="InternetLink"/>
                  <w:rFonts w:ascii="Times New Roman;sans-serif" w:hAnsi="Times New Roman;sans-serif"/>
                  <w:b w:val="false"/>
                  <w:color w:val="0000FF"/>
                  <w:sz w:val="20"/>
                  <w:u w:val="single"/>
                </w:rPr>
                <w:t>Certification of Chief Financial Officer pursuant to Title 18, United States Code, Section 1350, as adopted pursuant to Section 906 of the Sarbanes-Oxley Act of 2002</w:t>
              </w:r>
            </w:hyperlink>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7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instance document does not appear in the interactive data file because its XBRL tags are embedded within the inline XBRL document</w:t>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7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Schema Document</w:t>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7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Calculation Linkbase Documents</w:t>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7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Definition Linkbase Document</w:t>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7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Labels Linkbase Documents</w:t>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7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Presentation Linkbase Documents</w:t>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5f685e1e555b4b8b85d119fc12b2b16d_7">
        <w:r>
          <w:rPr>
            <w:rStyle w:val="InternetLink"/>
            <w:rFonts w:ascii="Times New Roman;sans-serif" w:hAnsi="Times New Roman;sans-serif"/>
            <w:b w:val="false"/>
            <w:color w:val="0000FF"/>
            <w:sz w:val="16"/>
            <w:u w:val="single"/>
          </w:rPr>
          <w:t>Table of Content</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0"/>
        <w:jc w:val="left"/>
        <w:rPr>
          <w:color w:val="000000"/>
        </w:rPr>
      </w:pPr>
      <w:r>
        <w:rPr>
          <w:color w:val="000000"/>
        </w:rPr>
        <w:t> </w:t>
      </w:r>
    </w:p>
    <w:tbl>
      <w:tblPr>
        <w:tblW w:w="6938" w:type="dxa"/>
        <w:jc w:val="left"/>
        <w:tblInd w:w="0" w:type="dxa"/>
        <w:tblLayout w:type="fixed"/>
        <w:tblCellMar>
          <w:top w:w="28" w:type="dxa"/>
          <w:left w:w="28" w:type="dxa"/>
          <w:bottom w:w="28" w:type="dxa"/>
          <w:right w:w="28" w:type="dxa"/>
        </w:tblCellMar>
      </w:tblPr>
      <w:tblGrid>
        <w:gridCol w:w="200"/>
        <w:gridCol w:w="177"/>
        <w:gridCol w:w="178"/>
        <w:gridCol w:w="109"/>
        <w:gridCol w:w="109"/>
        <w:gridCol w:w="109"/>
        <w:gridCol w:w="464"/>
        <w:gridCol w:w="464"/>
        <w:gridCol w:w="466"/>
        <w:gridCol w:w="109"/>
        <w:gridCol w:w="109"/>
        <w:gridCol w:w="109"/>
        <w:gridCol w:w="1270"/>
        <w:gridCol w:w="1270"/>
        <w:gridCol w:w="1795"/>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795"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ANGIODYNAMICS,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(Registrant)</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8,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 S /    JAMES C. CLEMMER</w:t>
            </w:r>
            <w:r>
              <w:rPr>
                <w:color w:val="000000"/>
              </w:rPr>
              <w:t>      </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James C. Clemmer, President,</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Chief Executive Officer</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(Principal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8,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S /    STEPHEN A. TROWBRIDGE </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Stephen A. Trowbridge, Executive Vice President,</w:t>
              <w:br/>
              <w:t>Chief Financial Officer</w:t>
              <w:br/>
              <w:t>(Principal Financial and Accounting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James C. Clemmer, certify that:</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39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have reviewed this quarterly report on Form 10-Q of AngioDynamics, Inc.;</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Designed such disclosure controls and procedures, or caused such disclosure controls and procedures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Any fraud, whether or not material, that involves management or other employees who have a significant role in the registrant's internal control over financial reporting.</w:t>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January 8, 2024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 xml:space="preserve">/ S / JAMES C. CLEMMER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James C. Clemmer, President,</w:t>
      </w:r>
    </w:p>
    <w:p>
      <w:pPr>
        <w:pStyle w:val="TextBody"/>
        <w:bidi w:val="0"/>
        <w:spacing w:lineRule="auto" w:line="288"/>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8"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Stephen A. Trowbridge, certify that:</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39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have reviewed this quarterly report on Form 10-Q of AngioDynamics, Inc.;</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Designed such disclosure controls and procedures, or caused such disclosure controls and procedures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Any fraud, whether or not material, that involves management or other employees who have a significant role in the registrant's internal control over financial reporting.</w:t>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January 8, 2024</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 xml:space="preserve">/ S / STEPHEN A. TROWBRIDGE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Stephen A. Trowbridge, Executive Vice President,</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 OF CHIEF EXECUTIVE OFFICER PURSUANT TO TITLE 18,</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UNITED STATES CODE, SECTION 1350, AS ADOPTED PURSUANT TO</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SECTION 906 OF THE SARBANES-OXLEY ACT OF 2002</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James C. Clemmer, President, Chief Executive Officer and Director of ANGIODYNAMICS, Inc. (the "Company"), certify, pursuant to Section 906 of the Sarbanes-Oxley Act of 2002, 18 U.S.C. Section 1350, that, to the best of my knowledge:</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39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quarterly report on Form 10-Q of the Company for the fiscal quarter ended November 30, 2023 (the "Report") fully complies with the requirements of Section 13(a) or 15(d) of the Securities Exchange Act of 1934 (15 U.S.C. 78m or 78o(d)); and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contained in the Report fairly presents, in all material respects, the financial condition and results of operations of the Company.</w:t>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January 8, 2024 </w:t>
      </w:r>
    </w:p>
    <w:p>
      <w:pPr>
        <w:pStyle w:val="TextBody"/>
        <w:bidi w:val="0"/>
        <w:spacing w:before="0" w:after="0"/>
        <w:jc w:val="left"/>
        <w:rPr/>
      </w:pPr>
      <w:r>
        <w:rPr/>
      </w:r>
    </w:p>
    <w:tbl>
      <w:tblPr>
        <w:tblW w:w="2861" w:type="dxa"/>
        <w:jc w:val="center"/>
        <w:tblInd w:w="0" w:type="dxa"/>
        <w:tblLayout w:type="fixed"/>
        <w:tblCellMar>
          <w:top w:w="28" w:type="dxa"/>
          <w:left w:w="28" w:type="dxa"/>
          <w:bottom w:w="28" w:type="dxa"/>
          <w:right w:w="28" w:type="dxa"/>
        </w:tblCellMar>
      </w:tblPr>
      <w:tblGrid>
        <w:gridCol w:w="901"/>
        <w:gridCol w:w="793"/>
        <w:gridCol w:w="795"/>
        <w:gridCol w:w="109"/>
        <w:gridCol w:w="109"/>
        <w:gridCol w:w="154"/>
      </w:tblGrid>
      <w:tr>
        <w:trPr/>
        <w:tc>
          <w:tcPr>
            <w:tcW w:w="90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S / JAMES C. CLEMMER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James C. Clemmer, President,</w:t>
              <w:b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 OF CHIEF FINANCIAL OFFICER PURSUANT TO TITLE 18,</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UNITED STATES CODE, SECTION 1350, AS ADOPTED PURSUANT TO</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SECTION 906 OF THE SARBANES-OXLEY ACT OF 2002</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Stephen A. Trowbridge, Executive Vice President and Chief Financial Officer of ANGIODYNAMICS, Inc. (the "Company"), certify, pursuant to Section 906 of the Sarbanes-Oxley Act of 2002, 18 U.S.C. Section 1350, that, to the best of my knowledge:</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39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quarterly report on Form 10-Q of the Company for the fiscal quarter ended November 30, 2023 (the "Report") fully complies with the requirements of Section 13(a) or 15(d) of the Securities Exchange Act of 1934 (15 U.S.C. 78m or 78o(d)); and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contained in the Report fairly presents, in all material respects, the financial condition and results of operations of the Company.</w:t>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January 8, 2024 </w:t>
      </w:r>
    </w:p>
    <w:p>
      <w:pPr>
        <w:pStyle w:val="TextBody"/>
        <w:bidi w:val="0"/>
        <w:spacing w:before="0" w:after="0"/>
        <w:jc w:val="left"/>
        <w:rPr/>
      </w:pPr>
      <w:r>
        <w:rPr/>
      </w:r>
    </w:p>
    <w:tbl>
      <w:tblPr>
        <w:tblW w:w="4542" w:type="dxa"/>
        <w:jc w:val="center"/>
        <w:tblInd w:w="0" w:type="dxa"/>
        <w:tblLayout w:type="fixed"/>
        <w:tblCellMar>
          <w:top w:w="28" w:type="dxa"/>
          <w:left w:w="28" w:type="dxa"/>
          <w:bottom w:w="28" w:type="dxa"/>
          <w:right w:w="28" w:type="dxa"/>
        </w:tblCellMar>
      </w:tblPr>
      <w:tblGrid>
        <w:gridCol w:w="1511"/>
        <w:gridCol w:w="1327"/>
        <w:gridCol w:w="1332"/>
        <w:gridCol w:w="109"/>
        <w:gridCol w:w="109"/>
        <w:gridCol w:w="154"/>
      </w:tblGrid>
      <w:tr>
        <w:trPr/>
        <w:tc>
          <w:tcPr>
            <w:tcW w:w="1511"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S / STEPHEN A. TROWBRIDGE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Stephen A. Trowbridge, Executive Vice President,</w:t>
              <w:br/>
              <w:t xml:space="preserve">Chief Financial Officer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16521</Words>
  <Characters>90494</Characters>
  <CharactersWithSpaces>105670</CharactersWithSpaces>
  <Paragraphs>2335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