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Trowbridge Stephen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14.14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248,789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245,279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244,562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exempt disposition of 7,840 shares of common stock of AngioDynamics, Inc. ("AngioDynamics") was made to satisfy tax withholding obligations in connection with the pre-determined vesting of shares underlying restricted stock units granted to the reporting person on July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exempt disposition of 3,510 shares of common stock of AngioDynamics was made to satisfy tax withholding obligations in connection with the pre-determined vesting of shares underlying restricted stock units granted to the reporting person on July 17,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exempt disposition of 717 shares of common stock of AngioDynamics was made to satisfy tax withholding obligations in connection with the pre-determined vesting of shares underlying restricted stock units granted to the reporting person on July 20,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4250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3836</Characters>
  <CharactersWithSpaces>4456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