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31, 2024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0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October 2, 2024</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40,634,249</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2"/>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2"/>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9"/>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9"/>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5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4200" w:type="dxa"/>
            <w:vAlign w:val="bottom"/>
            <w:gridSpan w:val="4"/>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7"/>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7"/>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8"/>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2024</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29"/>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52,872</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0" w:type="dxa"/>
            <w:vAlign w:val="bottom"/>
          </w:tcPr>
          <w:p>
            <w:pPr>
              <w:spacing w:after="0"/>
              <w:rPr>
                <w:sz w:val="1"/>
                <w:szCs w:val="1"/>
                <w:color w:val="auto"/>
              </w:rPr>
            </w:pPr>
          </w:p>
        </w:tc>
      </w:tr>
      <w:tr>
        <w:trPr>
          <w:trHeight w:val="196"/>
        </w:trPr>
        <w:tc>
          <w:tcPr>
            <w:tcW w:w="832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(12,798)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45,884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0" w:type="dxa"/>
            <w:vAlign w:val="bottom"/>
          </w:tcPr>
          <w:p>
            <w:pPr>
              <w:spacing w:after="0"/>
              <w:rPr>
                <w:sz w:val="1"/>
                <w:szCs w:val="1"/>
                <w:color w:val="auto"/>
              </w:rPr>
            </w:pPr>
          </w:p>
        </w:tc>
      </w:tr>
      <w:tr>
        <w:trPr>
          <w:trHeight w:val="234"/>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2024</w:t>
            </w:r>
          </w:p>
        </w:tc>
        <w:tc>
          <w:tcPr>
            <w:tcW w:w="200" w:type="dxa"/>
            <w:vAlign w:val="bottom"/>
          </w:tcPr>
          <w:p>
            <w:pPr>
              <w:spacing w:after="0"/>
              <w:rPr>
                <w:sz w:val="16"/>
                <w:szCs w:val="16"/>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Aug 31, 2023</w:t>
            </w:r>
          </w:p>
        </w:tc>
      </w:tr>
      <w:tr>
        <w:trPr>
          <w:trHeight w:val="230"/>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45,884</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 (loss)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00" w:type="dxa"/>
            <w:vAlign w:val="bottom"/>
          </w:tcPr>
          <w:p>
            <w:pPr>
              <w:spacing w:after="0"/>
              <w:rPr>
                <w:sz w:val="16"/>
                <w:szCs w:val="16"/>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$2,363 and $2,141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193,253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41,446,390 and 40,801,597 shares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41,004,249 and 40,431,597 shares outstanding at August 31, 2024 and May 31, 2024,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442,141 and 370,000 shares at August 31, 2024 and May 31, 2024,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89"/>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Aug 31, 2024</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Aug 31, 2023</w:t>
            </w:r>
          </w:p>
        </w:tc>
        <w:tc>
          <w:tcPr>
            <w:tcW w:w="6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45,884</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(47,842)</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Transaction costs for disposition</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Write-off of other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(25,899)</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98,442</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(59,590)</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6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r>
      <w:tr>
        <w:trPr>
          <w:trHeight w:val="311"/>
        </w:trPr>
        <w:tc>
          <w:tcPr>
            <w:tcW w:w="60" w:type="dxa"/>
            <w:vAlign w:val="bottom"/>
          </w:tcPr>
          <w:p>
            <w:pPr>
              <w:spacing w:after="0"/>
              <w:rPr>
                <w:sz w:val="24"/>
                <w:szCs w:val="24"/>
                <w:color w:val="auto"/>
              </w:rPr>
            </w:pPr>
          </w:p>
        </w:tc>
        <w:tc>
          <w:tcPr>
            <w:tcW w:w="98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83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5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40,801,597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610,484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432,144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41,446,390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613,730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720" w:type="dxa"/>
            <w:vAlign w:val="bottom"/>
          </w:tcPr>
          <w:p>
            <w:pPr>
              <w:spacing w:after="0"/>
              <w:rPr>
                <w:sz w:val="24"/>
                <w:szCs w:val="24"/>
                <w:color w:val="auto"/>
              </w:rPr>
            </w:pPr>
          </w:p>
        </w:tc>
        <w:tc>
          <w:tcPr>
            <w:tcW w:w="15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39,981,422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599,206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378,296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45,884</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386,031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40,586,641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603,759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(164,971)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427,804</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Income (Loss) for the three months ended August 31,</w:t>
      </w:r>
    </w:p>
    <w:p>
      <w:pPr>
        <w:spacing w:after="0" w:line="2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2024 and 2023, the Consolidated Balance Sheet as of August 31, 2024, the Consolidated Statements of Cash Flows for the three months ended August 31, 2024 and 2023, and the Consolidated Statements of Stockholders’ Equity for the three months ended August 31, 2024 and 2023 have been prepared by the Company and are unaudited. The Consolidated Balance Sheet as of May 31, 2024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2024 (and for all periods presented) have been made.</w:t>
      </w:r>
    </w:p>
    <w:p>
      <w:pPr>
        <w:spacing w:after="0" w:line="120"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months ended August 31, 2024 and 2023 include the accounts of AngioDynamics, Inc. and its wholly owned subsidiaries (collectively, the "Company", "we", "our" or "us"). All intercompany balances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PICCs and Midlines</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an asset purchase agreement dated February 15, 2024 (the "Asset Purchase Agreement"), the Company completed the sale of the PICC and Midline businesses (the "Divestiture") to Spectrum Vascular ("Spectrum"). Total consideration received by the Company for the Divestiture in the third quarter of fiscal year 2024 was $34.5 million in cash and resulted in a pre-tax book gain of $6.7 million. Included in the agreement is a $5.5 million earn-out related to the sales of divested products over a two-year period and a milestone payment of $5.0 million paid upon final transfer of the manufacturing to a third-party that Spectrum will pay to the Company upon achievement.</w:t>
      </w:r>
    </w:p>
    <w:p>
      <w:pPr>
        <w:spacing w:after="0" w:line="183"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The Company and Spectrum entered into various agreements to facilitate the transition of the divested businesses to Spectrum, including a Transition Services Agreement and Contract Manufacturing Agreement. The Company determined that the sale of the businesses did not constitute a strategic shift that had a major effect on the Company's operations or financial results and as a result, this transaction is not classified as discontinued operations.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As of February 15, 2024</w:t>
            </w:r>
          </w:p>
        </w:tc>
        <w:tc>
          <w:tcPr>
            <w:tcW w:w="0" w:type="dxa"/>
            <w:vAlign w:val="bottom"/>
          </w:tcPr>
          <w:p>
            <w:pPr>
              <w:spacing w:after="0"/>
              <w:rPr>
                <w:sz w:val="1"/>
                <w:szCs w:val="1"/>
                <w:color w:val="auto"/>
              </w:rPr>
            </w:pPr>
          </w:p>
        </w:tc>
      </w:tr>
      <w:tr>
        <w:trPr>
          <w:trHeight w:val="23"/>
        </w:trPr>
        <w:tc>
          <w:tcPr>
            <w:tcW w:w="9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48"/>
        </w:trPr>
        <w:tc>
          <w:tcPr>
            <w:tcW w:w="9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0" w:type="dxa"/>
            <w:vAlign w:val="bottom"/>
          </w:tcPr>
          <w:p>
            <w:pPr>
              <w:spacing w:after="0"/>
              <w:rPr>
                <w:sz w:val="1"/>
                <w:szCs w:val="1"/>
                <w:color w:val="auto"/>
              </w:rPr>
            </w:pPr>
          </w:p>
        </w:tc>
      </w:tr>
      <w:tr>
        <w:trPr>
          <w:trHeight w:val="230"/>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and BioSentry</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Pursuant to an asset purchase agreement dated June 8, 2023 (the "Asset Purchase Agreement"), the Company completed the sale of the dialysis and BioSentry tract sealant system biopsy businesses (the "Divestiture") to Merit Medical Systems, Inc. ("Merit"). Total consideration received by the Company for the Divestiture in the first quarter of fiscal year 2024 was $100.0 million in cash and resulted in a pre-tax book gain of $47.8 million.</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and Merit entered into various agreements to facilitate the transition of the divested businesses to Merit, including a Transition Services Agreement and Contract Manufacturing Agreement. The Company determined that the sale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businesses did not constitute a strategic shift that had a major effect on the Company's operations or financial results and as a result, this transaction will not be classified as discontinued operations.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As of June 8, 2023</w:t>
            </w:r>
          </w:p>
        </w:tc>
      </w:tr>
      <w:tr>
        <w:trPr>
          <w:trHeight w:val="23"/>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9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9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9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9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r>
      <w:tr>
        <w:trPr>
          <w:trHeight w:val="230"/>
        </w:trPr>
        <w:tc>
          <w:tcPr>
            <w:tcW w:w="9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48"/>
        </w:trPr>
        <w:tc>
          <w:tcPr>
            <w:tcW w:w="9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 August 31, 2024</w:t>
            </w:r>
          </w:p>
        </w:tc>
        <w:tc>
          <w:tcPr>
            <w:tcW w:w="140" w:type="dxa"/>
            <w:vAlign w:val="bottom"/>
          </w:tcPr>
          <w:p>
            <w:pPr>
              <w:spacing w:after="0"/>
              <w:rPr>
                <w:sz w:val="16"/>
                <w:szCs w:val="16"/>
                <w:color w:val="auto"/>
              </w:rPr>
            </w:pPr>
          </w:p>
        </w:tc>
        <w:tc>
          <w:tcPr>
            <w:tcW w:w="3340" w:type="dxa"/>
            <w:vAlign w:val="bottom"/>
            <w:gridSpan w:val="7"/>
          </w:tcPr>
          <w:p>
            <w:pPr>
              <w:jc w:val="center"/>
              <w:ind w:right="55"/>
              <w:spacing w:after="0"/>
              <w:rPr>
                <w:sz w:val="20"/>
                <w:szCs w:val="20"/>
                <w:color w:val="auto"/>
              </w:rPr>
            </w:pPr>
            <w:r>
              <w:rPr>
                <w:rFonts w:ascii="Times New Roman" w:cs="Times New Roman" w:eastAsia="Times New Roman" w:hAnsi="Times New Roman"/>
                <w:sz w:val="14"/>
                <w:szCs w:val="14"/>
                <w:color w:val="auto"/>
              </w:rPr>
              <w:t>Three Months Ended August 31, 2023</w:t>
            </w: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0" w:type="dxa"/>
            <w:vAlign w:val="bottom"/>
          </w:tcPr>
          <w:p>
            <w:pPr>
              <w:spacing w:after="0"/>
              <w:rPr>
                <w:sz w:val="1"/>
                <w:szCs w:val="1"/>
                <w:color w:val="auto"/>
              </w:rPr>
            </w:pPr>
          </w:p>
        </w:tc>
      </w:tr>
      <w:tr>
        <w:trPr>
          <w:trHeight w:val="223"/>
        </w:trPr>
        <w:tc>
          <w:tcPr>
            <w:tcW w:w="4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three months ended August 31, 2024 and 2023, such product returns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bl>
    <w:p>
      <w:pPr>
        <w:spacing w:after="0" w:line="23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2024, the Company had additions to contract liabilities of $0.1 million. This was offset by $0.1 million in revenue that was recognized during the three months ended August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August 31, 2024 and May 31, 2024 was $3.2 million and $3.3 million,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Aug 31, 2024</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2024</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for the three months ended August 31, 2024 and 2023 was $2.6 million and $3.6 million,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tax rate prior to discrete items was 1.8% as of the first quarter of fiscal year 2025, as compared to (32.0)% for the same period in fiscal year 2024. In fiscal year 2025,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as of August 31, 2024.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right="80" w:firstLine="405"/>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14, 2023 the Company's shareholders approved an amendment to the 2020 Plan to increase the reserve of shares of common stock available for future grants by 1.5 million shares. As of August 31, 2024, there was a maximum of 0.9 million shares of common stock available for future grant under the 2020 Plan.</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also has an employee stock purchase plan. On November 3, 2022 the Company's shareholders approved an amendment to the employee stock purchase plan to increase the reserve of shares of common stock available for future grants by 1.0 million shares. As of August 31, 2024, there was a maximum of 2.7 million shares of common stock available for future grant under the employee stock purchase plan.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August 31, 2024 and 2023, share-based compensation expense was $3.2 million and $4.1 million, respectively.</w:t>
      </w:r>
    </w:p>
    <w:p>
      <w:pPr>
        <w:spacing w:after="0" w:line="171" w:lineRule="exact"/>
        <w:rPr>
          <w:sz w:val="20"/>
          <w:szCs w:val="20"/>
          <w:color w:val="auto"/>
        </w:rPr>
      </w:pPr>
    </w:p>
    <w:p>
      <w:pPr>
        <w:ind w:right="40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August 31, 2024 and 2023,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w:t>
      </w:r>
    </w:p>
    <w:p>
      <w:pPr>
        <w:spacing w:after="0" w:line="133"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August 31, 2024 and 2023,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August 31, 2024, there was $21.9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75" w:lineRule="exact"/>
        <w:rPr>
          <w:sz w:val="20"/>
          <w:szCs w:val="20"/>
          <w:color w:val="auto"/>
        </w:rPr>
      </w:pPr>
    </w:p>
    <w:p>
      <w:pPr>
        <w:ind w:right="500" w:firstLine="405"/>
        <w:spacing w:after="0" w:line="261"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During the first quarter of fiscal year 2024, the Company repurchased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72,141 shares of common stock in the open market at an aggregate cost of $0.5 million under the Repurchase Program. As of August 31, 2024, $14.5 million remained available for repurchase under the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spacing w:after="0"/>
              <w:rPr>
                <w:sz w:val="16"/>
                <w:szCs w:val="16"/>
                <w:color w:val="auto"/>
              </w:rPr>
            </w:pPr>
          </w:p>
        </w:tc>
        <w:tc>
          <w:tcPr>
            <w:tcW w:w="294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00" w:type="dxa"/>
            <w:vAlign w:val="bottom"/>
            <w:vMerge w:val="continue"/>
          </w:tcPr>
          <w:p>
            <w:pPr>
              <w:spacing w:after="0"/>
              <w:rPr>
                <w:sz w:val="16"/>
                <w:szCs w:val="16"/>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Aug 31, 2024</w:t>
            </w: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30"/>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20" w:firstLine="389"/>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and management to evaluate performance and allocate resources. The Company manages its operations through two segments, Med Tech and Med Device.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20"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$293.6 million as of August 31, 2024.</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and gross margin by Med Tech and Med Device: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60" w:type="dxa"/>
            <w:vAlign w:val="bottom"/>
          </w:tcPr>
          <w:p>
            <w:pPr>
              <w:spacing w:after="0"/>
              <w:rPr>
                <w:sz w:val="16"/>
                <w:szCs w:val="16"/>
                <w:color w:val="auto"/>
              </w:rPr>
            </w:pP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43"/>
        </w:trPr>
        <w:tc>
          <w:tcPr>
            <w:tcW w:w="80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25,860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16,727</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39,522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52,819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23,333</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67,491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78,679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40,060</w:t>
            </w:r>
          </w:p>
        </w:tc>
        <w:tc>
          <w:tcPr>
            <w:tcW w:w="0" w:type="dxa"/>
            <w:vAlign w:val="bottom"/>
          </w:tcPr>
          <w:p>
            <w:pPr>
              <w:spacing w:after="0"/>
              <w:rPr>
                <w:sz w:val="1"/>
                <w:szCs w:val="1"/>
                <w:color w:val="auto"/>
              </w:rPr>
            </w:pPr>
          </w:p>
        </w:tc>
      </w:tr>
      <w:tr>
        <w:trPr>
          <w:trHeight w:val="23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445"/>
        <w:spacing w:after="0"/>
        <w:rPr>
          <w:sz w:val="20"/>
          <w:szCs w:val="20"/>
          <w:color w:val="auto"/>
        </w:rPr>
      </w:pPr>
      <w:r>
        <w:rPr>
          <w:rFonts w:ascii="Times New Roman" w:cs="Times New Roman" w:eastAsia="Times New Roman" w:hAnsi="Times New Roman"/>
          <w:sz w:val="18"/>
          <w:szCs w:val="18"/>
          <w:color w:val="auto"/>
        </w:rPr>
        <w:t>For the three months ended August 31, 2024 and 2023, international sales as a percentage of total net sales were 11.9% and 18.1%, respectively. Sales to any one country outside the U.S., as determined by shipment destination, did not comprise a material portion of net sales in any of the last three fiscal years. In addition, no one customer represents more than 10% of consolidated net sales and 66% of long-lived assets are located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at Aug 31,</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4640" w:type="dxa"/>
            <w:vAlign w:val="bottom"/>
            <w:gridSpan w:val="4"/>
            <w:vMerge w:val="continue"/>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5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4,804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40" w:type="dxa"/>
            <w:vAlign w:val="bottom"/>
            <w:gridSpan w:val="7"/>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40" w:type="dxa"/>
            <w:vAlign w:val="bottom"/>
            <w:tcBorders>
              <w:bottom w:val="single" w:sz="8" w:color="auto"/>
            </w:tcBorders>
            <w:gridSpan w:val="7"/>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Level 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Level 2</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4,728</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months ended August 31, 2024 and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changes in fair value components of Level 3 instruments: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1"/>
        </w:trPr>
        <w:tc>
          <w:tcPr>
            <w:tcW w:w="980" w:type="dxa"/>
            <w:vAlign w:val="bottom"/>
            <w:tcBorders>
              <w:top w:val="single" w:sz="8" w:color="0000FF"/>
            </w:tcBorders>
          </w:tcPr>
          <w:p>
            <w:pPr>
              <w:spacing w:after="0"/>
              <w:rPr>
                <w:sz w:val="24"/>
                <w:szCs w:val="24"/>
                <w:color w:val="auto"/>
              </w:rPr>
            </w:pPr>
          </w:p>
        </w:tc>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Three Months Ended Aug 31,</w:t>
            </w: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38"/>
        </w:trPr>
        <w:tc>
          <w:tcPr>
            <w:tcW w:w="98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9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44"/>
        </w:trPr>
        <w:tc>
          <w:tcPr>
            <w:tcW w:w="9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9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95"/>
        </w:trPr>
        <w:tc>
          <w:tcPr>
            <w:tcW w:w="9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7"/>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29"/>
        </w:trPr>
        <w:tc>
          <w:tcPr>
            <w:tcW w:w="9260" w:type="dxa"/>
            <w:vAlign w:val="bottom"/>
            <w:tcBorders>
              <w:bottom w:val="single" w:sz="8" w:color="CCEEFF"/>
            </w:tcBorders>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August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120" w:firstLine="8"/>
        <w:spacing w:after="0" w:line="28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Unobservable Input</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0"/>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 - 100%</w:t>
            </w:r>
          </w:p>
        </w:tc>
      </w:tr>
      <w:tr>
        <w:trPr>
          <w:trHeight w:val="229"/>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bl>
    <w:p>
      <w:pPr>
        <w:spacing w:after="0" w:line="238"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At August 31, 2024, the amount of undiscounted future contingent consideration that the Company expects to pay as a result of all completed acquisitions is approximately $5.0 million. The milestones, including revenue projections and technical milestones associated with the contingent consideration, must be reached in future periods ranging from fiscal years 2025 to 2029 in order for the associated consideration to be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1"/>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Aug 31, 2024</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454"/>
        </w:trPr>
        <w:tc>
          <w:tcPr>
            <w:tcW w:w="9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2024</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20" w:firstLine="405"/>
        <w:spacing w:after="0" w:line="287" w:lineRule="auto"/>
        <w:rPr>
          <w:sz w:val="20"/>
          <w:szCs w:val="20"/>
          <w:color w:val="auto"/>
        </w:rPr>
      </w:pPr>
      <w:r>
        <w:rPr>
          <w:rFonts w:ascii="Times New Roman" w:cs="Times New Roman" w:eastAsia="Times New Roman" w:hAnsi="Times New Roman"/>
          <w:sz w:val="17"/>
          <w:szCs w:val="17"/>
          <w:color w:val="auto"/>
        </w:rPr>
        <w:t>During the three months ended August 31, 2024 and 2023, the Company recognized $0.7 million and $0.6 million of operating lease expense, respectively, which includes immaterial short-term leases. The expenses on the Consolidated Statement of Operations were classified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30"/>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089"/>
        </w:trPr>
        <w:tc>
          <w:tcPr>
            <w:tcW w:w="8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8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83"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22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1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21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Under the terms of the Settlement Agreement, BD will grant a license to the Company under certain of BD’s port patents and AngioDynamics will grant BD a license under certain of the Company’s catheter patents. The Company will make a one-time lump sum payment to BD in the amount of $7.0 million, $3.0 million which was paid within 5 business days of execution of the Settlement Agreement, and the remainder will be payable in installments over the next 12 months ending March 31, 2025. The Company will also make six minimum annual payments to BD of $2.5 million through February, 2029, and potential additional payments if six percent (6%) of annual net sales of the Company’s port products exceed the minimum payment.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Appellate briefing is closed, but an argument date has not yet been set. Neither party admitted any liability and the agreement contains mutual covenants not to sue and releases.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243" w:lineRule="exact"/>
        <w:rPr>
          <w:sz w:val="20"/>
          <w:szCs w:val="20"/>
          <w:color w:val="auto"/>
        </w:rPr>
      </w:pPr>
    </w:p>
    <w:p>
      <w:pPr>
        <w:ind w:right="80" w:firstLine="405"/>
        <w:spacing w:after="0" w:line="237" w:lineRule="auto"/>
        <w:rPr>
          <w:sz w:val="20"/>
          <w:szCs w:val="20"/>
          <w:color w:val="auto"/>
        </w:rPr>
      </w:pPr>
      <w:r>
        <w:rPr>
          <w:rFonts w:ascii="Times New Roman" w:cs="Times New Roman" w:eastAsia="Times New Roman" w:hAnsi="Times New Roman"/>
          <w:sz w:val="18"/>
          <w:szCs w:val="18"/>
          <w:color w:val="auto"/>
        </w:rPr>
        <w:t>As of August 31, 2024, the Company is defending approximately 50 product liability claims involving the Company's port products (collectively, the “Port Product Claims”). Port Product Claims are pending in various state and federal court jurisdictions, and a motion to transfer the Port Product Claims pursuant to 28 USC § 1407 for coordinated or consolidated pretrial proceedings is pending before the United States Judicial Panel on Multidistrict Litigation.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29"/>
        </w:trPr>
        <w:tc>
          <w:tcPr>
            <w:tcW w:w="830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 related to the restructuring of our manufacturing footprint which was announced on January 5, 2024.</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agreements that were entered into with Merit and Spectrum.</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certain manufacturing lines out of Queensbury, 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of its manufacturing footprint and a shift to an outsourced model (the "Plan"). This Plan will transfer all product manufacturing processes to third-party manufacturers. The restructuring activities associated with the Plan are expected to be completed in the third quarter of fiscal year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plan: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Type of cost</w:t>
            </w:r>
          </w:p>
        </w:tc>
        <w:tc>
          <w:tcPr>
            <w:tcW w:w="600" w:type="dxa"/>
            <w:vAlign w:val="bottom"/>
          </w:tcPr>
          <w:p>
            <w:pPr>
              <w:spacing w:after="0"/>
              <w:rPr>
                <w:sz w:val="16"/>
                <w:szCs w:val="16"/>
                <w:color w:val="auto"/>
              </w:rPr>
            </w:pPr>
          </w:p>
        </w:tc>
        <w:tc>
          <w:tcPr>
            <w:tcW w:w="4340" w:type="dxa"/>
            <w:vAlign w:val="bottom"/>
            <w:gridSpan w:val="3"/>
          </w:tcPr>
          <w:p>
            <w:pPr>
              <w:jc w:val="center"/>
              <w:ind w:left="152"/>
              <w:spacing w:after="0"/>
              <w:rPr>
                <w:sz w:val="20"/>
                <w:szCs w:val="20"/>
                <w:color w:val="auto"/>
              </w:rPr>
            </w:pPr>
            <w:r>
              <w:rPr>
                <w:rFonts w:ascii="Times New Roman" w:cs="Times New Roman" w:eastAsia="Times New Roman" w:hAnsi="Times New Roman"/>
                <w:sz w:val="14"/>
                <w:szCs w:val="14"/>
                <w:color w:val="auto"/>
              </w:rPr>
              <w:t>Total estimated amount expected to be incurred (in thousands)</w:t>
            </w:r>
          </w:p>
        </w:tc>
        <w:tc>
          <w:tcPr>
            <w:tcW w:w="840" w:type="dxa"/>
            <w:vAlign w:val="bottom"/>
          </w:tcPr>
          <w:p>
            <w:pPr>
              <w:spacing w:after="0"/>
              <w:rPr>
                <w:sz w:val="16"/>
                <w:szCs w:val="16"/>
                <w:color w:val="auto"/>
              </w:rPr>
            </w:pPr>
          </w:p>
        </w:tc>
      </w:tr>
      <w:tr>
        <w:trPr>
          <w:trHeight w:val="23"/>
        </w:trPr>
        <w:tc>
          <w:tcPr>
            <w:tcW w:w="5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6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6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6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6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8"/>
        </w:trPr>
        <w:tc>
          <w:tcPr>
            <w:tcW w:w="5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840" w:type="dxa"/>
            <w:vAlign w:val="bottom"/>
            <w:tcBorders>
              <w:bottom w:val="single" w:sz="8" w:color="auto"/>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Included in this estimate is approximately $13.6 million of non-cash charges for accelerated depreciation and building impairment.</w:t>
      </w:r>
    </w:p>
    <w:p>
      <w:pPr>
        <w:spacing w:after="0" w:line="24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months ended August 31, 2024 of $3.6 million. Total restructuring charges recorded to date are $13.1 million. Termination benefits are only earned if an employee stays until their termination date; therefore, the expenses related to termination benefits are being recorded ratably over the service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table below presents the restructuring reserve for the three months ended </w:t>
      </w:r>
      <w:r>
        <w:rPr>
          <w:rFonts w:ascii="Times New Roman" w:cs="Times New Roman" w:eastAsia="Times New Roman" w:hAnsi="Times New Roman"/>
          <w:sz w:val="16"/>
          <w:szCs w:val="16"/>
          <w:color w:val="auto"/>
        </w:rPr>
        <w:t>August 31, 2024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98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8"/>
          </w:tcPr>
          <w:p>
            <w:pPr>
              <w:ind w:left="560"/>
              <w:spacing w:after="0"/>
              <w:rPr>
                <w:sz w:val="20"/>
                <w:szCs w:val="20"/>
                <w:color w:val="auto"/>
              </w:rPr>
            </w:pPr>
            <w:r>
              <w:rPr>
                <w:rFonts w:ascii="Times New Roman" w:cs="Times New Roman" w:eastAsia="Times New Roman" w:hAnsi="Times New Roman"/>
                <w:sz w:val="14"/>
                <w:szCs w:val="14"/>
                <w:color w:val="auto"/>
              </w:rPr>
              <w:t>Three Months Ended Aug 31, 2024</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320" w:type="dxa"/>
            <w:vAlign w:val="bottom"/>
          </w:tcPr>
          <w:p>
            <w:pPr>
              <w:spacing w:after="0"/>
              <w:rPr>
                <w:sz w:val="11"/>
                <w:szCs w:val="11"/>
                <w:color w:val="auto"/>
              </w:rPr>
            </w:pPr>
          </w:p>
        </w:tc>
        <w:tc>
          <w:tcPr>
            <w:tcW w:w="7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2,120</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3,589</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2,605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80" w:type="dxa"/>
            <w:vAlign w:val="bottom"/>
            <w:gridSpan w:val="14"/>
          </w:tcPr>
          <w:p>
            <w:pPr>
              <w:ind w:left="42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net of tax, are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 Aug 31,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8"/>
              </w:rPr>
              <w:t>1,098</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1,098</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140" w:firstLine="8"/>
        <w:spacing w:after="0" w:line="466" w:lineRule="auto"/>
        <w:tabs>
          <w:tab w:leader="none" w:pos="27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recently issued accounting pronouncements that have been adopted.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r>
      <w:tr>
        <w:trPr>
          <w:trHeight w:val="23"/>
        </w:trPr>
        <w:tc>
          <w:tcPr>
            <w:tcW w:w="2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reportable segment</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2024</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r>
      <w:tr>
        <w:trPr>
          <w:trHeight w:val="196"/>
        </w:trPr>
        <w:tc>
          <w:tcPr>
            <w:tcW w:w="240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Reporting (Topic 280):</w:t>
            </w:r>
          </w:p>
        </w:tc>
        <w:tc>
          <w:tcPr>
            <w:tcW w:w="38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disclosure requirements, primarily through</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fiscal year 2025 and does not expect there to be a</w:t>
            </w: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Improvements to Reportable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enhanced disclosures about significant segment</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material impact to the consolidated financial</w:t>
            </w:r>
          </w:p>
        </w:tc>
      </w:tr>
      <w:tr>
        <w:trPr>
          <w:trHeight w:val="250"/>
        </w:trPr>
        <w:tc>
          <w:tcPr>
            <w:tcW w:w="2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Segment Disclosures</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statements.</w:t>
            </w:r>
          </w:p>
        </w:tc>
      </w:tr>
      <w:tr>
        <w:trPr>
          <w:trHeight w:val="182"/>
        </w:trPr>
        <w:tc>
          <w:tcPr>
            <w:tcW w:w="240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June 1, 2025</w:t>
            </w:r>
          </w:p>
        </w:tc>
        <w:tc>
          <w:tcPr>
            <w:tcW w:w="3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r>
      <w:tr>
        <w:trPr>
          <w:trHeight w:val="196"/>
        </w:trPr>
        <w:tc>
          <w:tcPr>
            <w:tcW w:w="240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the first quarter of fiscal year 2026 and does not</w:t>
            </w: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r>
      <w:tr>
        <w:trPr>
          <w:trHeight w:val="198"/>
        </w:trPr>
        <w:tc>
          <w:tcPr>
            <w:tcW w:w="240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provide additional information for reconciling items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since our Annual Report on Form 10-K for fiscal year ended May 31,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2024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current macroeconomic environment continues to impact our business and may continue to pose future risks.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at its discretion and based on market conditions and other considerations. During the first quarter of fiscal year 2024, the Company repurchased 72,141 shares of common stock in the open market at an aggregate cost of $0.5 million under the Repurchase Program. As of August 31, 2024, $14.5 million remained available for repurchase under the Repurchase Program.</w:t>
      </w:r>
    </w:p>
    <w:p>
      <w:pPr>
        <w:spacing w:after="0" w:line="18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months ended August 31, 2024 compared to the three months ended August 31, 2023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August 31, 2024:</w:t>
      </w:r>
    </w:p>
    <w:p>
      <w:pPr>
        <w:spacing w:after="0" w:line="171"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14.2% to $67.5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8.2% and Med Device decrease of 25.2%</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350 bps to 54.4%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decreased 140 bps to 63.3% and Med Device gross profit increased 390 bps to 48.1%</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$58.7 million to $12.8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$1.46 to $0.31</w:t>
      </w:r>
    </w:p>
    <w:p>
      <w:pPr>
        <w:spacing w:after="0" w:line="23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For the three months ended August 31, 2024, the decrease in revenue is partially due to the sale of the PICCs, Midline, dialysis and BioSentry businesses, along with the discontinuation of the RadioFrequency Ablation and Syntrax product lines, the total of which impacted sales by $12.0 million compared to the three months ended August 31, 2023. Our Med Tech revenue, comprised of Auryon, the thrombus management platform and NanoKnife, grew 8.2% in the first quarter of fiscal year 2025. The growth in Auryon was partially offset by softness in the NanoKnife and thrombus management platforms. Our Med Device revenue declined by 25.2% in the first quarter of fiscal year 2025 driven mainly by the sale of the PICCs, Midlines, dialysis and BioSentry businesses along with the discontinuation of the RadioFrequency Ablation product lines.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August 31, 2024, the Company reported net loss of $12.8 million, or diluted loss per share of $0.31, on net sales of $67.5 million, compared with a net income of $45.9 million, or diluted earnings per share of $1.15, on net sales of $78.7 million during the same quarter of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Aug 31, 2023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Aug 31, 2024</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Aug 31, 2023</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59,481</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2024, net sales decreased $11.2 million to $67.5 million compared to the same period in the prior year. At August 31, 2024, the Company had a backlog of $1.1 million.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Med Tech segment net sales increased $2.1 million for the three months ended August 31, 2024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sales from the prior year was primarily driven by:</w:t>
      </w:r>
    </w:p>
    <w:p>
      <w:pPr>
        <w:spacing w:after="0" w:line="15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Auryon sales of $2.7 million;</w:t>
      </w:r>
    </w:p>
    <w:p>
      <w:pPr>
        <w:spacing w:after="0" w:line="2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Syntrax of $0.1 million due to the discontinuation of this product line as of February 29, 2024;</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of the thrombus management platform of $0.1 million, which was driven by a decrease in AngioVac sales of $0.5 million and was partially offset by an increase in AlphaVac sales of $0.4 million; and</w:t>
      </w: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NanoKnife sales of $0.4 million, which was driven by decreased capital and disposable sales.</w:t>
      </w:r>
    </w:p>
    <w:p>
      <w:pPr>
        <w:spacing w:after="0" w:line="153"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Med Device segment net sales decreased $13.3 million for the three months ended August 31, 2024 compared to the same period in the prior year. The backlog, which primarily impacted sales of Core products, was $1.1 million.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sales for the three months ended August 31, 2024 compared to the same period in the prior year, was primarily driven by:</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$10.2 million, which was due to the divestiture of these businesses on February 15,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dialysis and BioSentry products of $0.8 million, which was due to the divestiture of these businesses on June 8,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$0.9 million due to the discontinuation of this product line as of February 29, 2024;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Microwave, Core and Oncology products of $1.5 million, $0.2 million and $0.2 million, respectively, which was partially offset by increased sales of Ports of $0.4 million.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Aug 31, 2024</w:t>
            </w:r>
          </w:p>
        </w:tc>
        <w:tc>
          <w:tcPr>
            <w:tcW w:w="12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Aug 31, 2023</w:t>
            </w:r>
          </w:p>
        </w:tc>
        <w:tc>
          <w:tcPr>
            <w:tcW w:w="26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16,727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19,027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23,333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1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Total Company gross profit decreased by $3.3 million for the three months ended August 31, 2024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PICCs, Midline, dialysis and BioSentry businesses contributed $3.4 million of gross profit in the prior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profit by $1.5 million;</w:t>
      </w:r>
    </w:p>
    <w:p>
      <w:pPr>
        <w:spacing w:after="0" w:line="9" w:lineRule="exact"/>
        <w:rPr>
          <w:rFonts w:ascii="Times New Roman" w:cs="Times New Roman" w:eastAsia="Times New Roman" w:hAnsi="Times New Roman"/>
          <w:sz w:val="18"/>
          <w:szCs w:val="18"/>
          <w:color w:val="auto"/>
        </w:rPr>
      </w:pPr>
    </w:p>
    <w:p>
      <w:pPr>
        <w:ind w:left="660" w:right="200" w:hanging="328"/>
        <w:spacing w:after="0" w:line="24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negatively impacted gross profit by $0.4 million. This was partially offset by production volume related to our TSA, which positively impacted gross profit by $0.3 million;</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$0.9 million;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$0.5 million.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Tech segment gross profit increased by $1.0 million for the three months ended August 31, 2024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from the prior year was primarily driven by:</w:t>
      </w:r>
    </w:p>
    <w:p>
      <w:pPr>
        <w:spacing w:after="0" w:line="15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profit by $1.8 million;</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$0.4 million;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$0.6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Device segment gross profit decreased by $4.3 million for the three months ended August 31, 2024 compared to the same period in the prior year.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from the prior year was primarily driven by:</w:t>
      </w:r>
    </w:p>
    <w:p>
      <w:pPr>
        <w:spacing w:after="0" w:line="19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PICCs, Midline, dialysis and BioSentry businesses contributed $3.4 million of gross profit in the prior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negatively impacted gross profit by $1.0 million;</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negatively impacted gross profit by $0.4 million. This was partially offset by production volume related to our TSA, which positively impacted gross profit by $0.3 million;</w:t>
      </w: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mix, which positively impacted gross profit by $0.8 million;</w:t>
      </w:r>
    </w:p>
    <w:p>
      <w:pPr>
        <w:ind w:left="660" w:hanging="328"/>
        <w:spacing w:after="0" w:line="219"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$0.5 million;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$0.1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Aug 31, 2024</w:t>
            </w:r>
          </w:p>
        </w:tc>
        <w:tc>
          <w:tcPr>
            <w:tcW w:w="12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Aug 31, 2023</w:t>
            </w:r>
          </w:p>
        </w:tc>
        <w:tc>
          <w:tcPr>
            <w:tcW w:w="26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7,941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27,368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R&amp;D expense decreased $1.7 million for the three months ended August 31, 2024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the ongoing clinical trials, which decreased R&amp;D expense by $1.3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decreased $0.4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S&amp;M expense decreased $1.8 million for the three months ending August 31, 2024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decreased by $1.7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other selling expenses, which decreased $0.2 million and was partially offset by trade show expenses, which increased $0.4 million.</w:t>
      </w:r>
    </w:p>
    <w:p>
      <w:pPr>
        <w:spacing w:after="0" w:line="2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G&amp;A expense increased $0.1 million for the three months ended August 31, 2024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decreased $0.8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for legal and IT, which increased $0.9 million.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2024</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Aug 31, 2023</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right="120" w:hanging="328"/>
        <w:spacing w:after="0" w:line="266"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decreased $1.1 million for the three months ended August 31, 2024 compared to the same period in the prior year, due to the intangible assets that were included in the sale of the dialysis, BioSentry, PICCs and Midlines businesses and the abandonment of the Syntrax product line.</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months ended August 31, 2024 is related to the Eximo contingent consideration.</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increased by $1.1 million for the three months ended August 31, 2024,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decreased $1.3 million;</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increased $3.6 million;</w:t>
      </w:r>
    </w:p>
    <w:p>
      <w:pPr>
        <w:ind w:left="660" w:right="58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sale of the PICCs, Midline, dialysis and BioSentry businesses. The increase in the fees invoiced was $0.4 million; and</w:t>
      </w:r>
    </w:p>
    <w:p>
      <w:pPr>
        <w:ind w:left="660" w:right="74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from Queensbury, New York to a third party, which decreased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net</w:t>
      </w:r>
      <w:r>
        <w:rPr>
          <w:rFonts w:ascii="Times New Roman" w:cs="Times New Roman" w:eastAsia="Times New Roman" w:hAnsi="Times New Roman"/>
          <w:sz w:val="18"/>
          <w:szCs w:val="18"/>
          <w:color w:val="auto"/>
        </w:rPr>
        <w:t xml:space="preserve"> - Other expenses include interest expense, foreign currency impacts and bank fees.</w:t>
      </w:r>
    </w:p>
    <w:p>
      <w:pPr>
        <w:spacing w:after="0" w:line="171" w:lineRule="exact"/>
        <w:rPr>
          <w:sz w:val="20"/>
          <w:szCs w:val="20"/>
          <w:color w:val="auto"/>
        </w:rPr>
      </w:pPr>
    </w:p>
    <w:p>
      <w:pPr>
        <w:ind w:left="660" w:right="620" w:hanging="328"/>
        <w:spacing w:after="0" w:line="282"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other expense of $0.6 million for the three months ended August 31, 2024, compared to the same period in the prior year, is primarily due to increased interest income of $0.4 million and unrealized foreign currency fluctuations of $0.1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3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(31.6)%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August 31, 2024 and August 31, 2023 was (1.1)% and (31.6)%, respectively. In fiscal year 2025,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08"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totaled $55.0 million as of August 31, 2024, compared with $76.1 million as of May 31, 2024. As of August 31, 2024 and May 31, 2024 the Company did not have any outstanding debt. The fair value of contingent consideration liability as of August 31, 2024 and May 31, 2024, was $4.8 million and $4.7 million, respectively.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2024</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2023</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quarters ended August 31, 2024 and 2023,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2024 and 2023:</w:t>
      </w:r>
    </w:p>
    <w:p>
      <w:pPr>
        <w:spacing w:after="0" w:line="171" w:lineRule="exact"/>
        <w:rPr>
          <w:sz w:val="20"/>
          <w:szCs w:val="20"/>
          <w:color w:val="auto"/>
        </w:rPr>
      </w:pPr>
    </w:p>
    <w:p>
      <w:pPr>
        <w:ind w:left="660" w:right="42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$12.8 million and a net income of $45.9 million, respectively, plus the non-cash items, primarily driven by depreciation and amortization and stock based compensation, along with the changes in working capital below, contributed to cash used in operations of $18.3 million and $25.9 million, respectively, for these periods.</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August 31, 2024, working capital was unfavorably impacted by decreased accounts payable, accrued liabilities and other liabilities of $15.0 million, along with increased inventory and prepaid expenses of $4.1 million and $0.8 million, respectively. This was partially offset by decreased accounts receivable of $3.8 million.</w:t>
      </w:r>
    </w:p>
    <w:p>
      <w:pPr>
        <w:spacing w:after="0" w:line="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August 31, 2023, working capital was unfavorably impacted by decreased accounts payable, accrued liabilities and other liabilities of $16.5 million, along with increased inventory and prepaid expenses of $4.6 million and $4.2 million, respectively. This was partially offset by decreased accounts receivable of $3.2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2024 and 2023:</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and $0.8 million, respectively, of cash was used for fixed asset additions;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and $0.8 million, respectively, of cash was used for Auryon placement and evaluation unit additions;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of cash was received for the divestiture of the dialysis and BioSentry businesses in the first quarter of fiscal year 2024; 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2024 and 2023:</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cash was used for the repurchase of commons shares in the first quarter of fiscal year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repayment of the Credit Agreement in connection with the completion of the dialysis and BioSentry divestiture in the first quarter of fiscal year 2024;</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of contingent consideration payments made in the first quarter of fiscal year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proceeds from stock option and ESPP activity in the first quarter of fiscal year 2024.</w:t>
      </w:r>
    </w:p>
    <w:p>
      <w:pPr>
        <w:spacing w:after="0" w:line="15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June 8, 2023 and in connection with the completion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w:t>
      </w:r>
    </w:p>
    <w:p>
      <w:pPr>
        <w:spacing w:after="0" w:line="1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we may require external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17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and investments that could impact our results of operations and financial position.</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three months ended August 31, 2024, approximately 3.4%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August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2024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w:t>
      </w:r>
    </w:p>
    <w:p>
      <w:pPr>
        <w:spacing w:after="0" w:line="166"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On June 8, 2023, the Company completed the sale of the dialysis and BioSentry businesses to Merit Medical Systems, Inc. In connection with the completion of the sale, the Company repaid all amounts outstanding under its then existing Credit Agreement, and as a result, the Credit Agreement was extinguished. 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or if circumstances materially change, we may require additional financing for liquidity, capital requirements or growth initiatives. We may not be able to obtain financing on terms and at interest rates that are favorable to us or at all. Any inability by us to obtain financing in the future could have a material adverse effect on our business, financial position, results of operations and cash flows</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39"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14,448,871</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94,723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14,448,871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6" w:lineRule="exact"/>
        <w:rPr>
          <w:rFonts w:ascii="Times New Roman" w:cs="Times New Roman" w:eastAsia="Times New Roman" w:hAnsi="Times New Roman"/>
          <w:sz w:val="16"/>
          <w:szCs w:val="16"/>
          <w:color w:val="auto"/>
        </w:rPr>
      </w:pPr>
    </w:p>
    <w:p>
      <w:pPr>
        <w:ind w:left="580" w:right="120" w:hanging="329"/>
        <w:spacing w:after="0" w:line="258"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$15.0 million available to repurchase under the Repurchase Program that was approved by the Board of Directors and announced on July 16, 2024. The timing and amount of any share repurchases under the authorization will be determined by management at its discretion and based on market conditions and other considerations.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Arrangements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quarter ended August 31, 2024,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3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4600" w:type="dxa"/>
            <w:vAlign w:val="bottom"/>
            <w:tcBorders>
              <w:bottom w:val="single" w:sz="8" w:color="auto"/>
            </w:tcBorders>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 2024</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 2024</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118" w:right="4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9"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2024</w:t>
      </w:r>
    </w:p>
    <w:p>
      <w:pPr>
        <w:spacing w:after="0" w:line="252" w:lineRule="exact"/>
        <w:rPr>
          <w:sz w:val="20"/>
          <w:szCs w:val="20"/>
          <w:color w:val="auto"/>
        </w:rPr>
      </w:pPr>
    </w:p>
    <w:p>
      <w:pPr>
        <w:ind w:right="9080" w:firstLine="8"/>
        <w:spacing w:after="0" w:line="289" w:lineRule="auto"/>
        <w:tabs>
          <w:tab w:leader="none" w:pos="95" w:val="left"/>
        </w:tabs>
        <w:numPr>
          <w:ilvl w:val="0"/>
          <w:numId w:val="3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440" w:hanging="494"/>
        <w:spacing w:after="0" w:line="229"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2024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2024</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2024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2024</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7"/>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5"/>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2024-10-03T16:22:10Z</dcterms:created>
  <dcterms:modified xsi:type="dcterms:W3CDTF">2024-10-03T16:22:10Z</dcterms:modified>
</cp:coreProperties>
</file>