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518795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433070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jc w:val="center"/>
        <w:ind w:right="-199"/>
        <w:spacing w:after="0"/>
        <w:rPr>
          <w:sz w:val="20"/>
          <w:szCs w:val="20"/>
          <w:color w:val="auto"/>
        </w:rPr>
      </w:pPr>
      <w:r>
        <w:rPr>
          <w:rFonts w:ascii="Arial" w:cs="Arial" w:eastAsia="Arial" w:hAnsi="Arial"/>
          <w:sz w:val="36"/>
          <w:szCs w:val="36"/>
          <w:b w:val="1"/>
          <w:bCs w:val="1"/>
          <w:color w:val="auto"/>
        </w:rPr>
        <w:t>UNITED STATES</w:t>
      </w:r>
    </w:p>
    <w:p>
      <w:pPr>
        <w:spacing w:after="0" w:line="57" w:lineRule="exact"/>
        <w:rPr>
          <w:sz w:val="24"/>
          <w:szCs w:val="24"/>
          <w:color w:val="auto"/>
        </w:rPr>
      </w:pPr>
    </w:p>
    <w:p>
      <w:pPr>
        <w:jc w:val="center"/>
        <w:ind w:right="-199"/>
        <w:spacing w:after="0"/>
        <w:rPr>
          <w:sz w:val="20"/>
          <w:szCs w:val="20"/>
          <w:color w:val="auto"/>
        </w:rPr>
      </w:pPr>
      <w:r>
        <w:rPr>
          <w:rFonts w:ascii="Arial" w:cs="Arial" w:eastAsia="Arial" w:hAnsi="Arial"/>
          <w:sz w:val="36"/>
          <w:szCs w:val="36"/>
          <w:b w:val="1"/>
          <w:bCs w:val="1"/>
          <w:color w:val="auto"/>
        </w:rPr>
        <w:t>SECURITIES AND EXCHANGE COMMISSION</w:t>
      </w:r>
    </w:p>
    <w:p>
      <w:pPr>
        <w:spacing w:after="0" w:line="10" w:lineRule="exact"/>
        <w:rPr>
          <w:sz w:val="24"/>
          <w:szCs w:val="24"/>
          <w:color w:val="auto"/>
        </w:rPr>
      </w:pPr>
    </w:p>
    <w:p>
      <w:pPr>
        <w:jc w:val="center"/>
        <w:ind w:right="-199"/>
        <w:spacing w:after="0"/>
        <w:rPr>
          <w:sz w:val="20"/>
          <w:szCs w:val="20"/>
          <w:color w:val="auto"/>
        </w:rPr>
      </w:pPr>
      <w:r>
        <w:rPr>
          <w:rFonts w:ascii="Arial" w:cs="Arial" w:eastAsia="Arial" w:hAnsi="Arial"/>
          <w:sz w:val="25"/>
          <w:szCs w:val="2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2054860</wp:posOffset>
            </wp:positionH>
            <wp:positionV relativeFrom="paragraph">
              <wp:posOffset>165735</wp:posOffset>
            </wp:positionV>
            <wp:extent cx="31470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jc w:val="center"/>
        <w:ind w:right="-199"/>
        <w:spacing w:after="0"/>
        <w:rPr>
          <w:sz w:val="20"/>
          <w:szCs w:val="20"/>
          <w:color w:val="auto"/>
        </w:rPr>
      </w:pPr>
      <w:r>
        <w:rPr>
          <w:rFonts w:ascii="Arial" w:cs="Arial" w:eastAsia="Arial" w:hAnsi="Arial"/>
          <w:sz w:val="36"/>
          <w:szCs w:val="36"/>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2054860</wp:posOffset>
            </wp:positionH>
            <wp:positionV relativeFrom="paragraph">
              <wp:posOffset>190500</wp:posOffset>
            </wp:positionV>
            <wp:extent cx="31470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p>
      <w:pPr>
        <w:ind w:left="720" w:right="20" w:hanging="685"/>
        <w:spacing w:after="0" w:line="256" w:lineRule="auto"/>
        <w:tabs>
          <w:tab w:leader="none" w:pos="720" w:val="left"/>
        </w:tabs>
        <w:numPr>
          <w:ilvl w:val="0"/>
          <w:numId w:val="1"/>
        </w:numPr>
        <w:rPr>
          <w:rFonts w:ascii="Arial" w:cs="Arial" w:eastAsia="Arial" w:hAnsi="Arial"/>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99"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For the quarterly period ended August 31, 2015</w:t>
      </w:r>
    </w:p>
    <w:p>
      <w:pPr>
        <w:spacing w:after="0" w:line="225"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OR</w:t>
      </w:r>
    </w:p>
    <w:p>
      <w:pPr>
        <w:spacing w:after="0" w:line="378" w:lineRule="exact"/>
        <w:rPr>
          <w:sz w:val="24"/>
          <w:szCs w:val="24"/>
          <w:color w:val="auto"/>
        </w:rPr>
      </w:pPr>
    </w:p>
    <w:p>
      <w:pPr>
        <w:ind w:left="720" w:hanging="685"/>
        <w:spacing w:after="0" w:line="256"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99" w:lineRule="exact"/>
        <w:rPr>
          <w:sz w:val="24"/>
          <w:szCs w:val="24"/>
          <w:color w:val="auto"/>
        </w:rPr>
      </w:pPr>
    </w:p>
    <w:p>
      <w:pPr>
        <w:ind w:left="368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3848100</wp:posOffset>
            </wp:positionH>
            <wp:positionV relativeFrom="paragraph">
              <wp:posOffset>-7620</wp:posOffset>
            </wp:positionV>
            <wp:extent cx="10668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66800" cy="8890"/>
                    </a:xfrm>
                    <a:prstGeom prst="rect">
                      <a:avLst/>
                    </a:prstGeom>
                    <a:noFill/>
                  </pic:spPr>
                </pic:pic>
              </a:graphicData>
            </a:graphic>
          </wp:anchor>
        </w:drawing>
      </w:r>
    </w:p>
    <w:p>
      <w:pPr>
        <w:spacing w:after="0" w:line="7"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Commission file number 0-50761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2054860</wp:posOffset>
            </wp:positionH>
            <wp:positionV relativeFrom="paragraph">
              <wp:posOffset>374650</wp:posOffset>
            </wp:positionV>
            <wp:extent cx="31470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jc w:val="center"/>
        <w:ind w:right="-199"/>
        <w:spacing w:after="0"/>
        <w:rPr>
          <w:sz w:val="20"/>
          <w:szCs w:val="20"/>
          <w:color w:val="auto"/>
        </w:rPr>
      </w:pPr>
      <w:r>
        <w:rPr>
          <w:rFonts w:ascii="Arial" w:cs="Arial" w:eastAsia="Arial" w:hAnsi="Arial"/>
          <w:sz w:val="43"/>
          <w:szCs w:val="43"/>
          <w:b w:val="1"/>
          <w:bCs w:val="1"/>
          <w:color w:val="auto"/>
        </w:rPr>
        <w:t>AngioDynamics, Inc.</w:t>
      </w:r>
    </w:p>
    <w:p>
      <w:pPr>
        <w:spacing w:after="0" w:line="50"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2054860</wp:posOffset>
            </wp:positionH>
            <wp:positionV relativeFrom="paragraph">
              <wp:posOffset>167640</wp:posOffset>
            </wp:positionV>
            <wp:extent cx="31470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4" w:lineRule="exact"/>
        <w:rPr>
          <w:sz w:val="24"/>
          <w:szCs w:val="24"/>
          <w:color w:val="auto"/>
        </w:rPr>
      </w:pPr>
    </w:p>
    <w:tbl>
      <w:tblPr>
        <w:tblLayout w:type="fixed"/>
        <w:tblInd w:w="1500" w:type="dxa"/>
        <w:tblCellMar>
          <w:top w:w="0" w:type="dxa"/>
          <w:left w:w="0" w:type="dxa"/>
          <w:bottom w:w="0" w:type="dxa"/>
          <w:right w:w="0" w:type="dxa"/>
        </w:tblCellMar>
      </w:tblPr>
      <w:tr>
        <w:trPr>
          <w:trHeight w:val="234"/>
        </w:trPr>
        <w:tc>
          <w:tcPr>
            <w:tcW w:w="4620" w:type="dxa"/>
            <w:vAlign w:val="bottom"/>
          </w:tcPr>
          <w:p>
            <w:pPr>
              <w:jc w:val="center"/>
              <w:ind w:right="1921"/>
              <w:spacing w:after="0"/>
              <w:rPr>
                <w:sz w:val="20"/>
                <w:szCs w:val="20"/>
                <w:color w:val="auto"/>
              </w:rPr>
            </w:pPr>
            <w:r>
              <w:rPr>
                <w:rFonts w:ascii="Arial" w:cs="Arial" w:eastAsia="Arial" w:hAnsi="Arial"/>
                <w:sz w:val="18"/>
                <w:szCs w:val="18"/>
                <w:b w:val="1"/>
                <w:bCs w:val="1"/>
                <w:color w:val="auto"/>
                <w:w w:val="93"/>
              </w:rPr>
              <w:t>Delaware</w:t>
            </w:r>
          </w:p>
        </w:tc>
        <w:tc>
          <w:tcPr>
            <w:tcW w:w="3120" w:type="dxa"/>
            <w:vAlign w:val="bottom"/>
          </w:tcPr>
          <w:p>
            <w:pPr>
              <w:jc w:val="right"/>
              <w:ind w:right="41"/>
              <w:spacing w:after="0"/>
              <w:rPr>
                <w:sz w:val="20"/>
                <w:szCs w:val="20"/>
                <w:color w:val="auto"/>
              </w:rPr>
            </w:pPr>
            <w:r>
              <w:rPr>
                <w:rFonts w:ascii="Arial" w:cs="Arial" w:eastAsia="Arial" w:hAnsi="Arial"/>
                <w:sz w:val="18"/>
                <w:szCs w:val="18"/>
                <w:b w:val="1"/>
                <w:bCs w:val="1"/>
                <w:color w:val="auto"/>
              </w:rPr>
              <w:t>11-3146460</w:t>
            </w:r>
          </w:p>
        </w:tc>
      </w:tr>
      <w:tr>
        <w:trPr>
          <w:trHeight w:val="180"/>
        </w:trPr>
        <w:tc>
          <w:tcPr>
            <w:tcW w:w="4620" w:type="dxa"/>
            <w:vAlign w:val="bottom"/>
          </w:tcPr>
          <w:p>
            <w:pPr>
              <w:jc w:val="center"/>
              <w:ind w:right="1921"/>
              <w:spacing w:after="0"/>
              <w:rPr>
                <w:sz w:val="20"/>
                <w:szCs w:val="20"/>
                <w:color w:val="auto"/>
              </w:rPr>
            </w:pPr>
            <w:r>
              <w:rPr>
                <w:rFonts w:ascii="Arial" w:cs="Arial" w:eastAsia="Arial" w:hAnsi="Arial"/>
                <w:sz w:val="14"/>
                <w:szCs w:val="14"/>
                <w:b w:val="1"/>
                <w:bCs w:val="1"/>
                <w:color w:val="auto"/>
                <w:w w:val="92"/>
              </w:rPr>
              <w:t>(State or other jurisdiction of</w:t>
            </w:r>
          </w:p>
        </w:tc>
        <w:tc>
          <w:tcPr>
            <w:tcW w:w="3120" w:type="dxa"/>
            <w:vAlign w:val="bottom"/>
          </w:tcPr>
          <w:p>
            <w:pPr>
              <w:jc w:val="center"/>
              <w:ind w:left="192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4620" w:type="dxa"/>
            <w:vAlign w:val="bottom"/>
          </w:tcPr>
          <w:p>
            <w:pPr>
              <w:jc w:val="center"/>
              <w:ind w:right="1921"/>
              <w:spacing w:after="0"/>
              <w:rPr>
                <w:sz w:val="20"/>
                <w:szCs w:val="20"/>
                <w:color w:val="auto"/>
              </w:rPr>
            </w:pPr>
            <w:r>
              <w:rPr>
                <w:rFonts w:ascii="Arial" w:cs="Arial" w:eastAsia="Arial" w:hAnsi="Arial"/>
                <w:sz w:val="14"/>
                <w:szCs w:val="14"/>
                <w:b w:val="1"/>
                <w:bCs w:val="1"/>
                <w:color w:val="auto"/>
                <w:w w:val="93"/>
              </w:rPr>
              <w:t>incorporation or organization)</w:t>
            </w:r>
          </w:p>
        </w:tc>
        <w:tc>
          <w:tcPr>
            <w:tcW w:w="3120" w:type="dxa"/>
            <w:vAlign w:val="bottom"/>
          </w:tcPr>
          <w:p>
            <w:pPr>
              <w:jc w:val="center"/>
              <w:ind w:left="1921"/>
              <w:spacing w:after="0"/>
              <w:rPr>
                <w:sz w:val="20"/>
                <w:szCs w:val="20"/>
                <w:color w:val="auto"/>
              </w:rPr>
            </w:pPr>
            <w:r>
              <w:rPr>
                <w:rFonts w:ascii="Arial" w:cs="Arial" w:eastAsia="Arial" w:hAnsi="Arial"/>
                <w:sz w:val="14"/>
                <w:szCs w:val="14"/>
                <w:b w:val="1"/>
                <w:bCs w:val="1"/>
                <w:color w:val="auto"/>
                <w:w w:val="94"/>
              </w:rPr>
              <w:t>Identification No.)</w:t>
            </w:r>
          </w:p>
        </w:tc>
      </w:tr>
      <w:tr>
        <w:trPr>
          <w:trHeight w:val="377"/>
        </w:trPr>
        <w:tc>
          <w:tcPr>
            <w:tcW w:w="4620" w:type="dxa"/>
            <w:vAlign w:val="bottom"/>
          </w:tcPr>
          <w:p>
            <w:pPr>
              <w:jc w:val="center"/>
              <w:ind w:right="1921"/>
              <w:spacing w:after="0"/>
              <w:rPr>
                <w:sz w:val="20"/>
                <w:szCs w:val="20"/>
                <w:color w:val="auto"/>
              </w:rPr>
            </w:pPr>
            <w:r>
              <w:rPr>
                <w:rFonts w:ascii="Arial" w:cs="Arial" w:eastAsia="Arial" w:hAnsi="Arial"/>
                <w:sz w:val="18"/>
                <w:szCs w:val="18"/>
                <w:b w:val="1"/>
                <w:bCs w:val="1"/>
                <w:color w:val="auto"/>
                <w:w w:val="92"/>
              </w:rPr>
              <w:t>14 Plaza Drive Latham, New York</w:t>
            </w:r>
          </w:p>
        </w:tc>
        <w:tc>
          <w:tcPr>
            <w:tcW w:w="3120" w:type="dxa"/>
            <w:vAlign w:val="bottom"/>
          </w:tcPr>
          <w:p>
            <w:pPr>
              <w:jc w:val="right"/>
              <w:ind w:right="261"/>
              <w:spacing w:after="0"/>
              <w:rPr>
                <w:sz w:val="20"/>
                <w:szCs w:val="20"/>
                <w:color w:val="auto"/>
              </w:rPr>
            </w:pPr>
            <w:r>
              <w:rPr>
                <w:rFonts w:ascii="Arial" w:cs="Arial" w:eastAsia="Arial" w:hAnsi="Arial"/>
                <w:sz w:val="18"/>
                <w:szCs w:val="18"/>
                <w:b w:val="1"/>
                <w:bCs w:val="1"/>
                <w:color w:val="auto"/>
              </w:rPr>
              <w:t>12110</w:t>
            </w:r>
          </w:p>
        </w:tc>
      </w:tr>
      <w:tr>
        <w:trPr>
          <w:trHeight w:val="218"/>
        </w:trPr>
        <w:tc>
          <w:tcPr>
            <w:tcW w:w="4620" w:type="dxa"/>
            <w:vAlign w:val="bottom"/>
          </w:tcPr>
          <w:p>
            <w:pPr>
              <w:jc w:val="center"/>
              <w:ind w:right="1921"/>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120" w:type="dxa"/>
            <w:vAlign w:val="bottom"/>
          </w:tcPr>
          <w:p>
            <w:pPr>
              <w:jc w:val="center"/>
              <w:ind w:left="1941"/>
              <w:spacing w:after="0"/>
              <w:rPr>
                <w:sz w:val="20"/>
                <w:szCs w:val="20"/>
                <w:color w:val="auto"/>
              </w:rPr>
            </w:pPr>
            <w:r>
              <w:rPr>
                <w:rFonts w:ascii="Arial" w:cs="Arial" w:eastAsia="Arial" w:hAnsi="Arial"/>
                <w:sz w:val="14"/>
                <w:szCs w:val="14"/>
                <w:b w:val="1"/>
                <w:bCs w:val="1"/>
                <w:color w:val="auto"/>
                <w:w w:val="95"/>
              </w:rPr>
              <w:t>(Zip Code)</w:t>
            </w:r>
          </w:p>
        </w:tc>
      </w:tr>
    </w:tbl>
    <w:p>
      <w:pPr>
        <w:spacing w:after="0" w:line="277"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(518) 795-1400</w:t>
      </w:r>
    </w:p>
    <w:p>
      <w:pPr>
        <w:spacing w:after="0" w:line="21" w:lineRule="exact"/>
        <w:rPr>
          <w:sz w:val="24"/>
          <w:szCs w:val="24"/>
          <w:color w:val="auto"/>
        </w:rPr>
      </w:pPr>
    </w:p>
    <w:p>
      <w:pPr>
        <w:jc w:val="center"/>
        <w:ind w:right="-19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6"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34" w:lineRule="exact"/>
        <w:rPr>
          <w:sz w:val="24"/>
          <w:szCs w:val="24"/>
          <w:color w:val="auto"/>
        </w:rPr>
      </w:pPr>
    </w:p>
    <w:tbl>
      <w:tblPr>
        <w:tblLayout w:type="fixed"/>
        <w:tblInd w:w="1560" w:type="dxa"/>
        <w:tblCellMar>
          <w:top w:w="0" w:type="dxa"/>
          <w:left w:w="0" w:type="dxa"/>
          <w:bottom w:w="0" w:type="dxa"/>
          <w:right w:w="0" w:type="dxa"/>
        </w:tblCellMar>
      </w:tblPr>
      <w:tr>
        <w:trPr>
          <w:trHeight w:val="186"/>
        </w:trPr>
        <w:tc>
          <w:tcPr>
            <w:tcW w:w="4140" w:type="dxa"/>
            <w:vAlign w:val="bottom"/>
          </w:tcPr>
          <w:p>
            <w:pPr>
              <w:jc w:val="center"/>
              <w:ind w:right="1536"/>
              <w:spacing w:after="0"/>
              <w:rPr>
                <w:sz w:val="20"/>
                <w:szCs w:val="20"/>
                <w:color w:val="auto"/>
              </w:rPr>
            </w:pPr>
            <w:r>
              <w:rPr>
                <w:rFonts w:ascii="Arial" w:cs="Arial" w:eastAsia="Arial" w:hAnsi="Arial"/>
                <w:sz w:val="14"/>
                <w:szCs w:val="14"/>
                <w:b w:val="1"/>
                <w:bCs w:val="1"/>
                <w:color w:val="auto"/>
                <w:w w:val="89"/>
              </w:rPr>
              <w:t>Title of each class</w:t>
            </w:r>
          </w:p>
        </w:tc>
        <w:tc>
          <w:tcPr>
            <w:tcW w:w="4320" w:type="dxa"/>
            <w:vAlign w:val="bottom"/>
          </w:tcPr>
          <w:p>
            <w:pPr>
              <w:jc w:val="center"/>
              <w:ind w:left="1556"/>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55"/>
        </w:trPr>
        <w:tc>
          <w:tcPr>
            <w:tcW w:w="4140" w:type="dxa"/>
            <w:vAlign w:val="bottom"/>
          </w:tcPr>
          <w:p>
            <w:pPr>
              <w:jc w:val="center"/>
              <w:ind w:right="1556"/>
              <w:spacing w:after="0"/>
              <w:rPr>
                <w:sz w:val="20"/>
                <w:szCs w:val="20"/>
                <w:color w:val="auto"/>
              </w:rPr>
            </w:pPr>
            <w:r>
              <w:rPr>
                <w:rFonts w:ascii="Arial" w:cs="Arial" w:eastAsia="Arial" w:hAnsi="Arial"/>
                <w:sz w:val="18"/>
                <w:szCs w:val="18"/>
                <w:b w:val="1"/>
                <w:bCs w:val="1"/>
                <w:color w:val="auto"/>
                <w:w w:val="90"/>
              </w:rPr>
              <w:t>Common stock, par value $.01</w:t>
            </w:r>
          </w:p>
        </w:tc>
        <w:tc>
          <w:tcPr>
            <w:tcW w:w="4320" w:type="dxa"/>
            <w:vAlign w:val="bottom"/>
          </w:tcPr>
          <w:p>
            <w:pPr>
              <w:jc w:val="center"/>
              <w:ind w:left="1556"/>
              <w:spacing w:after="0"/>
              <w:rPr>
                <w:sz w:val="20"/>
                <w:szCs w:val="20"/>
                <w:color w:val="auto"/>
              </w:rPr>
            </w:pPr>
            <w:r>
              <w:rPr>
                <w:rFonts w:ascii="Arial" w:cs="Arial" w:eastAsia="Arial" w:hAnsi="Arial"/>
                <w:sz w:val="18"/>
                <w:szCs w:val="18"/>
                <w:b w:val="1"/>
                <w:bCs w:val="1"/>
                <w:color w:val="auto"/>
                <w:w w:val="93"/>
              </w:rPr>
              <w:t>NASDAQ Global Select Market</w:t>
            </w:r>
          </w:p>
        </w:tc>
      </w:tr>
      <w:tr>
        <w:trPr>
          <w:trHeight w:val="270"/>
        </w:trPr>
        <w:tc>
          <w:tcPr>
            <w:tcW w:w="4140" w:type="dxa"/>
            <w:vAlign w:val="bottom"/>
          </w:tcPr>
          <w:p>
            <w:pPr>
              <w:jc w:val="center"/>
              <w:ind w:right="1556"/>
              <w:spacing w:after="0"/>
              <w:rPr>
                <w:sz w:val="20"/>
                <w:szCs w:val="20"/>
                <w:color w:val="auto"/>
              </w:rPr>
            </w:pPr>
            <w:r>
              <w:rPr>
                <w:rFonts w:ascii="Arial" w:cs="Arial" w:eastAsia="Arial" w:hAnsi="Arial"/>
                <w:sz w:val="18"/>
                <w:szCs w:val="18"/>
                <w:b w:val="1"/>
                <w:bCs w:val="1"/>
                <w:color w:val="auto"/>
                <w:w w:val="88"/>
              </w:rPr>
              <w:t>Preferred Stock Purchase Rights</w:t>
            </w:r>
          </w:p>
        </w:tc>
        <w:tc>
          <w:tcPr>
            <w:tcW w:w="4320" w:type="dxa"/>
            <w:vAlign w:val="bottom"/>
          </w:tcPr>
          <w:p>
            <w:pPr>
              <w:jc w:val="center"/>
              <w:ind w:left="1556"/>
              <w:spacing w:after="0"/>
              <w:rPr>
                <w:sz w:val="20"/>
                <w:szCs w:val="20"/>
                <w:color w:val="auto"/>
              </w:rPr>
            </w:pPr>
            <w:r>
              <w:rPr>
                <w:rFonts w:ascii="Arial" w:cs="Arial" w:eastAsia="Arial" w:hAnsi="Arial"/>
                <w:sz w:val="18"/>
                <w:szCs w:val="18"/>
                <w:b w:val="1"/>
                <w:bCs w:val="1"/>
                <w:color w:val="auto"/>
                <w:w w:val="93"/>
              </w:rPr>
              <w:t>NASDAQ Global Select Market</w:t>
            </w:r>
          </w:p>
        </w:tc>
      </w:tr>
    </w:tbl>
    <w:p>
      <w:pPr>
        <w:spacing w:after="0" w:line="225"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225"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None</w:t>
      </w:r>
    </w:p>
    <w:p>
      <w:pPr>
        <w:spacing w:after="0" w:line="21" w:lineRule="exact"/>
        <w:rPr>
          <w:sz w:val="24"/>
          <w:szCs w:val="24"/>
          <w:color w:val="auto"/>
        </w:rPr>
      </w:pPr>
    </w:p>
    <w:p>
      <w:pPr>
        <w:jc w:val="center"/>
        <w:ind w:right="-199"/>
        <w:spacing w:after="0"/>
        <w:rPr>
          <w:sz w:val="20"/>
          <w:szCs w:val="20"/>
          <w:color w:val="auto"/>
        </w:rPr>
      </w:pPr>
      <w:r>
        <w:rPr>
          <w:rFonts w:ascii="Arial" w:cs="Arial" w:eastAsia="Arial" w:hAnsi="Arial"/>
          <w:sz w:val="14"/>
          <w:szCs w:val="14"/>
          <w:b w:val="1"/>
          <w:bCs w:val="1"/>
          <w:color w:val="auto"/>
        </w:rPr>
        <w:t>(Title of Class)</w:t>
      </w:r>
    </w:p>
    <w:p>
      <w:pPr>
        <w:sectPr>
          <w:pgSz w:w="11900" w:h="16838" w:orient="portrait"/>
          <w:cols w:equalWidth="0" w:num="1">
            <w:col w:w="11240"/>
          </w:cols>
          <w:pgMar w:left="240" w:top="229" w:right="419" w:bottom="1440" w:gutter="0" w:footer="0" w:header="0"/>
        </w:sectPr>
      </w:pPr>
    </w:p>
    <w:bookmarkStart w:id="1" w:name="page2"/>
    <w:bookmarkEnd w:id="1"/>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2054860</wp:posOffset>
            </wp:positionH>
            <wp:positionV relativeFrom="paragraph">
              <wp:posOffset>344170</wp:posOffset>
            </wp:positionV>
            <wp:extent cx="31470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Indicate by check mark if the registrant is a well-known seasoned issuer, as defined in Rule 405 of the Securities Act.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No x</w:t>
      </w:r>
    </w:p>
    <w:p>
      <w:pPr>
        <w:spacing w:after="0" w:line="193" w:lineRule="exact"/>
        <w:rPr>
          <w:sz w:val="20"/>
          <w:szCs w:val="20"/>
          <w:color w:val="auto"/>
        </w:rPr>
      </w:pPr>
    </w:p>
    <w:p>
      <w:pPr>
        <w:sectPr>
          <w:pgSz w:w="11900" w:h="16838" w:orient="portrait"/>
          <w:cols w:equalWidth="0" w:num="4">
            <w:col w:w="8900" w:space="160"/>
            <w:col w:w="260" w:space="100"/>
            <w:col w:w="160" w:space="180"/>
            <w:col w:w="1660"/>
          </w:cols>
          <w:pgMar w:left="240" w:top="121" w:right="239" w:bottom="1440" w:gutter="0" w:footer="0" w:header="0"/>
          <w:type w:val="continuous"/>
        </w:sectPr>
      </w:pPr>
    </w:p>
    <w:p>
      <w:pPr>
        <w:spacing w:after="0" w:line="3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Indicate by check mark if the registrant is not required to file reports pursuant to Section 13 or 15(d) of the Act.</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No x</w:t>
      </w:r>
    </w:p>
    <w:p>
      <w:pPr>
        <w:spacing w:after="0" w:line="200" w:lineRule="exact"/>
        <w:rPr>
          <w:sz w:val="20"/>
          <w:szCs w:val="20"/>
          <w:color w:val="auto"/>
        </w:rPr>
      </w:pPr>
    </w:p>
    <w:p>
      <w:pPr>
        <w:sectPr>
          <w:pgSz w:w="11900" w:h="16838" w:orient="portrait"/>
          <w:cols w:equalWidth="0" w:num="4">
            <w:col w:w="8460" w:space="180"/>
            <w:col w:w="260" w:space="100"/>
            <w:col w:w="160" w:space="180"/>
            <w:col w:w="2080"/>
          </w:cols>
          <w:pgMar w:left="240" w:top="121" w:right="239" w:bottom="1440" w:gutter="0" w:footer="0" w:header="0"/>
          <w:type w:val="continuous"/>
        </w:sectPr>
      </w:pPr>
    </w:p>
    <w:p>
      <w:pPr>
        <w:spacing w:after="0" w:line="2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Indicate by check mark whether the registrant: (1) has filed all reports required to be filed by Section 13 or 15(d) of the Securities Exchange Act of</w:t>
      </w:r>
    </w:p>
    <w:p>
      <w:pPr>
        <w:spacing w:after="0" w:line="35" w:lineRule="exact"/>
        <w:rPr>
          <w:sz w:val="20"/>
          <w:szCs w:val="20"/>
          <w:color w:val="auto"/>
        </w:rPr>
      </w:pPr>
    </w:p>
    <w:p>
      <w:pPr>
        <w:ind w:right="240"/>
        <w:spacing w:after="0" w:line="226" w:lineRule="exact"/>
        <w:rPr>
          <w:sz w:val="20"/>
          <w:szCs w:val="20"/>
          <w:color w:val="auto"/>
        </w:rPr>
      </w:pPr>
      <w:r>
        <w:rPr>
          <w:rFonts w:ascii="Arial" w:cs="Arial" w:eastAsia="Arial" w:hAnsi="Arial"/>
          <w:sz w:val="18"/>
          <w:szCs w:val="18"/>
          <w:color w:val="auto"/>
        </w:rPr>
        <w:t xml:space="preserve">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182" w:lineRule="exact"/>
        <w:rPr>
          <w:sz w:val="20"/>
          <w:szCs w:val="20"/>
          <w:color w:val="auto"/>
        </w:rPr>
      </w:pPr>
    </w:p>
    <w:p>
      <w:pPr>
        <w:ind w:right="40" w:firstLine="432"/>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during the preceding 12 months (or for such shorter period that the registrant was required to submit and post such files). Yes x No </w:t>
      </w:r>
      <w:r>
        <w:rPr>
          <w:rFonts w:ascii="MS PGothic" w:cs="MS PGothic" w:eastAsia="MS PGothic" w:hAnsi="MS PGothic"/>
          <w:sz w:val="18"/>
          <w:szCs w:val="18"/>
          <w:color w:val="auto"/>
        </w:rPr>
        <w:t>☐</w:t>
      </w:r>
    </w:p>
    <w:p>
      <w:pPr>
        <w:spacing w:after="0" w:line="184" w:lineRule="exact"/>
        <w:rPr>
          <w:sz w:val="20"/>
          <w:szCs w:val="20"/>
          <w:color w:val="auto"/>
        </w:rPr>
      </w:pPr>
    </w:p>
    <w:p>
      <w:pPr>
        <w:ind w:firstLine="432"/>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121" w:right="239" w:bottom="1440" w:gutter="0" w:footer="0" w:header="0"/>
          <w:type w:val="continuous"/>
        </w:sectPr>
      </w:pPr>
    </w:p>
    <w:p>
      <w:pPr>
        <w:spacing w:after="0" w:line="70" w:lineRule="exact"/>
        <w:rPr>
          <w:sz w:val="20"/>
          <w:szCs w:val="20"/>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0"/>
          <w:szCs w:val="20"/>
          <w:color w:val="auto"/>
        </w:rPr>
      </w:pPr>
      <w:r>
        <w:rPr>
          <w:sz w:val="20"/>
          <w:szCs w:val="20"/>
          <w:color w:val="auto"/>
        </w:rPr>
        <w:br w:type="column"/>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152" w:lineRule="exact"/>
        <w:rPr>
          <w:sz w:val="20"/>
          <w:szCs w:val="20"/>
          <w:color w:val="auto"/>
        </w:rPr>
      </w:pPr>
    </w:p>
    <w:p>
      <w:pPr>
        <w:sectPr>
          <w:pgSz w:w="11900" w:h="16838" w:orient="portrait"/>
          <w:cols w:equalWidth="0" w:num="4">
            <w:col w:w="1660" w:space="560"/>
            <w:col w:w="5440" w:space="720"/>
            <w:col w:w="2000" w:space="720"/>
            <w:col w:w="320"/>
          </w:cols>
          <w:pgMar w:left="240" w:top="121" w:right="239" w:bottom="1440" w:gutter="0" w:footer="0" w:header="0"/>
          <w:type w:val="continuous"/>
        </w:sectPr>
      </w:pPr>
    </w:p>
    <w:p>
      <w:pPr>
        <w:spacing w:after="0" w:line="33" w:lineRule="exact"/>
        <w:rPr>
          <w:sz w:val="20"/>
          <w:szCs w:val="20"/>
          <w:color w:val="auto"/>
        </w:r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r>
        <w:rPr>
          <w:rFonts w:ascii="MS PGothic" w:cs="MS PGothic" w:eastAsia="MS PGothic" w:hAnsi="MS PGothic"/>
          <w:sz w:val="18"/>
          <w:szCs w:val="18"/>
          <w:color w:val="auto"/>
        </w:rPr>
        <w:t>☐</w:t>
      </w:r>
    </w:p>
    <w:p>
      <w:pPr>
        <w:spacing w:after="0" w:line="236" w:lineRule="exact"/>
        <w:rPr>
          <w:sz w:val="20"/>
          <w:szCs w:val="20"/>
          <w:color w:val="auto"/>
        </w:rPr>
      </w:pPr>
    </w:p>
    <w:p>
      <w:pPr>
        <w:sectPr>
          <w:pgSz w:w="11900" w:h="16838" w:orient="portrait"/>
          <w:cols w:equalWidth="0" w:num="4">
            <w:col w:w="1560" w:space="660"/>
            <w:col w:w="5440" w:space="720"/>
            <w:col w:w="2000" w:space="720"/>
            <w:col w:w="320"/>
          </w:cols>
          <w:pgMar w:left="240" w:top="121" w:right="239" w:bottom="1440" w:gutter="0" w:footer="0" w:header="0"/>
          <w:type w:val="continuous"/>
        </w:sectPr>
      </w:pPr>
    </w:p>
    <w:p>
      <w:pPr>
        <w:spacing w:after="0" w:line="7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No x</w:t>
      </w:r>
    </w:p>
    <w:p>
      <w:pPr>
        <w:spacing w:after="0" w:line="200" w:lineRule="exact"/>
        <w:rPr>
          <w:sz w:val="20"/>
          <w:szCs w:val="20"/>
          <w:color w:val="auto"/>
        </w:rPr>
      </w:pPr>
    </w:p>
    <w:p>
      <w:pPr>
        <w:sectPr>
          <w:pgSz w:w="11900" w:h="16838" w:orient="portrait"/>
          <w:cols w:equalWidth="0" w:num="4">
            <w:col w:w="8620" w:space="180"/>
            <w:col w:w="260" w:space="80"/>
            <w:col w:w="160" w:space="180"/>
            <w:col w:w="1940"/>
          </w:cols>
          <w:pgMar w:left="240" w:top="121" w:right="239" w:bottom="1440" w:gutter="0" w:footer="0" w:header="0"/>
          <w:type w:val="continuous"/>
        </w:sectPr>
      </w:pPr>
    </w:p>
    <w:p>
      <w:pPr>
        <w:spacing w:after="0" w:line="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40" w:type="dxa"/>
            <w:vAlign w:val="bottom"/>
          </w:tcPr>
          <w:p>
            <w:pPr>
              <w:spacing w:after="0"/>
              <w:rPr>
                <w:sz w:val="14"/>
                <w:szCs w:val="14"/>
                <w:color w:val="auto"/>
              </w:rPr>
            </w:pPr>
          </w:p>
        </w:tc>
        <w:tc>
          <w:tcPr>
            <w:tcW w:w="340" w:type="dxa"/>
            <w:vAlign w:val="bottom"/>
          </w:tcPr>
          <w:p>
            <w:pPr>
              <w:jc w:val="center"/>
              <w:spacing w:after="0"/>
              <w:rPr>
                <w:sz w:val="20"/>
                <w:szCs w:val="20"/>
                <w:color w:val="auto"/>
              </w:rPr>
            </w:pPr>
            <w:r>
              <w:rPr>
                <w:rFonts w:ascii="Arial" w:cs="Arial" w:eastAsia="Arial" w:hAnsi="Arial"/>
                <w:sz w:val="14"/>
                <w:szCs w:val="14"/>
                <w:b w:val="1"/>
                <w:bCs w:val="1"/>
                <w:color w:val="auto"/>
                <w:w w:val="90"/>
              </w:rPr>
              <w:t>Class</w:t>
            </w:r>
          </w:p>
        </w:tc>
        <w:tc>
          <w:tcPr>
            <w:tcW w:w="27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3900" w:type="dxa"/>
            <w:vAlign w:val="bottom"/>
            <w:gridSpan w:val="2"/>
          </w:tcPr>
          <w:p>
            <w:pPr>
              <w:jc w:val="center"/>
              <w:ind w:right="1580"/>
              <w:spacing w:after="0"/>
              <w:rPr>
                <w:sz w:val="20"/>
                <w:szCs w:val="20"/>
                <w:color w:val="auto"/>
              </w:rPr>
            </w:pPr>
            <w:r>
              <w:rPr>
                <w:rFonts w:ascii="Arial" w:cs="Arial" w:eastAsia="Arial" w:hAnsi="Arial"/>
                <w:sz w:val="14"/>
                <w:szCs w:val="14"/>
                <w:b w:val="1"/>
                <w:bCs w:val="1"/>
                <w:color w:val="auto"/>
                <w:w w:val="91"/>
              </w:rPr>
              <w:t>Outstanding as of September 30, 2015</w:t>
            </w:r>
          </w:p>
        </w:tc>
      </w:tr>
      <w:tr>
        <w:trPr>
          <w:trHeight w:val="20"/>
        </w:trPr>
        <w:tc>
          <w:tcPr>
            <w:tcW w:w="26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32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264"/>
        </w:trPr>
        <w:tc>
          <w:tcPr>
            <w:tcW w:w="57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Common Stock, par value $.01</w:t>
            </w:r>
          </w:p>
        </w:tc>
        <w:tc>
          <w:tcPr>
            <w:tcW w:w="4080" w:type="dxa"/>
            <w:vAlign w:val="bottom"/>
            <w:gridSpan w:val="2"/>
          </w:tcPr>
          <w:p>
            <w:pPr>
              <w:jc w:val="right"/>
              <w:ind w:right="668"/>
              <w:spacing w:after="0"/>
              <w:rPr>
                <w:sz w:val="20"/>
                <w:szCs w:val="20"/>
                <w:color w:val="auto"/>
              </w:rPr>
            </w:pPr>
            <w:r>
              <w:rPr>
                <w:rFonts w:ascii="Arial" w:cs="Arial" w:eastAsia="Arial" w:hAnsi="Arial"/>
                <w:sz w:val="18"/>
                <w:szCs w:val="18"/>
                <w:b w:val="1"/>
                <w:bCs w:val="1"/>
                <w:color w:val="auto"/>
              </w:rPr>
              <w:t>36,280,188</w:t>
            </w:r>
          </w:p>
        </w:tc>
        <w:tc>
          <w:tcPr>
            <w:tcW w:w="1580" w:type="dxa"/>
            <w:vAlign w:val="bottom"/>
          </w:tcPr>
          <w:p>
            <w:pPr>
              <w:spacing w:after="0"/>
              <w:rPr>
                <w:sz w:val="22"/>
                <w:szCs w:val="22"/>
                <w:color w:val="auto"/>
              </w:rPr>
            </w:pPr>
          </w:p>
        </w:tc>
      </w:tr>
      <w:tr>
        <w:trPr>
          <w:trHeight w:val="459"/>
        </w:trPr>
        <w:tc>
          <w:tcPr>
            <w:tcW w:w="26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r>
      <w:tr>
        <w:trPr>
          <w:trHeight w:val="115"/>
        </w:trPr>
        <w:tc>
          <w:tcPr>
            <w:tcW w:w="264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2780" w:type="dxa"/>
            <w:vAlign w:val="bottom"/>
            <w:tcBorders>
              <w:bottom w:val="single" w:sz="8" w:color="auto"/>
            </w:tcBorders>
          </w:tcPr>
          <w:p>
            <w:pPr>
              <w:spacing w:after="0"/>
              <w:rPr>
                <w:sz w:val="10"/>
                <w:szCs w:val="10"/>
                <w:color w:val="auto"/>
              </w:rPr>
            </w:pPr>
          </w:p>
        </w:tc>
        <w:tc>
          <w:tcPr>
            <w:tcW w:w="1760" w:type="dxa"/>
            <w:vAlign w:val="bottom"/>
            <w:tcBorders>
              <w:bottom w:val="single" w:sz="8" w:color="auto"/>
            </w:tcBorders>
          </w:tcPr>
          <w:p>
            <w:pPr>
              <w:spacing w:after="0"/>
              <w:rPr>
                <w:sz w:val="10"/>
                <w:szCs w:val="10"/>
                <w:color w:val="auto"/>
              </w:rPr>
            </w:pPr>
          </w:p>
        </w:tc>
        <w:tc>
          <w:tcPr>
            <w:tcW w:w="2320" w:type="dxa"/>
            <w:vAlign w:val="bottom"/>
            <w:tcBorders>
              <w:bottom w:val="single" w:sz="8" w:color="auto"/>
            </w:tcBorders>
          </w:tcPr>
          <w:p>
            <w:pPr>
              <w:spacing w:after="0"/>
              <w:rPr>
                <w:sz w:val="10"/>
                <w:szCs w:val="10"/>
                <w:color w:val="auto"/>
              </w:rPr>
            </w:pPr>
          </w:p>
        </w:tc>
        <w:tc>
          <w:tcPr>
            <w:tcW w:w="158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121" w:right="239" w:bottom="1440" w:gutter="0" w:footer="0" w:header="0"/>
          <w:type w:val="continuous"/>
        </w:sectPr>
      </w:pPr>
    </w:p>
    <w:bookmarkStart w:id="2" w:name="page3"/>
    <w:bookmarkEnd w:id="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AngioDynamics,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91"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10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900" w:type="dxa"/>
            <w:vAlign w:val="bottom"/>
            <w:tcBorders>
              <w:bottom w:val="single" w:sz="8" w:color="auto"/>
            </w:tcBorders>
            <w:gridSpan w:val="4"/>
          </w:tcPr>
          <w:p>
            <w:pPr>
              <w:ind w:left="300"/>
              <w:spacing w:after="0"/>
              <w:rPr>
                <w:sz w:val="20"/>
                <w:szCs w:val="20"/>
                <w:color w:val="auto"/>
              </w:rPr>
            </w:pPr>
            <w:r>
              <w:rPr>
                <w:rFonts w:ascii="Arial" w:cs="Arial" w:eastAsia="Arial" w:hAnsi="Arial"/>
                <w:sz w:val="14"/>
                <w:szCs w:val="14"/>
                <w:b w:val="1"/>
                <w:bCs w:val="1"/>
                <w:color w:val="auto"/>
              </w:rPr>
              <w:t>Page</w:t>
            </w:r>
          </w:p>
        </w:tc>
      </w:tr>
      <w:tr>
        <w:trPr>
          <w:trHeight w:val="189"/>
        </w:trPr>
        <w:tc>
          <w:tcPr>
            <w:tcW w:w="10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280" w:type="dxa"/>
            <w:vAlign w:val="bottom"/>
            <w:tcBorders>
              <w:bottom w:val="single" w:sz="8" w:color="0000EE"/>
            </w:tcBorders>
            <w:gridSpan w:val="9"/>
          </w:tcPr>
          <w:p>
            <w:pPr>
              <w:jc w:val="center"/>
              <w:spacing w:after="0" w:line="189" w:lineRule="exact"/>
              <w:rPr>
                <w:rFonts w:ascii="Arial" w:cs="Arial" w:eastAsia="Arial" w:hAnsi="Arial"/>
                <w:sz w:val="18"/>
                <w:szCs w:val="18"/>
                <w:b w:val="1"/>
                <w:bCs w:val="1"/>
                <w:color w:val="0000EE"/>
                <w:w w:val="95"/>
              </w:rPr>
            </w:pPr>
            <w:hyperlink w:anchor="page3">
              <w:r>
                <w:rPr>
                  <w:rFonts w:ascii="Arial" w:cs="Arial" w:eastAsia="Arial" w:hAnsi="Arial"/>
                  <w:sz w:val="18"/>
                  <w:szCs w:val="18"/>
                  <w:b w:val="1"/>
                  <w:bCs w:val="1"/>
                  <w:color w:val="0000EE"/>
                  <w:w w:val="95"/>
                </w:rPr>
                <w:t>Part I: Financial Information</w:t>
              </w:r>
            </w:hyperlink>
          </w:p>
        </w:tc>
        <w:tc>
          <w:tcPr>
            <w:tcW w:w="3600" w:type="dxa"/>
            <w:vAlign w:val="bottom"/>
            <w:gridSpan w:val="3"/>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85"/>
        </w:trPr>
        <w:tc>
          <w:tcPr>
            <w:tcW w:w="104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9440" w:type="dxa"/>
            <w:vAlign w:val="bottom"/>
            <w:gridSpan w:val="21"/>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Financial Statements</w:t>
              </w:r>
            </w:hyperlink>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10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tcPr>
          <w:p>
            <w:pPr>
              <w:spacing w:after="0"/>
              <w:rPr>
                <w:sz w:val="24"/>
                <w:szCs w:val="24"/>
                <w:color w:val="auto"/>
              </w:rPr>
            </w:pPr>
          </w:p>
        </w:tc>
        <w:tc>
          <w:tcPr>
            <w:tcW w:w="9440" w:type="dxa"/>
            <w:vAlign w:val="bottom"/>
            <w:gridSpan w:val="21"/>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Consolidated Condensed Statements of Income (Loss) (unaudited)</w:t>
              </w:r>
            </w:hyperlink>
          </w:p>
        </w:tc>
        <w:tc>
          <w:tcPr>
            <w:tcW w:w="900" w:type="dxa"/>
            <w:vAlign w:val="bottom"/>
            <w:gridSpan w:val="4"/>
          </w:tcPr>
          <w:p>
            <w:pPr>
              <w:jc w:val="right"/>
              <w:ind w:right="20"/>
              <w:spacing w:after="0"/>
              <w:rPr>
                <w:rFonts w:ascii="Arial" w:cs="Arial" w:eastAsia="Arial" w:hAnsi="Arial"/>
                <w:sz w:val="18"/>
                <w:szCs w:val="18"/>
                <w:color w:val="0000EE"/>
              </w:rPr>
            </w:pPr>
            <w:hyperlink w:anchor="page4">
              <w:r>
                <w:rPr>
                  <w:rFonts w:ascii="Arial" w:cs="Arial" w:eastAsia="Arial" w:hAnsi="Arial"/>
                  <w:sz w:val="18"/>
                  <w:szCs w:val="18"/>
                  <w:color w:val="0000EE"/>
                </w:rPr>
                <w:t>3</w:t>
              </w:r>
            </w:hyperlink>
          </w:p>
        </w:tc>
      </w:tr>
      <w:tr>
        <w:trPr>
          <w:trHeight w:val="20"/>
        </w:trPr>
        <w:tc>
          <w:tcPr>
            <w:tcW w:w="10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tcPr>
          <w:p>
            <w:pPr>
              <w:spacing w:after="0"/>
              <w:rPr>
                <w:sz w:val="24"/>
                <w:szCs w:val="24"/>
                <w:color w:val="auto"/>
              </w:rPr>
            </w:pPr>
          </w:p>
        </w:tc>
        <w:tc>
          <w:tcPr>
            <w:tcW w:w="5960" w:type="dxa"/>
            <w:vAlign w:val="bottom"/>
            <w:tcBorders>
              <w:bottom w:val="single" w:sz="8" w:color="0000EE"/>
            </w:tcBorders>
            <w:gridSpan w:val="19"/>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Consolidated Condensed Statements of Comprehensive Income (Loss) (unaudited)</w:t>
              </w:r>
            </w:hyperlink>
          </w:p>
        </w:tc>
        <w:tc>
          <w:tcPr>
            <w:tcW w:w="3480" w:type="dxa"/>
            <w:vAlign w:val="bottom"/>
            <w:gridSpan w:val="2"/>
          </w:tcPr>
          <w:p>
            <w:pPr>
              <w:spacing w:after="0"/>
              <w:rPr>
                <w:sz w:val="24"/>
                <w:szCs w:val="24"/>
                <w:color w:val="auto"/>
              </w:rPr>
            </w:pPr>
          </w:p>
        </w:tc>
        <w:tc>
          <w:tcPr>
            <w:tcW w:w="78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4</w:t>
              </w:r>
            </w:hyperlink>
          </w:p>
        </w:tc>
        <w:tc>
          <w:tcPr>
            <w:tcW w:w="20" w:type="dxa"/>
            <w:vAlign w:val="bottom"/>
          </w:tcPr>
          <w:p>
            <w:pPr>
              <w:spacing w:after="0"/>
              <w:rPr>
                <w:sz w:val="24"/>
                <w:szCs w:val="24"/>
                <w:color w:val="auto"/>
              </w:rPr>
            </w:pPr>
          </w:p>
        </w:tc>
      </w:tr>
      <w:tr>
        <w:trPr>
          <w:trHeight w:val="372"/>
        </w:trPr>
        <w:tc>
          <w:tcPr>
            <w:tcW w:w="1040" w:type="dxa"/>
            <w:vAlign w:val="bottom"/>
          </w:tcPr>
          <w:p>
            <w:pPr>
              <w:spacing w:after="0"/>
              <w:rPr>
                <w:sz w:val="24"/>
                <w:szCs w:val="24"/>
                <w:color w:val="auto"/>
              </w:rPr>
            </w:pPr>
          </w:p>
        </w:tc>
        <w:tc>
          <w:tcPr>
            <w:tcW w:w="9440" w:type="dxa"/>
            <w:vAlign w:val="bottom"/>
            <w:gridSpan w:val="21"/>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Consolidated Condensed Balance Sheets (unaudited)</w:t>
              </w:r>
            </w:hyperlink>
          </w:p>
        </w:tc>
        <w:tc>
          <w:tcPr>
            <w:tcW w:w="900" w:type="dxa"/>
            <w:vAlign w:val="bottom"/>
            <w:gridSpan w:val="4"/>
          </w:tcPr>
          <w:p>
            <w:pPr>
              <w:jc w:val="right"/>
              <w:ind w:right="20"/>
              <w:spacing w:after="0"/>
              <w:rPr>
                <w:rFonts w:ascii="Arial" w:cs="Arial" w:eastAsia="Arial" w:hAnsi="Arial"/>
                <w:sz w:val="18"/>
                <w:szCs w:val="18"/>
                <w:color w:val="0000EE"/>
              </w:rPr>
            </w:pPr>
            <w:hyperlink w:anchor="page5">
              <w:r>
                <w:rPr>
                  <w:rFonts w:ascii="Arial" w:cs="Arial" w:eastAsia="Arial" w:hAnsi="Arial"/>
                  <w:sz w:val="18"/>
                  <w:szCs w:val="18"/>
                  <w:color w:val="0000EE"/>
                </w:rPr>
                <w:t>5</w:t>
              </w:r>
            </w:hyperlink>
          </w:p>
        </w:tc>
      </w:tr>
      <w:tr>
        <w:trPr>
          <w:trHeight w:val="20"/>
        </w:trPr>
        <w:tc>
          <w:tcPr>
            <w:tcW w:w="10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tcPr>
          <w:p>
            <w:pPr>
              <w:spacing w:after="0"/>
              <w:rPr>
                <w:sz w:val="24"/>
                <w:szCs w:val="24"/>
                <w:color w:val="auto"/>
              </w:rPr>
            </w:pPr>
          </w:p>
        </w:tc>
        <w:tc>
          <w:tcPr>
            <w:tcW w:w="9440" w:type="dxa"/>
            <w:vAlign w:val="bottom"/>
            <w:gridSpan w:val="21"/>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Consolidated Condensed Statements of Cash Flows (unaudited)</w:t>
              </w:r>
            </w:hyperlink>
          </w:p>
        </w:tc>
        <w:tc>
          <w:tcPr>
            <w:tcW w:w="900" w:type="dxa"/>
            <w:vAlign w:val="bottom"/>
            <w:gridSpan w:val="4"/>
          </w:tcPr>
          <w:p>
            <w:pPr>
              <w:jc w:val="right"/>
              <w:ind w:right="20"/>
              <w:spacing w:after="0"/>
              <w:rPr>
                <w:rFonts w:ascii="Arial" w:cs="Arial" w:eastAsia="Arial" w:hAnsi="Arial"/>
                <w:sz w:val="18"/>
                <w:szCs w:val="18"/>
                <w:color w:val="0000EE"/>
              </w:rPr>
            </w:pPr>
            <w:hyperlink w:anchor="page6">
              <w:r>
                <w:rPr>
                  <w:rFonts w:ascii="Arial" w:cs="Arial" w:eastAsia="Arial" w:hAnsi="Arial"/>
                  <w:sz w:val="18"/>
                  <w:szCs w:val="18"/>
                  <w:color w:val="0000EE"/>
                </w:rPr>
                <w:t>6</w:t>
              </w:r>
            </w:hyperlink>
          </w:p>
        </w:tc>
      </w:tr>
      <w:tr>
        <w:trPr>
          <w:trHeight w:val="20"/>
        </w:trPr>
        <w:tc>
          <w:tcPr>
            <w:tcW w:w="10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tcPr>
          <w:p>
            <w:pPr>
              <w:spacing w:after="0"/>
              <w:rPr>
                <w:sz w:val="24"/>
                <w:szCs w:val="24"/>
                <w:color w:val="auto"/>
              </w:rPr>
            </w:pPr>
          </w:p>
        </w:tc>
        <w:tc>
          <w:tcPr>
            <w:tcW w:w="5200" w:type="dxa"/>
            <w:vAlign w:val="bottom"/>
            <w:tcBorders>
              <w:bottom w:val="single" w:sz="8" w:color="0000EE"/>
            </w:tcBorders>
            <w:gridSpan w:val="16"/>
          </w:tcPr>
          <w:p>
            <w:pPr>
              <w:spacing w:after="0"/>
              <w:rPr>
                <w:rFonts w:ascii="Arial" w:cs="Arial" w:eastAsia="Arial" w:hAnsi="Arial"/>
                <w:sz w:val="18"/>
                <w:szCs w:val="18"/>
                <w:color w:val="0000EE"/>
                <w:w w:val="90"/>
              </w:rPr>
            </w:pPr>
            <w:hyperlink w:anchor="page7">
              <w:r>
                <w:rPr>
                  <w:rFonts w:ascii="Arial" w:cs="Arial" w:eastAsia="Arial" w:hAnsi="Arial"/>
                  <w:sz w:val="18"/>
                  <w:szCs w:val="18"/>
                  <w:color w:val="0000EE"/>
                  <w:w w:val="90"/>
                </w:rPr>
                <w:t>Consolidated Condensed Statement of Stockholders’ Equity (unaudited)</w:t>
              </w:r>
            </w:hyperlink>
          </w:p>
        </w:tc>
        <w:tc>
          <w:tcPr>
            <w:tcW w:w="4240" w:type="dxa"/>
            <w:vAlign w:val="bottom"/>
            <w:gridSpan w:val="5"/>
          </w:tcPr>
          <w:p>
            <w:pPr>
              <w:spacing w:after="0"/>
              <w:rPr>
                <w:sz w:val="24"/>
                <w:szCs w:val="24"/>
                <w:color w:val="auto"/>
              </w:rPr>
            </w:pPr>
          </w:p>
        </w:tc>
        <w:tc>
          <w:tcPr>
            <w:tcW w:w="78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7</w:t>
              </w:r>
            </w:hyperlink>
          </w:p>
        </w:tc>
        <w:tc>
          <w:tcPr>
            <w:tcW w:w="20" w:type="dxa"/>
            <w:vAlign w:val="bottom"/>
          </w:tcPr>
          <w:p>
            <w:pPr>
              <w:spacing w:after="0"/>
              <w:rPr>
                <w:sz w:val="24"/>
                <w:szCs w:val="24"/>
                <w:color w:val="auto"/>
              </w:rPr>
            </w:pPr>
          </w:p>
        </w:tc>
      </w:tr>
      <w:tr>
        <w:trPr>
          <w:trHeight w:val="372"/>
        </w:trPr>
        <w:tc>
          <w:tcPr>
            <w:tcW w:w="1040" w:type="dxa"/>
            <w:vAlign w:val="bottom"/>
          </w:tcPr>
          <w:p>
            <w:pPr>
              <w:spacing w:after="0"/>
              <w:rPr>
                <w:sz w:val="24"/>
                <w:szCs w:val="24"/>
                <w:color w:val="auto"/>
              </w:rPr>
            </w:pPr>
          </w:p>
        </w:tc>
        <w:tc>
          <w:tcPr>
            <w:tcW w:w="9440" w:type="dxa"/>
            <w:vAlign w:val="bottom"/>
            <w:gridSpan w:val="21"/>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Notes to Consolidated Condensed Financial Statements (unaudited)</w:t>
              </w:r>
            </w:hyperlink>
          </w:p>
        </w:tc>
        <w:tc>
          <w:tcPr>
            <w:tcW w:w="900" w:type="dxa"/>
            <w:vAlign w:val="bottom"/>
            <w:gridSpan w:val="4"/>
          </w:tcPr>
          <w:p>
            <w:pPr>
              <w:jc w:val="right"/>
              <w:ind w:right="20"/>
              <w:spacing w:after="0"/>
              <w:rPr>
                <w:rFonts w:ascii="Arial" w:cs="Arial" w:eastAsia="Arial" w:hAnsi="Arial"/>
                <w:sz w:val="18"/>
                <w:szCs w:val="18"/>
                <w:color w:val="0000EE"/>
              </w:rPr>
            </w:pPr>
            <w:hyperlink w:anchor="page8">
              <w:r>
                <w:rPr>
                  <w:rFonts w:ascii="Arial" w:cs="Arial" w:eastAsia="Arial" w:hAnsi="Arial"/>
                  <w:sz w:val="18"/>
                  <w:szCs w:val="18"/>
                  <w:color w:val="0000EE"/>
                </w:rPr>
                <w:t>8</w:t>
              </w:r>
            </w:hyperlink>
          </w:p>
        </w:tc>
      </w:tr>
      <w:tr>
        <w:trPr>
          <w:trHeight w:val="20"/>
        </w:trPr>
        <w:tc>
          <w:tcPr>
            <w:tcW w:w="10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9440" w:type="dxa"/>
            <w:vAlign w:val="bottom"/>
            <w:gridSpan w:val="21"/>
          </w:tcPr>
          <w:p>
            <w:pPr>
              <w:spacing w:after="0"/>
              <w:rPr>
                <w:rFonts w:ascii="Arial" w:cs="Arial" w:eastAsia="Arial" w:hAnsi="Arial"/>
                <w:sz w:val="18"/>
                <w:szCs w:val="18"/>
                <w:b w:val="1"/>
                <w:bCs w:val="1"/>
                <w:color w:val="0000EE"/>
              </w:rPr>
            </w:pPr>
            <w:hyperlink w:anchor="page20">
              <w:r>
                <w:rPr>
                  <w:rFonts w:ascii="Arial" w:cs="Arial" w:eastAsia="Arial" w:hAnsi="Arial"/>
                  <w:sz w:val="18"/>
                  <w:szCs w:val="18"/>
                  <w:b w:val="1"/>
                  <w:bCs w:val="1"/>
                  <w:color w:val="0000EE"/>
                </w:rPr>
                <w:t>Management’s Discussion and Analysis of Financial Condition and Results of Operations</w:t>
              </w:r>
            </w:hyperlink>
          </w:p>
        </w:tc>
        <w:tc>
          <w:tcPr>
            <w:tcW w:w="900" w:type="dxa"/>
            <w:vAlign w:val="bottom"/>
            <w:gridSpan w:val="4"/>
          </w:tcPr>
          <w:p>
            <w:pPr>
              <w:jc w:val="right"/>
              <w:ind w:right="20"/>
              <w:spacing w:after="0"/>
              <w:rPr>
                <w:rFonts w:ascii="Arial" w:cs="Arial" w:eastAsia="Arial" w:hAnsi="Arial"/>
                <w:sz w:val="18"/>
                <w:szCs w:val="18"/>
                <w:color w:val="0000EE"/>
              </w:rPr>
            </w:pPr>
            <w:hyperlink w:anchor="page20">
              <w:r>
                <w:rPr>
                  <w:rFonts w:ascii="Arial" w:cs="Arial" w:eastAsia="Arial" w:hAnsi="Arial"/>
                  <w:sz w:val="18"/>
                  <w:szCs w:val="18"/>
                  <w:color w:val="0000EE"/>
                </w:rPr>
                <w:t>20</w:t>
              </w:r>
            </w:hyperlink>
          </w:p>
        </w:tc>
      </w:tr>
      <w:tr>
        <w:trPr>
          <w:trHeight w:val="20"/>
        </w:trPr>
        <w:tc>
          <w:tcPr>
            <w:tcW w:w="10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80" w:type="dxa"/>
            <w:vAlign w:val="bottom"/>
            <w:gridSpan w:val="4"/>
            <w:shd w:val="clear" w:color="auto" w:fill="0000EE"/>
          </w:tcPr>
          <w:p>
            <w:pPr>
              <w:spacing w:after="0" w:line="20" w:lineRule="exact"/>
              <w:rPr>
                <w:sz w:val="1"/>
                <w:szCs w:val="1"/>
                <w:color w:val="auto"/>
              </w:rPr>
            </w:pPr>
          </w:p>
        </w:tc>
        <w:tc>
          <w:tcPr>
            <w:tcW w:w="1080" w:type="dxa"/>
            <w:vAlign w:val="bottom"/>
            <w:gridSpan w:val="3"/>
            <w:shd w:val="clear" w:color="auto" w:fill="0000EE"/>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6820" w:type="dxa"/>
            <w:vAlign w:val="bottom"/>
            <w:gridSpan w:val="20"/>
          </w:tcPr>
          <w:p>
            <w:pPr>
              <w:spacing w:after="0"/>
              <w:rPr>
                <w:rFonts w:ascii="Arial" w:cs="Arial" w:eastAsia="Arial" w:hAnsi="Arial"/>
                <w:sz w:val="18"/>
                <w:szCs w:val="18"/>
                <w:b w:val="1"/>
                <w:bCs w:val="1"/>
                <w:color w:val="0000EE"/>
              </w:rPr>
            </w:pPr>
            <w:hyperlink w:anchor="page26">
              <w:r>
                <w:rPr>
                  <w:rFonts w:ascii="Arial" w:cs="Arial" w:eastAsia="Arial" w:hAnsi="Arial"/>
                  <w:sz w:val="18"/>
                  <w:szCs w:val="18"/>
                  <w:b w:val="1"/>
                  <w:bCs w:val="1"/>
                  <w:color w:val="0000EE"/>
                </w:rPr>
                <w:t>Quantitative and Qualitative Disclosures About Market Risk</w:t>
              </w:r>
            </w:hyperlink>
          </w:p>
        </w:tc>
        <w:tc>
          <w:tcPr>
            <w:tcW w:w="2620" w:type="dxa"/>
            <w:vAlign w:val="bottom"/>
          </w:tcPr>
          <w:p>
            <w:pPr>
              <w:spacing w:after="0"/>
              <w:rPr>
                <w:sz w:val="24"/>
                <w:szCs w:val="24"/>
                <w:color w:val="auto"/>
              </w:rPr>
            </w:pPr>
          </w:p>
        </w:tc>
        <w:tc>
          <w:tcPr>
            <w:tcW w:w="900" w:type="dxa"/>
            <w:vAlign w:val="bottom"/>
            <w:gridSpan w:val="4"/>
          </w:tcPr>
          <w:p>
            <w:pPr>
              <w:jc w:val="right"/>
              <w:ind w:right="20"/>
              <w:spacing w:after="0"/>
              <w:rPr>
                <w:rFonts w:ascii="Arial" w:cs="Arial" w:eastAsia="Arial" w:hAnsi="Arial"/>
                <w:sz w:val="18"/>
                <w:szCs w:val="18"/>
                <w:color w:val="0000EE"/>
              </w:rPr>
            </w:pPr>
            <w:hyperlink w:anchor="page26">
              <w:r>
                <w:rPr>
                  <w:rFonts w:ascii="Arial" w:cs="Arial" w:eastAsia="Arial" w:hAnsi="Arial"/>
                  <w:sz w:val="18"/>
                  <w:szCs w:val="18"/>
                  <w:color w:val="0000EE"/>
                </w:rPr>
                <w:t>25</w:t>
              </w:r>
            </w:hyperlink>
          </w:p>
        </w:tc>
      </w:tr>
      <w:tr>
        <w:trPr>
          <w:trHeight w:val="20"/>
        </w:trPr>
        <w:tc>
          <w:tcPr>
            <w:tcW w:w="10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3700" w:type="dxa"/>
            <w:vAlign w:val="bottom"/>
            <w:gridSpan w:val="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4660" w:type="dxa"/>
            <w:vAlign w:val="bottom"/>
            <w:gridSpan w:val="13"/>
          </w:tcPr>
          <w:p>
            <w:pPr>
              <w:spacing w:after="0"/>
              <w:rPr>
                <w:rFonts w:ascii="Arial" w:cs="Arial" w:eastAsia="Arial" w:hAnsi="Arial"/>
                <w:sz w:val="18"/>
                <w:szCs w:val="18"/>
                <w:b w:val="1"/>
                <w:bCs w:val="1"/>
                <w:color w:val="0000EE"/>
              </w:rPr>
            </w:pPr>
            <w:hyperlink w:anchor="page26">
              <w:r>
                <w:rPr>
                  <w:rFonts w:ascii="Arial" w:cs="Arial" w:eastAsia="Arial" w:hAnsi="Arial"/>
                  <w:sz w:val="18"/>
                  <w:szCs w:val="18"/>
                  <w:b w:val="1"/>
                  <w:bCs w:val="1"/>
                  <w:color w:val="0000EE"/>
                </w:rPr>
                <w:t>Controls and Procedures</w:t>
              </w:r>
            </w:hyperlink>
          </w:p>
        </w:tc>
        <w:tc>
          <w:tcPr>
            <w:tcW w:w="4780" w:type="dxa"/>
            <w:vAlign w:val="bottom"/>
            <w:gridSpan w:val="8"/>
          </w:tcPr>
          <w:p>
            <w:pPr>
              <w:spacing w:after="0"/>
              <w:rPr>
                <w:sz w:val="24"/>
                <w:szCs w:val="24"/>
                <w:color w:val="auto"/>
              </w:rPr>
            </w:pPr>
          </w:p>
        </w:tc>
        <w:tc>
          <w:tcPr>
            <w:tcW w:w="900" w:type="dxa"/>
            <w:vAlign w:val="bottom"/>
            <w:gridSpan w:val="4"/>
          </w:tcPr>
          <w:p>
            <w:pPr>
              <w:jc w:val="right"/>
              <w:ind w:right="20"/>
              <w:spacing w:after="0"/>
              <w:rPr>
                <w:rFonts w:ascii="Arial" w:cs="Arial" w:eastAsia="Arial" w:hAnsi="Arial"/>
                <w:sz w:val="18"/>
                <w:szCs w:val="18"/>
                <w:color w:val="0000EE"/>
              </w:rPr>
            </w:pPr>
            <w:hyperlink w:anchor="page26">
              <w:r>
                <w:rPr>
                  <w:rFonts w:ascii="Arial" w:cs="Arial" w:eastAsia="Arial" w:hAnsi="Arial"/>
                  <w:sz w:val="18"/>
                  <w:szCs w:val="18"/>
                  <w:color w:val="0000EE"/>
                </w:rPr>
                <w:t>26</w:t>
              </w:r>
            </w:hyperlink>
          </w:p>
        </w:tc>
      </w:tr>
      <w:tr>
        <w:trPr>
          <w:trHeight w:val="372"/>
        </w:trPr>
        <w:tc>
          <w:tcPr>
            <w:tcW w:w="104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80" w:type="dxa"/>
            <w:vAlign w:val="bottom"/>
            <w:tcBorders>
              <w:bottom w:val="single" w:sz="8" w:color="0000EE"/>
            </w:tcBorders>
            <w:gridSpan w:val="7"/>
          </w:tcPr>
          <w:p>
            <w:pPr>
              <w:jc w:val="center"/>
              <w:spacing w:after="0"/>
              <w:rPr>
                <w:rFonts w:ascii="Arial" w:cs="Arial" w:eastAsia="Arial" w:hAnsi="Arial"/>
                <w:sz w:val="18"/>
                <w:szCs w:val="18"/>
                <w:b w:val="1"/>
                <w:bCs w:val="1"/>
                <w:color w:val="0000EE"/>
                <w:w w:val="97"/>
              </w:rPr>
            </w:pPr>
            <w:hyperlink w:anchor="page27">
              <w:r>
                <w:rPr>
                  <w:rFonts w:ascii="Arial" w:cs="Arial" w:eastAsia="Arial" w:hAnsi="Arial"/>
                  <w:sz w:val="18"/>
                  <w:szCs w:val="18"/>
                  <w:b w:val="1"/>
                  <w:bCs w:val="1"/>
                  <w:color w:val="0000EE"/>
                  <w:w w:val="97"/>
                </w:rPr>
                <w:t>Part II: Other Information</w:t>
              </w:r>
            </w:hyperlink>
          </w:p>
        </w:tc>
        <w:tc>
          <w:tcPr>
            <w:tcW w:w="3700" w:type="dxa"/>
            <w:vAlign w:val="bottom"/>
            <w:gridSpan w:val="4"/>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372"/>
        </w:trPr>
        <w:tc>
          <w:tcPr>
            <w:tcW w:w="104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1400" w:type="dxa"/>
            <w:vAlign w:val="bottom"/>
            <w:gridSpan w:val="3"/>
          </w:tcPr>
          <w:p>
            <w:pPr>
              <w:spacing w:after="0"/>
              <w:rPr>
                <w:rFonts w:ascii="Arial" w:cs="Arial" w:eastAsia="Arial" w:hAnsi="Arial"/>
                <w:sz w:val="18"/>
                <w:szCs w:val="18"/>
                <w:b w:val="1"/>
                <w:bCs w:val="1"/>
                <w:color w:val="0000EE"/>
                <w:w w:val="86"/>
              </w:rPr>
            </w:pPr>
            <w:hyperlink w:anchor="page28">
              <w:r>
                <w:rPr>
                  <w:rFonts w:ascii="Arial" w:cs="Arial" w:eastAsia="Arial" w:hAnsi="Arial"/>
                  <w:sz w:val="18"/>
                  <w:szCs w:val="18"/>
                  <w:b w:val="1"/>
                  <w:bCs w:val="1"/>
                  <w:color w:val="0000EE"/>
                  <w:w w:val="86"/>
                </w:rPr>
                <w:t>Legal Proceedings</w:t>
              </w:r>
            </w:hyperlink>
          </w:p>
        </w:tc>
        <w:tc>
          <w:tcPr>
            <w:tcW w:w="8040" w:type="dxa"/>
            <w:vAlign w:val="bottom"/>
            <w:gridSpan w:val="18"/>
          </w:tcPr>
          <w:p>
            <w:pPr>
              <w:spacing w:after="0"/>
              <w:rPr>
                <w:sz w:val="24"/>
                <w:szCs w:val="24"/>
                <w:color w:val="auto"/>
              </w:rPr>
            </w:pPr>
          </w:p>
        </w:tc>
        <w:tc>
          <w:tcPr>
            <w:tcW w:w="900" w:type="dxa"/>
            <w:vAlign w:val="bottom"/>
            <w:gridSpan w:val="4"/>
          </w:tcPr>
          <w:p>
            <w:pPr>
              <w:jc w:val="right"/>
              <w:ind w:right="20"/>
              <w:spacing w:after="0"/>
              <w:rPr>
                <w:rFonts w:ascii="Arial" w:cs="Arial" w:eastAsia="Arial" w:hAnsi="Arial"/>
                <w:sz w:val="18"/>
                <w:szCs w:val="18"/>
                <w:color w:val="0000EE"/>
              </w:rPr>
            </w:pPr>
            <w:hyperlink w:anchor="page28">
              <w:r>
                <w:rPr>
                  <w:rFonts w:ascii="Arial" w:cs="Arial" w:eastAsia="Arial" w:hAnsi="Arial"/>
                  <w:sz w:val="18"/>
                  <w:szCs w:val="18"/>
                  <w:color w:val="0000EE"/>
                </w:rPr>
                <w:t>27</w:t>
              </w:r>
            </w:hyperlink>
          </w:p>
        </w:tc>
      </w:tr>
      <w:tr>
        <w:trPr>
          <w:trHeight w:val="20"/>
        </w:trPr>
        <w:tc>
          <w:tcPr>
            <w:tcW w:w="10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360" w:type="dxa"/>
            <w:vAlign w:val="bottom"/>
            <w:gridSpan w:val="4"/>
          </w:tcPr>
          <w:p>
            <w:pPr>
              <w:spacing w:after="0" w:line="20" w:lineRule="exact"/>
              <w:rPr>
                <w:sz w:val="1"/>
                <w:szCs w:val="1"/>
                <w:color w:val="auto"/>
              </w:rPr>
            </w:pPr>
          </w:p>
        </w:tc>
        <w:tc>
          <w:tcPr>
            <w:tcW w:w="4880" w:type="dxa"/>
            <w:vAlign w:val="bottom"/>
            <w:gridSpan w:val="9"/>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tcPr>
          <w:p>
            <w:pPr>
              <w:spacing w:after="0"/>
              <w:rPr>
                <w:sz w:val="20"/>
                <w:szCs w:val="20"/>
                <w:color w:val="auto"/>
              </w:rPr>
            </w:pPr>
            <w:r>
              <w:rPr>
                <w:rFonts w:ascii="Arial" w:cs="Arial" w:eastAsia="Arial" w:hAnsi="Arial"/>
                <w:sz w:val="18"/>
                <w:szCs w:val="18"/>
                <w:b w:val="1"/>
                <w:bCs w:val="1"/>
                <w:color w:val="auto"/>
              </w:rPr>
              <w:t>Item 1A.</w:t>
            </w:r>
          </w:p>
        </w:tc>
        <w:tc>
          <w:tcPr>
            <w:tcW w:w="1400" w:type="dxa"/>
            <w:vAlign w:val="bottom"/>
            <w:gridSpan w:val="3"/>
          </w:tcPr>
          <w:p>
            <w:pPr>
              <w:spacing w:after="0"/>
              <w:rPr>
                <w:rFonts w:ascii="Arial" w:cs="Arial" w:eastAsia="Arial" w:hAnsi="Arial"/>
                <w:sz w:val="18"/>
                <w:szCs w:val="18"/>
                <w:b w:val="1"/>
                <w:bCs w:val="1"/>
                <w:color w:val="0000EE"/>
              </w:rPr>
            </w:pPr>
            <w:hyperlink w:anchor="page29">
              <w:r>
                <w:rPr>
                  <w:rFonts w:ascii="Arial" w:cs="Arial" w:eastAsia="Arial" w:hAnsi="Arial"/>
                  <w:sz w:val="18"/>
                  <w:szCs w:val="18"/>
                  <w:b w:val="1"/>
                  <w:bCs w:val="1"/>
                  <w:color w:val="0000EE"/>
                </w:rPr>
                <w:t>Risk Factors</w:t>
              </w:r>
            </w:hyperlink>
          </w:p>
        </w:tc>
        <w:tc>
          <w:tcPr>
            <w:tcW w:w="8040" w:type="dxa"/>
            <w:vAlign w:val="bottom"/>
            <w:gridSpan w:val="18"/>
          </w:tcPr>
          <w:p>
            <w:pPr>
              <w:spacing w:after="0"/>
              <w:rPr>
                <w:sz w:val="24"/>
                <w:szCs w:val="24"/>
                <w:color w:val="auto"/>
              </w:rPr>
            </w:pPr>
          </w:p>
        </w:tc>
        <w:tc>
          <w:tcPr>
            <w:tcW w:w="900" w:type="dxa"/>
            <w:vAlign w:val="bottom"/>
            <w:gridSpan w:val="4"/>
          </w:tcPr>
          <w:p>
            <w:pPr>
              <w:jc w:val="right"/>
              <w:ind w:right="20"/>
              <w:spacing w:after="0"/>
              <w:rPr>
                <w:rFonts w:ascii="Arial" w:cs="Arial" w:eastAsia="Arial" w:hAnsi="Arial"/>
                <w:sz w:val="18"/>
                <w:szCs w:val="18"/>
                <w:color w:val="0000EE"/>
              </w:rPr>
            </w:pPr>
            <w:hyperlink w:anchor="page29">
              <w:r>
                <w:rPr>
                  <w:rFonts w:ascii="Arial" w:cs="Arial" w:eastAsia="Arial" w:hAnsi="Arial"/>
                  <w:sz w:val="18"/>
                  <w:szCs w:val="18"/>
                  <w:color w:val="0000EE"/>
                </w:rPr>
                <w:t>28</w:t>
              </w:r>
            </w:hyperlink>
          </w:p>
        </w:tc>
      </w:tr>
      <w:tr>
        <w:trPr>
          <w:trHeight w:val="20"/>
        </w:trPr>
        <w:tc>
          <w:tcPr>
            <w:tcW w:w="10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360" w:type="dxa"/>
            <w:vAlign w:val="bottom"/>
            <w:gridSpan w:val="4"/>
          </w:tcPr>
          <w:p>
            <w:pPr>
              <w:spacing w:after="0" w:line="20" w:lineRule="exact"/>
              <w:rPr>
                <w:sz w:val="1"/>
                <w:szCs w:val="1"/>
                <w:color w:val="auto"/>
              </w:rPr>
            </w:pPr>
          </w:p>
        </w:tc>
        <w:tc>
          <w:tcPr>
            <w:tcW w:w="4880" w:type="dxa"/>
            <w:vAlign w:val="bottom"/>
            <w:gridSpan w:val="9"/>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9440" w:type="dxa"/>
            <w:vAlign w:val="bottom"/>
            <w:gridSpan w:val="21"/>
          </w:tcPr>
          <w:p>
            <w:pPr>
              <w:spacing w:after="0"/>
              <w:rPr>
                <w:rFonts w:ascii="Arial" w:cs="Arial" w:eastAsia="Arial" w:hAnsi="Arial"/>
                <w:sz w:val="18"/>
                <w:szCs w:val="18"/>
                <w:b w:val="1"/>
                <w:bCs w:val="1"/>
                <w:color w:val="0000EE"/>
              </w:rPr>
            </w:pPr>
            <w:hyperlink w:anchor="page29">
              <w:r>
                <w:rPr>
                  <w:rFonts w:ascii="Arial" w:cs="Arial" w:eastAsia="Arial" w:hAnsi="Arial"/>
                  <w:sz w:val="18"/>
                  <w:szCs w:val="18"/>
                  <w:b w:val="1"/>
                  <w:bCs w:val="1"/>
                  <w:color w:val="0000EE"/>
                </w:rPr>
                <w:t>Unregistered Sales of Equity Securities and Use of Proceeds</w:t>
              </w:r>
            </w:hyperlink>
          </w:p>
        </w:tc>
        <w:tc>
          <w:tcPr>
            <w:tcW w:w="900" w:type="dxa"/>
            <w:vAlign w:val="bottom"/>
            <w:gridSpan w:val="4"/>
          </w:tcPr>
          <w:p>
            <w:pPr>
              <w:jc w:val="right"/>
              <w:ind w:right="20"/>
              <w:spacing w:after="0"/>
              <w:rPr>
                <w:rFonts w:ascii="Arial" w:cs="Arial" w:eastAsia="Arial" w:hAnsi="Arial"/>
                <w:sz w:val="18"/>
                <w:szCs w:val="18"/>
                <w:color w:val="0000EE"/>
              </w:rPr>
            </w:pPr>
            <w:hyperlink w:anchor="page29">
              <w:r>
                <w:rPr>
                  <w:rFonts w:ascii="Arial" w:cs="Arial" w:eastAsia="Arial" w:hAnsi="Arial"/>
                  <w:sz w:val="18"/>
                  <w:szCs w:val="18"/>
                  <w:color w:val="0000EE"/>
                </w:rPr>
                <w:t>28</w:t>
              </w:r>
            </w:hyperlink>
          </w:p>
        </w:tc>
      </w:tr>
      <w:tr>
        <w:trPr>
          <w:trHeight w:val="20"/>
        </w:trPr>
        <w:tc>
          <w:tcPr>
            <w:tcW w:w="10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360" w:type="dxa"/>
            <w:vAlign w:val="bottom"/>
            <w:gridSpan w:val="4"/>
            <w:shd w:val="clear" w:color="auto" w:fill="0000EE"/>
          </w:tcPr>
          <w:p>
            <w:pPr>
              <w:spacing w:after="0" w:line="20" w:lineRule="exact"/>
              <w:rPr>
                <w:sz w:val="1"/>
                <w:szCs w:val="1"/>
                <w:color w:val="auto"/>
              </w:rPr>
            </w:pPr>
          </w:p>
        </w:tc>
        <w:tc>
          <w:tcPr>
            <w:tcW w:w="4880" w:type="dxa"/>
            <w:vAlign w:val="bottom"/>
            <w:gridSpan w:val="9"/>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4560" w:type="dxa"/>
            <w:vAlign w:val="bottom"/>
            <w:gridSpan w:val="12"/>
          </w:tcPr>
          <w:p>
            <w:pPr>
              <w:spacing w:after="0"/>
              <w:rPr>
                <w:rFonts w:ascii="Arial" w:cs="Arial" w:eastAsia="Arial" w:hAnsi="Arial"/>
                <w:sz w:val="18"/>
                <w:szCs w:val="18"/>
                <w:b w:val="1"/>
                <w:bCs w:val="1"/>
                <w:color w:val="0000EE"/>
              </w:rPr>
            </w:pPr>
            <w:hyperlink w:anchor="page30">
              <w:r>
                <w:rPr>
                  <w:rFonts w:ascii="Arial" w:cs="Arial" w:eastAsia="Arial" w:hAnsi="Arial"/>
                  <w:sz w:val="18"/>
                  <w:szCs w:val="18"/>
                  <w:b w:val="1"/>
                  <w:bCs w:val="1"/>
                  <w:color w:val="0000EE"/>
                </w:rPr>
                <w:t>Defaults on Senior Securities</w:t>
              </w:r>
            </w:hyperlink>
          </w:p>
        </w:tc>
        <w:tc>
          <w:tcPr>
            <w:tcW w:w="4880" w:type="dxa"/>
            <w:vAlign w:val="bottom"/>
            <w:gridSpan w:val="9"/>
          </w:tcPr>
          <w:p>
            <w:pPr>
              <w:spacing w:after="0"/>
              <w:rPr>
                <w:sz w:val="24"/>
                <w:szCs w:val="24"/>
                <w:color w:val="auto"/>
              </w:rPr>
            </w:pPr>
          </w:p>
        </w:tc>
        <w:tc>
          <w:tcPr>
            <w:tcW w:w="900" w:type="dxa"/>
            <w:vAlign w:val="bottom"/>
            <w:gridSpan w:val="4"/>
          </w:tcPr>
          <w:p>
            <w:pPr>
              <w:jc w:val="right"/>
              <w:ind w:right="20"/>
              <w:spacing w:after="0"/>
              <w:rPr>
                <w:rFonts w:ascii="Arial" w:cs="Arial" w:eastAsia="Arial" w:hAnsi="Arial"/>
                <w:sz w:val="18"/>
                <w:szCs w:val="18"/>
                <w:color w:val="0000EE"/>
              </w:rPr>
            </w:pPr>
            <w:hyperlink w:anchor="page30">
              <w:r>
                <w:rPr>
                  <w:rFonts w:ascii="Arial" w:cs="Arial" w:eastAsia="Arial" w:hAnsi="Arial"/>
                  <w:sz w:val="18"/>
                  <w:szCs w:val="18"/>
                  <w:color w:val="0000EE"/>
                </w:rPr>
                <w:t>29</w:t>
              </w:r>
            </w:hyperlink>
          </w:p>
        </w:tc>
      </w:tr>
      <w:tr>
        <w:trPr>
          <w:trHeight w:val="20"/>
        </w:trPr>
        <w:tc>
          <w:tcPr>
            <w:tcW w:w="10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7240" w:type="dxa"/>
            <w:vAlign w:val="bottom"/>
            <w:gridSpan w:val="1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1840" w:type="dxa"/>
            <w:vAlign w:val="bottom"/>
            <w:gridSpan w:val="6"/>
          </w:tcPr>
          <w:p>
            <w:pPr>
              <w:spacing w:after="0"/>
              <w:rPr>
                <w:rFonts w:ascii="Arial" w:cs="Arial" w:eastAsia="Arial" w:hAnsi="Arial"/>
                <w:sz w:val="18"/>
                <w:szCs w:val="18"/>
                <w:b w:val="1"/>
                <w:bCs w:val="1"/>
                <w:color w:val="0000EE"/>
                <w:w w:val="87"/>
              </w:rPr>
            </w:pPr>
            <w:hyperlink w:anchor="page30">
              <w:r>
                <w:rPr>
                  <w:rFonts w:ascii="Arial" w:cs="Arial" w:eastAsia="Arial" w:hAnsi="Arial"/>
                  <w:sz w:val="18"/>
                  <w:szCs w:val="18"/>
                  <w:b w:val="1"/>
                  <w:bCs w:val="1"/>
                  <w:color w:val="0000EE"/>
                  <w:w w:val="87"/>
                </w:rPr>
                <w:t>Mine Safety Disclosures</w:t>
              </w:r>
            </w:hyperlink>
          </w:p>
        </w:tc>
        <w:tc>
          <w:tcPr>
            <w:tcW w:w="360" w:type="dxa"/>
            <w:vAlign w:val="bottom"/>
            <w:gridSpan w:val="2"/>
          </w:tcPr>
          <w:p>
            <w:pPr>
              <w:spacing w:after="0"/>
              <w:rPr>
                <w:sz w:val="24"/>
                <w:szCs w:val="24"/>
                <w:color w:val="auto"/>
              </w:rPr>
            </w:pPr>
          </w:p>
        </w:tc>
        <w:tc>
          <w:tcPr>
            <w:tcW w:w="7240" w:type="dxa"/>
            <w:vAlign w:val="bottom"/>
            <w:gridSpan w:val="13"/>
          </w:tcPr>
          <w:p>
            <w:pPr>
              <w:spacing w:after="0"/>
              <w:rPr>
                <w:sz w:val="24"/>
                <w:szCs w:val="24"/>
                <w:color w:val="auto"/>
              </w:rPr>
            </w:pPr>
          </w:p>
        </w:tc>
        <w:tc>
          <w:tcPr>
            <w:tcW w:w="900" w:type="dxa"/>
            <w:vAlign w:val="bottom"/>
            <w:gridSpan w:val="4"/>
          </w:tcPr>
          <w:p>
            <w:pPr>
              <w:jc w:val="right"/>
              <w:ind w:right="20"/>
              <w:spacing w:after="0"/>
              <w:rPr>
                <w:rFonts w:ascii="Arial" w:cs="Arial" w:eastAsia="Arial" w:hAnsi="Arial"/>
                <w:sz w:val="18"/>
                <w:szCs w:val="18"/>
                <w:color w:val="0000EE"/>
              </w:rPr>
            </w:pPr>
            <w:hyperlink w:anchor="page30">
              <w:r>
                <w:rPr>
                  <w:rFonts w:ascii="Arial" w:cs="Arial" w:eastAsia="Arial" w:hAnsi="Arial"/>
                  <w:sz w:val="18"/>
                  <w:szCs w:val="18"/>
                  <w:color w:val="0000EE"/>
                </w:rPr>
                <w:t>29</w:t>
              </w:r>
            </w:hyperlink>
          </w:p>
        </w:tc>
      </w:tr>
      <w:tr>
        <w:trPr>
          <w:trHeight w:val="20"/>
        </w:trPr>
        <w:tc>
          <w:tcPr>
            <w:tcW w:w="10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7600" w:type="dxa"/>
            <w:vAlign w:val="bottom"/>
            <w:gridSpan w:val="15"/>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1440" w:type="dxa"/>
            <w:vAlign w:val="bottom"/>
            <w:gridSpan w:val="4"/>
          </w:tcPr>
          <w:p>
            <w:pPr>
              <w:spacing w:after="0"/>
              <w:rPr>
                <w:rFonts w:ascii="Arial" w:cs="Arial" w:eastAsia="Arial" w:hAnsi="Arial"/>
                <w:sz w:val="18"/>
                <w:szCs w:val="18"/>
                <w:b w:val="1"/>
                <w:bCs w:val="1"/>
                <w:color w:val="0000EE"/>
                <w:w w:val="93"/>
              </w:rPr>
            </w:pPr>
            <w:hyperlink w:anchor="page30">
              <w:r>
                <w:rPr>
                  <w:rFonts w:ascii="Arial" w:cs="Arial" w:eastAsia="Arial" w:hAnsi="Arial"/>
                  <w:sz w:val="18"/>
                  <w:szCs w:val="18"/>
                  <w:b w:val="1"/>
                  <w:bCs w:val="1"/>
                  <w:color w:val="0000EE"/>
                  <w:w w:val="93"/>
                </w:rPr>
                <w:t>Other Information</w:t>
              </w:r>
            </w:hyperlink>
          </w:p>
        </w:tc>
        <w:tc>
          <w:tcPr>
            <w:tcW w:w="400" w:type="dxa"/>
            <w:vAlign w:val="bottom"/>
            <w:gridSpan w:val="2"/>
          </w:tcPr>
          <w:p>
            <w:pPr>
              <w:spacing w:after="0"/>
              <w:rPr>
                <w:sz w:val="24"/>
                <w:szCs w:val="24"/>
                <w:color w:val="auto"/>
              </w:rPr>
            </w:pPr>
          </w:p>
        </w:tc>
        <w:tc>
          <w:tcPr>
            <w:tcW w:w="7600" w:type="dxa"/>
            <w:vAlign w:val="bottom"/>
            <w:gridSpan w:val="15"/>
          </w:tcPr>
          <w:p>
            <w:pPr>
              <w:spacing w:after="0"/>
              <w:rPr>
                <w:sz w:val="24"/>
                <w:szCs w:val="24"/>
                <w:color w:val="auto"/>
              </w:rPr>
            </w:pPr>
          </w:p>
        </w:tc>
        <w:tc>
          <w:tcPr>
            <w:tcW w:w="900" w:type="dxa"/>
            <w:vAlign w:val="bottom"/>
            <w:gridSpan w:val="4"/>
          </w:tcPr>
          <w:p>
            <w:pPr>
              <w:jc w:val="right"/>
              <w:ind w:right="20"/>
              <w:spacing w:after="0"/>
              <w:rPr>
                <w:rFonts w:ascii="Arial" w:cs="Arial" w:eastAsia="Arial" w:hAnsi="Arial"/>
                <w:sz w:val="18"/>
                <w:szCs w:val="18"/>
                <w:color w:val="0000EE"/>
              </w:rPr>
            </w:pPr>
            <w:hyperlink w:anchor="page30">
              <w:r>
                <w:rPr>
                  <w:rFonts w:ascii="Arial" w:cs="Arial" w:eastAsia="Arial" w:hAnsi="Arial"/>
                  <w:sz w:val="18"/>
                  <w:szCs w:val="18"/>
                  <w:color w:val="0000EE"/>
                </w:rPr>
                <w:t>29</w:t>
              </w:r>
            </w:hyperlink>
          </w:p>
        </w:tc>
      </w:tr>
      <w:tr>
        <w:trPr>
          <w:trHeight w:val="20"/>
        </w:trPr>
        <w:tc>
          <w:tcPr>
            <w:tcW w:w="10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8000" w:type="dxa"/>
            <w:vAlign w:val="bottom"/>
            <w:gridSpan w:val="17"/>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640" w:type="dxa"/>
            <w:vAlign w:val="bottom"/>
          </w:tcPr>
          <w:p>
            <w:pPr>
              <w:spacing w:after="0"/>
              <w:rPr>
                <w:rFonts w:ascii="Arial" w:cs="Arial" w:eastAsia="Arial" w:hAnsi="Arial"/>
                <w:sz w:val="18"/>
                <w:szCs w:val="18"/>
                <w:b w:val="1"/>
                <w:bCs w:val="1"/>
                <w:color w:val="0000EE"/>
                <w:w w:val="88"/>
              </w:rPr>
            </w:pPr>
            <w:hyperlink w:anchor="page30">
              <w:r>
                <w:rPr>
                  <w:rFonts w:ascii="Arial" w:cs="Arial" w:eastAsia="Arial" w:hAnsi="Arial"/>
                  <w:sz w:val="18"/>
                  <w:szCs w:val="18"/>
                  <w:b w:val="1"/>
                  <w:bCs w:val="1"/>
                  <w:color w:val="0000EE"/>
                  <w:w w:val="88"/>
                </w:rPr>
                <w:t>Exhibits</w:t>
              </w:r>
            </w:hyperlink>
          </w:p>
        </w:tc>
        <w:tc>
          <w:tcPr>
            <w:tcW w:w="800" w:type="dxa"/>
            <w:vAlign w:val="bottom"/>
            <w:gridSpan w:val="3"/>
          </w:tcPr>
          <w:p>
            <w:pPr>
              <w:spacing w:after="0"/>
              <w:rPr>
                <w:sz w:val="24"/>
                <w:szCs w:val="24"/>
                <w:color w:val="auto"/>
              </w:rPr>
            </w:pPr>
          </w:p>
        </w:tc>
        <w:tc>
          <w:tcPr>
            <w:tcW w:w="8000" w:type="dxa"/>
            <w:vAlign w:val="bottom"/>
            <w:gridSpan w:val="17"/>
          </w:tcPr>
          <w:p>
            <w:pPr>
              <w:spacing w:after="0"/>
              <w:rPr>
                <w:sz w:val="24"/>
                <w:szCs w:val="24"/>
                <w:color w:val="auto"/>
              </w:rPr>
            </w:pPr>
          </w:p>
        </w:tc>
        <w:tc>
          <w:tcPr>
            <w:tcW w:w="900" w:type="dxa"/>
            <w:vAlign w:val="bottom"/>
            <w:gridSpan w:val="4"/>
          </w:tcPr>
          <w:p>
            <w:pPr>
              <w:jc w:val="right"/>
              <w:ind w:right="20"/>
              <w:spacing w:after="0"/>
              <w:rPr>
                <w:rFonts w:ascii="Arial" w:cs="Arial" w:eastAsia="Arial" w:hAnsi="Arial"/>
                <w:sz w:val="18"/>
                <w:szCs w:val="18"/>
                <w:color w:val="0000EE"/>
              </w:rPr>
            </w:pPr>
            <w:hyperlink w:anchor="page30">
              <w:r>
                <w:rPr>
                  <w:rFonts w:ascii="Arial" w:cs="Arial" w:eastAsia="Arial" w:hAnsi="Arial"/>
                  <w:sz w:val="18"/>
                  <w:szCs w:val="18"/>
                  <w:color w:val="0000EE"/>
                </w:rPr>
                <w:t>29</w:t>
              </w:r>
            </w:hyperlink>
          </w:p>
        </w:tc>
      </w:tr>
      <w:tr>
        <w:trPr>
          <w:trHeight w:val="507"/>
        </w:trPr>
        <w:tc>
          <w:tcPr>
            <w:tcW w:w="104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4140" w:type="dxa"/>
            <w:vAlign w:val="bottom"/>
            <w:gridSpan w:val="13"/>
          </w:tcPr>
          <w:p>
            <w:pPr>
              <w:jc w:val="right"/>
              <w:ind w:right="10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3" w:name="page4"/>
    <w:bookmarkEnd w:id="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1.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AngioDynamics,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STATEMENTS OF INCOME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per share data)</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3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831"/>
              <w:spacing w:after="0"/>
              <w:rPr>
                <w:sz w:val="20"/>
                <w:szCs w:val="20"/>
                <w:color w:val="auto"/>
              </w:rPr>
            </w:pPr>
            <w:r>
              <w:rPr>
                <w:rFonts w:ascii="Arial" w:cs="Arial" w:eastAsia="Arial" w:hAnsi="Arial"/>
                <w:sz w:val="14"/>
                <w:szCs w:val="14"/>
                <w:color w:val="auto"/>
              </w:rPr>
              <w:t>Three Months Ended</w:t>
            </w:r>
          </w:p>
        </w:tc>
        <w:tc>
          <w:tcPr>
            <w:tcW w:w="0" w:type="dxa"/>
            <w:vAlign w:val="bottom"/>
          </w:tcPr>
          <w:p>
            <w:pPr>
              <w:spacing w:after="0"/>
              <w:rPr>
                <w:sz w:val="1"/>
                <w:szCs w:val="1"/>
                <w:color w:val="auto"/>
              </w:rPr>
            </w:pPr>
          </w:p>
        </w:tc>
      </w:tr>
      <w:tr>
        <w:trPr>
          <w:trHeight w:val="264"/>
        </w:trPr>
        <w:tc>
          <w:tcPr>
            <w:tcW w:w="8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gridSpan w:val="2"/>
          </w:tcPr>
          <w:p>
            <w:pPr>
              <w:ind w:left="120"/>
              <w:spacing w:after="0"/>
              <w:rPr>
                <w:sz w:val="20"/>
                <w:szCs w:val="20"/>
                <w:color w:val="auto"/>
              </w:rPr>
            </w:pPr>
            <w:r>
              <w:rPr>
                <w:rFonts w:ascii="Arial" w:cs="Arial" w:eastAsia="Arial" w:hAnsi="Arial"/>
                <w:sz w:val="14"/>
                <w:szCs w:val="14"/>
                <w:color w:val="auto"/>
              </w:rPr>
              <w:t>Aug 31, 2015</w:t>
            </w:r>
          </w:p>
        </w:tc>
        <w:tc>
          <w:tcPr>
            <w:tcW w:w="240" w:type="dxa"/>
            <w:vAlign w:val="bottom"/>
          </w:tcPr>
          <w:p>
            <w:pPr>
              <w:spacing w:after="0"/>
              <w:rPr>
                <w:sz w:val="22"/>
                <w:szCs w:val="22"/>
                <w:color w:val="auto"/>
              </w:rPr>
            </w:pPr>
          </w:p>
        </w:tc>
        <w:tc>
          <w:tcPr>
            <w:tcW w:w="1240" w:type="dxa"/>
            <w:vAlign w:val="bottom"/>
          </w:tcPr>
          <w:p>
            <w:pPr>
              <w:jc w:val="right"/>
              <w:ind w:right="251"/>
              <w:spacing w:after="0"/>
              <w:rPr>
                <w:sz w:val="20"/>
                <w:szCs w:val="20"/>
                <w:color w:val="auto"/>
              </w:rPr>
            </w:pPr>
            <w:r>
              <w:rPr>
                <w:rFonts w:ascii="Arial" w:cs="Arial" w:eastAsia="Arial" w:hAnsi="Arial"/>
                <w:sz w:val="14"/>
                <w:szCs w:val="14"/>
                <w:color w:val="auto"/>
              </w:rPr>
              <w:t>Aug 31, 2014</w:t>
            </w:r>
          </w:p>
        </w:tc>
        <w:tc>
          <w:tcPr>
            <w:tcW w:w="0" w:type="dxa"/>
            <w:vAlign w:val="bottom"/>
          </w:tcPr>
          <w:p>
            <w:pPr>
              <w:spacing w:after="0"/>
              <w:rPr>
                <w:sz w:val="1"/>
                <w:szCs w:val="1"/>
                <w:color w:val="auto"/>
              </w:rPr>
            </w:pPr>
          </w:p>
        </w:tc>
      </w:tr>
      <w:tr>
        <w:trPr>
          <w:trHeight w:val="250"/>
        </w:trPr>
        <w:tc>
          <w:tcPr>
            <w:tcW w:w="8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83,703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87,331</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24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40,529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41,506</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Gross profit</w:t>
            </w:r>
          </w:p>
        </w:tc>
        <w:tc>
          <w:tcPr>
            <w:tcW w:w="2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43,174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45,825</w:t>
            </w:r>
          </w:p>
        </w:tc>
        <w:tc>
          <w:tcPr>
            <w:tcW w:w="0" w:type="dxa"/>
            <w:vAlign w:val="bottom"/>
          </w:tcPr>
          <w:p>
            <w:pPr>
              <w:spacing w:after="0"/>
              <w:rPr>
                <w:sz w:val="1"/>
                <w:szCs w:val="1"/>
                <w:color w:val="auto"/>
              </w:rPr>
            </w:pPr>
          </w:p>
        </w:tc>
      </w:tr>
      <w:tr>
        <w:trPr>
          <w:trHeight w:val="223"/>
        </w:trPr>
        <w:tc>
          <w:tcPr>
            <w:tcW w:w="834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4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83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Research and development</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6,202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6,718</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Sales and marketing</w:t>
            </w:r>
          </w:p>
        </w:tc>
        <w:tc>
          <w:tcPr>
            <w:tcW w:w="24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20,559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20,067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7,427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7,323</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Amortization of intangibles</w:t>
            </w:r>
          </w:p>
        </w:tc>
        <w:tc>
          <w:tcPr>
            <w:tcW w:w="24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4,415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4,015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 in fair value of contingent consideration</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801</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Acquisition, restructuring and other items, net</w:t>
            </w:r>
          </w:p>
        </w:tc>
        <w:tc>
          <w:tcPr>
            <w:tcW w:w="24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2,143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2,664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Medical device excise tax</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995</w:t>
            </w:r>
          </w:p>
        </w:tc>
        <w:tc>
          <w:tcPr>
            <w:tcW w:w="0" w:type="dxa"/>
            <w:vAlign w:val="bottom"/>
          </w:tcPr>
          <w:p>
            <w:pPr>
              <w:spacing w:after="0"/>
              <w:rPr>
                <w:sz w:val="1"/>
                <w:szCs w:val="1"/>
                <w:color w:val="auto"/>
              </w:rPr>
            </w:pP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42,104</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42,583</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Operating income (loss)</w:t>
            </w:r>
          </w:p>
        </w:tc>
        <w:tc>
          <w:tcPr>
            <w:tcW w:w="2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3,242</w:t>
            </w:r>
          </w:p>
        </w:tc>
        <w:tc>
          <w:tcPr>
            <w:tcW w:w="0" w:type="dxa"/>
            <w:vAlign w:val="bottom"/>
          </w:tcPr>
          <w:p>
            <w:pPr>
              <w:spacing w:after="0"/>
              <w:rPr>
                <w:sz w:val="1"/>
                <w:szCs w:val="1"/>
                <w:color w:val="auto"/>
              </w:rPr>
            </w:pPr>
          </w:p>
        </w:tc>
      </w:tr>
      <w:tr>
        <w:trPr>
          <w:trHeight w:val="223"/>
        </w:trPr>
        <w:tc>
          <w:tcPr>
            <w:tcW w:w="8340" w:type="dxa"/>
            <w:vAlign w:val="bottom"/>
          </w:tcPr>
          <w:p>
            <w:pPr>
              <w:ind w:left="40"/>
              <w:spacing w:after="0"/>
              <w:rPr>
                <w:sz w:val="20"/>
                <w:szCs w:val="20"/>
                <w:color w:val="auto"/>
              </w:rPr>
            </w:pPr>
            <w:r>
              <w:rPr>
                <w:rFonts w:ascii="Arial" w:cs="Arial" w:eastAsia="Arial" w:hAnsi="Arial"/>
                <w:sz w:val="18"/>
                <w:szCs w:val="18"/>
                <w:color w:val="auto"/>
              </w:rPr>
              <w:t>Other (expenses) income</w:t>
            </w:r>
          </w:p>
        </w:tc>
        <w:tc>
          <w:tcPr>
            <w:tcW w:w="24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83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(799)</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Interest income</w:t>
            </w:r>
          </w:p>
        </w:tc>
        <w:tc>
          <w:tcPr>
            <w:tcW w:w="24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expense</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(1,025)</w:t>
            </w:r>
          </w:p>
        </w:tc>
        <w:tc>
          <w:tcPr>
            <w:tcW w:w="0" w:type="dxa"/>
            <w:vAlign w:val="bottom"/>
          </w:tcPr>
          <w:p>
            <w:pPr>
              <w:spacing w:after="0"/>
              <w:rPr>
                <w:sz w:val="1"/>
                <w:szCs w:val="1"/>
                <w:color w:val="auto"/>
              </w:rPr>
            </w:pP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color w:val="auto"/>
              </w:rPr>
              <w:t>Total other expenses, net</w:t>
            </w:r>
          </w:p>
        </w:tc>
        <w:tc>
          <w:tcPr>
            <w:tcW w:w="2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(1,744)</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(1,824)</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Income (loss) before income tax expense (benefit)</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1,418</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Income tax expense (benefit)</w:t>
            </w:r>
          </w:p>
        </w:tc>
        <w:tc>
          <w:tcPr>
            <w:tcW w:w="24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948</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income (loss)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470</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Income (loss) per share</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4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3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Diluted</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340" w:type="dxa"/>
            <w:vAlign w:val="bottom"/>
            <w:vMerge w:val="continue"/>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67"/>
        </w:trPr>
        <w:tc>
          <w:tcPr>
            <w:tcW w:w="834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83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Basic weighted average shares outstanding</w:t>
            </w: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35,960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35,367</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Diluted weighted average shares outstanding</w:t>
            </w:r>
          </w:p>
        </w:tc>
        <w:tc>
          <w:tcPr>
            <w:tcW w:w="24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35,960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35,885</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condensed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2" w:right="239" w:bottom="1440" w:gutter="0" w:footer="0" w:header="0"/>
        </w:sectPr>
      </w:pPr>
    </w:p>
    <w:bookmarkStart w:id="4" w:name="page5"/>
    <w:bookmarkEnd w:id="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AngioDynamics,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STATEMENTS OF COMPREHENSIVE INCOME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3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832"/>
              <w:spacing w:after="0"/>
              <w:rPr>
                <w:sz w:val="20"/>
                <w:szCs w:val="20"/>
                <w:color w:val="auto"/>
              </w:rPr>
            </w:pPr>
            <w:r>
              <w:rPr>
                <w:rFonts w:ascii="Arial" w:cs="Arial" w:eastAsia="Arial" w:hAnsi="Arial"/>
                <w:sz w:val="14"/>
                <w:szCs w:val="14"/>
                <w:color w:val="auto"/>
              </w:rPr>
              <w:t>Three Months Ended</w:t>
            </w:r>
          </w:p>
        </w:tc>
      </w:tr>
      <w:tr>
        <w:trPr>
          <w:trHeight w:val="264"/>
        </w:trPr>
        <w:tc>
          <w:tcPr>
            <w:tcW w:w="8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gridSpan w:val="2"/>
          </w:tcPr>
          <w:p>
            <w:pPr>
              <w:ind w:left="120"/>
              <w:spacing w:after="0"/>
              <w:rPr>
                <w:sz w:val="20"/>
                <w:szCs w:val="20"/>
                <w:color w:val="auto"/>
              </w:rPr>
            </w:pPr>
            <w:r>
              <w:rPr>
                <w:rFonts w:ascii="Arial" w:cs="Arial" w:eastAsia="Arial" w:hAnsi="Arial"/>
                <w:sz w:val="14"/>
                <w:szCs w:val="14"/>
                <w:color w:val="auto"/>
              </w:rPr>
              <w:t>Aug 31, 2015</w:t>
            </w:r>
          </w:p>
        </w:tc>
        <w:tc>
          <w:tcPr>
            <w:tcW w:w="240" w:type="dxa"/>
            <w:vAlign w:val="bottom"/>
          </w:tcPr>
          <w:p>
            <w:pPr>
              <w:spacing w:after="0"/>
              <w:rPr>
                <w:sz w:val="22"/>
                <w:szCs w:val="22"/>
                <w:color w:val="auto"/>
              </w:rPr>
            </w:pPr>
          </w:p>
        </w:tc>
        <w:tc>
          <w:tcPr>
            <w:tcW w:w="1240" w:type="dxa"/>
            <w:vAlign w:val="bottom"/>
          </w:tcPr>
          <w:p>
            <w:pPr>
              <w:jc w:val="right"/>
              <w:ind w:right="252"/>
              <w:spacing w:after="0"/>
              <w:rPr>
                <w:sz w:val="20"/>
                <w:szCs w:val="20"/>
                <w:color w:val="auto"/>
              </w:rPr>
            </w:pPr>
            <w:r>
              <w:rPr>
                <w:rFonts w:ascii="Arial" w:cs="Arial" w:eastAsia="Arial" w:hAnsi="Arial"/>
                <w:sz w:val="14"/>
                <w:szCs w:val="14"/>
                <w:color w:val="auto"/>
              </w:rPr>
              <w:t>Aug 31, 2014</w:t>
            </w:r>
          </w:p>
        </w:tc>
      </w:tr>
      <w:tr>
        <w:trPr>
          <w:trHeight w:val="250"/>
        </w:trPr>
        <w:tc>
          <w:tcPr>
            <w:tcW w:w="8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470</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Other comprehensive income (loss), before tax:</w:t>
            </w: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Unrealized gain (loss) on interest rate swap</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181</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Unrealized gain (loss) on marketable securities</w:t>
            </w:r>
          </w:p>
        </w:tc>
        <w:tc>
          <w:tcPr>
            <w:tcW w:w="24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(140)</w:t>
            </w: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Foreign currency translation gain (loss)</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color w:val="auto"/>
              </w:rPr>
              <w:t>Other comprehensive income (loss), before tax</w:t>
            </w:r>
          </w:p>
        </w:tc>
        <w:tc>
          <w:tcPr>
            <w:tcW w:w="2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41</w:t>
            </w: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Income tax (expense) benefit related to items of other comprehensive income</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color w:val="auto"/>
              </w:rPr>
              <w:t>Other comprehensive income (loss), net of tax</w:t>
            </w:r>
          </w:p>
        </w:tc>
        <w:tc>
          <w:tcPr>
            <w:tcW w:w="2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26</w:t>
            </w:r>
          </w:p>
        </w:tc>
      </w:tr>
      <w:tr>
        <w:trPr>
          <w:trHeight w:val="27"/>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comprehensive income (loss), net of tax</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496</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condensed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2" w:right="239" w:bottom="1440" w:gutter="0" w:footer="0" w:header="0"/>
        </w:sectPr>
      </w:pPr>
    </w:p>
    <w:bookmarkStart w:id="5" w:name="page6"/>
    <w:bookmarkEnd w:id="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AngioDynamics,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share data)</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4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ind w:left="40"/>
              <w:spacing w:after="0"/>
              <w:rPr>
                <w:sz w:val="20"/>
                <w:szCs w:val="20"/>
                <w:color w:val="auto"/>
              </w:rPr>
            </w:pPr>
            <w:r>
              <w:rPr>
                <w:rFonts w:ascii="Arial" w:cs="Arial" w:eastAsia="Arial" w:hAnsi="Arial"/>
                <w:sz w:val="16"/>
                <w:szCs w:val="16"/>
                <w:color w:val="auto"/>
              </w:rPr>
              <w:t>Aug 31, 2015</w:t>
            </w:r>
          </w:p>
        </w:tc>
        <w:tc>
          <w:tcPr>
            <w:tcW w:w="180" w:type="dxa"/>
            <w:vAlign w:val="bottom"/>
          </w:tcPr>
          <w:p>
            <w:pPr>
              <w:spacing w:after="0"/>
              <w:rPr>
                <w:sz w:val="17"/>
                <w:szCs w:val="17"/>
                <w:color w:val="auto"/>
              </w:rPr>
            </w:pPr>
          </w:p>
        </w:tc>
        <w:tc>
          <w:tcPr>
            <w:tcW w:w="1180" w:type="dxa"/>
            <w:vAlign w:val="bottom"/>
          </w:tcPr>
          <w:p>
            <w:pPr>
              <w:jc w:val="right"/>
              <w:ind w:right="139"/>
              <w:spacing w:after="0"/>
              <w:rPr>
                <w:sz w:val="20"/>
                <w:szCs w:val="20"/>
                <w:color w:val="auto"/>
              </w:rPr>
            </w:pPr>
            <w:r>
              <w:rPr>
                <w:rFonts w:ascii="Arial" w:cs="Arial" w:eastAsia="Arial" w:hAnsi="Arial"/>
                <w:sz w:val="16"/>
                <w:szCs w:val="16"/>
                <w:color w:val="auto"/>
                <w:w w:val="96"/>
              </w:rPr>
              <w:t>May 31, 2015</w:t>
            </w:r>
          </w:p>
        </w:tc>
      </w:tr>
      <w:tr>
        <w:trPr>
          <w:trHeight w:val="33"/>
        </w:trPr>
        <w:tc>
          <w:tcPr>
            <w:tcW w:w="4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3240" w:type="dxa"/>
            <w:vAlign w:val="bottom"/>
            <w:tcBorders>
              <w:bottom w:val="single" w:sz="8" w:color="CCEEFF"/>
            </w:tcBorders>
          </w:tcPr>
          <w:p>
            <w:pPr>
              <w:spacing w:after="0"/>
              <w:rPr>
                <w:sz w:val="2"/>
                <w:szCs w:val="2"/>
                <w:color w:val="auto"/>
              </w:rPr>
            </w:pPr>
          </w:p>
        </w:tc>
        <w:tc>
          <w:tcPr>
            <w:tcW w:w="47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83"/>
        </w:trPr>
        <w:tc>
          <w:tcPr>
            <w:tcW w:w="8700" w:type="dxa"/>
            <w:vAlign w:val="bottom"/>
            <w:gridSpan w:val="4"/>
            <w:shd w:val="clear" w:color="auto" w:fill="CCEEFF"/>
          </w:tcPr>
          <w:p>
            <w:pPr>
              <w:ind w:left="40"/>
              <w:spacing w:after="0" w:line="182" w:lineRule="exact"/>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61"/>
        </w:trPr>
        <w:tc>
          <w:tcPr>
            <w:tcW w:w="4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auto"/>
            </w:tcBorders>
            <w:shd w:val="clear" w:color="auto" w:fill="CCEEFF"/>
          </w:tcPr>
          <w:p>
            <w:pPr>
              <w:spacing w:after="0"/>
              <w:rPr>
                <w:sz w:val="5"/>
                <w:szCs w:val="5"/>
                <w:color w:val="auto"/>
              </w:rPr>
            </w:pPr>
          </w:p>
        </w:tc>
        <w:tc>
          <w:tcPr>
            <w:tcW w:w="3240" w:type="dxa"/>
            <w:vAlign w:val="bottom"/>
            <w:tcBorders>
              <w:top w:val="single" w:sz="8" w:color="CCEEFF"/>
            </w:tcBorders>
            <w:shd w:val="clear" w:color="auto" w:fill="CCEEFF"/>
          </w:tcPr>
          <w:p>
            <w:pPr>
              <w:spacing w:after="0"/>
              <w:rPr>
                <w:sz w:val="5"/>
                <w:szCs w:val="5"/>
                <w:color w:val="auto"/>
              </w:rPr>
            </w:pPr>
          </w:p>
        </w:tc>
        <w:tc>
          <w:tcPr>
            <w:tcW w:w="47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1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180" w:type="dxa"/>
            <w:vAlign w:val="bottom"/>
            <w:tcBorders>
              <w:top w:val="single" w:sz="8" w:color="CCEEFF"/>
            </w:tcBorders>
            <w:shd w:val="clear" w:color="auto" w:fill="CCEEFF"/>
          </w:tcPr>
          <w:p>
            <w:pPr>
              <w:spacing w:after="0"/>
              <w:rPr>
                <w:sz w:val="5"/>
                <w:szCs w:val="5"/>
                <w:color w:val="auto"/>
              </w:rPr>
            </w:pPr>
          </w:p>
        </w:tc>
      </w:tr>
      <w:tr>
        <w:trPr>
          <w:trHeight w:val="243"/>
        </w:trPr>
        <w:tc>
          <w:tcPr>
            <w:tcW w:w="8700" w:type="dxa"/>
            <w:vAlign w:val="bottom"/>
            <w:gridSpan w:val="4"/>
          </w:tcPr>
          <w:p>
            <w:pPr>
              <w:ind w:left="40"/>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40" w:type="dxa"/>
            <w:vAlign w:val="bottom"/>
          </w:tcPr>
          <w:p>
            <w:pPr>
              <w:spacing w:after="0"/>
              <w:rPr>
                <w:sz w:val="2"/>
                <w:szCs w:val="2"/>
                <w:color w:val="auto"/>
              </w:rPr>
            </w:pPr>
          </w:p>
        </w:tc>
        <w:tc>
          <w:tcPr>
            <w:tcW w:w="4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66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20,268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18,391</w:t>
            </w:r>
          </w:p>
        </w:tc>
      </w:tr>
      <w:tr>
        <w:trPr>
          <w:trHeight w:val="243"/>
        </w:trPr>
        <w:tc>
          <w:tcPr>
            <w:tcW w:w="40" w:type="dxa"/>
            <w:vAlign w:val="bottom"/>
          </w:tcPr>
          <w:p>
            <w:pPr>
              <w:spacing w:after="0"/>
              <w:rPr>
                <w:sz w:val="21"/>
                <w:szCs w:val="21"/>
                <w:color w:val="auto"/>
              </w:rPr>
            </w:pPr>
          </w:p>
        </w:tc>
        <w:tc>
          <w:tcPr>
            <w:tcW w:w="8660" w:type="dxa"/>
            <w:vAlign w:val="bottom"/>
            <w:gridSpan w:val="3"/>
          </w:tcPr>
          <w:p>
            <w:pPr>
              <w:ind w:left="340"/>
              <w:spacing w:after="0"/>
              <w:rPr>
                <w:sz w:val="20"/>
                <w:szCs w:val="20"/>
                <w:color w:val="auto"/>
              </w:rPr>
            </w:pPr>
            <w:r>
              <w:rPr>
                <w:rFonts w:ascii="Arial" w:cs="Arial" w:eastAsia="Arial" w:hAnsi="Arial"/>
                <w:sz w:val="18"/>
                <w:szCs w:val="18"/>
                <w:color w:val="auto"/>
              </w:rPr>
              <w:t>Marketable securities</w:t>
            </w:r>
          </w:p>
        </w:tc>
        <w:tc>
          <w:tcPr>
            <w:tcW w:w="140" w:type="dxa"/>
            <w:vAlign w:val="bottom"/>
          </w:tcPr>
          <w:p>
            <w:pPr>
              <w:spacing w:after="0"/>
              <w:rPr>
                <w:sz w:val="21"/>
                <w:szCs w:val="21"/>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1,692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1,689</w:t>
            </w:r>
          </w:p>
        </w:tc>
      </w:tr>
      <w:tr>
        <w:trPr>
          <w:trHeight w:val="27"/>
        </w:trPr>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40" w:type="dxa"/>
            <w:vAlign w:val="bottom"/>
          </w:tcPr>
          <w:p>
            <w:pPr>
              <w:spacing w:after="0"/>
              <w:rPr>
                <w:sz w:val="2"/>
                <w:szCs w:val="2"/>
                <w:color w:val="auto"/>
              </w:rPr>
            </w:pPr>
          </w:p>
        </w:tc>
        <w:tc>
          <w:tcPr>
            <w:tcW w:w="4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66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Accounts receivable, net of allowances of $2,888 and $3,043 respectively</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52,424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58,428</w:t>
            </w:r>
          </w:p>
        </w:tc>
      </w:tr>
      <w:tr>
        <w:trPr>
          <w:trHeight w:val="243"/>
        </w:trPr>
        <w:tc>
          <w:tcPr>
            <w:tcW w:w="40" w:type="dxa"/>
            <w:vAlign w:val="bottom"/>
          </w:tcPr>
          <w:p>
            <w:pPr>
              <w:spacing w:after="0"/>
              <w:rPr>
                <w:sz w:val="21"/>
                <w:szCs w:val="21"/>
                <w:color w:val="auto"/>
              </w:rPr>
            </w:pPr>
          </w:p>
        </w:tc>
        <w:tc>
          <w:tcPr>
            <w:tcW w:w="8660" w:type="dxa"/>
            <w:vAlign w:val="bottom"/>
            <w:gridSpan w:val="3"/>
          </w:tcPr>
          <w:p>
            <w:pPr>
              <w:ind w:left="340"/>
              <w:spacing w:after="0"/>
              <w:rPr>
                <w:sz w:val="20"/>
                <w:szCs w:val="20"/>
                <w:color w:val="auto"/>
              </w:rPr>
            </w:pPr>
            <w:r>
              <w:rPr>
                <w:rFonts w:ascii="Arial" w:cs="Arial" w:eastAsia="Arial" w:hAnsi="Arial"/>
                <w:sz w:val="18"/>
                <w:szCs w:val="18"/>
                <w:color w:val="auto"/>
              </w:rPr>
              <w:t>Inventories</w:t>
            </w:r>
          </w:p>
        </w:tc>
        <w:tc>
          <w:tcPr>
            <w:tcW w:w="140" w:type="dxa"/>
            <w:vAlign w:val="bottom"/>
          </w:tcPr>
          <w:p>
            <w:pPr>
              <w:spacing w:after="0"/>
              <w:rPr>
                <w:sz w:val="21"/>
                <w:szCs w:val="21"/>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74,327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67,388</w:t>
            </w:r>
          </w:p>
        </w:tc>
      </w:tr>
      <w:tr>
        <w:trPr>
          <w:trHeight w:val="27"/>
        </w:trPr>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40" w:type="dxa"/>
            <w:vAlign w:val="bottom"/>
          </w:tcPr>
          <w:p>
            <w:pPr>
              <w:spacing w:after="0"/>
              <w:rPr>
                <w:sz w:val="2"/>
                <w:szCs w:val="2"/>
                <w:color w:val="auto"/>
              </w:rPr>
            </w:pPr>
          </w:p>
        </w:tc>
        <w:tc>
          <w:tcPr>
            <w:tcW w:w="4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66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Deferred income taxes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4,364</w:t>
            </w:r>
          </w:p>
        </w:tc>
      </w:tr>
      <w:tr>
        <w:trPr>
          <w:trHeight w:val="243"/>
        </w:trPr>
        <w:tc>
          <w:tcPr>
            <w:tcW w:w="40" w:type="dxa"/>
            <w:vAlign w:val="bottom"/>
          </w:tcPr>
          <w:p>
            <w:pPr>
              <w:spacing w:after="0"/>
              <w:rPr>
                <w:sz w:val="21"/>
                <w:szCs w:val="21"/>
                <w:color w:val="auto"/>
              </w:rPr>
            </w:pPr>
          </w:p>
        </w:tc>
        <w:tc>
          <w:tcPr>
            <w:tcW w:w="8660" w:type="dxa"/>
            <w:vAlign w:val="bottom"/>
            <w:gridSpan w:val="3"/>
          </w:tcPr>
          <w:p>
            <w:pPr>
              <w:ind w:left="340"/>
              <w:spacing w:after="0"/>
              <w:rPr>
                <w:sz w:val="20"/>
                <w:szCs w:val="20"/>
                <w:color w:val="auto"/>
              </w:rPr>
            </w:pPr>
            <w:r>
              <w:rPr>
                <w:rFonts w:ascii="Arial" w:cs="Arial" w:eastAsia="Arial" w:hAnsi="Arial"/>
                <w:sz w:val="18"/>
                <w:szCs w:val="18"/>
                <w:color w:val="auto"/>
              </w:rPr>
              <w:t>Prepaid income taxes</w:t>
            </w:r>
          </w:p>
        </w:tc>
        <w:tc>
          <w:tcPr>
            <w:tcW w:w="140" w:type="dxa"/>
            <w:vAlign w:val="bottom"/>
          </w:tcPr>
          <w:p>
            <w:pPr>
              <w:spacing w:after="0"/>
              <w:rPr>
                <w:sz w:val="21"/>
                <w:szCs w:val="21"/>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989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770</w:t>
            </w:r>
          </w:p>
        </w:tc>
      </w:tr>
      <w:tr>
        <w:trPr>
          <w:trHeight w:val="27"/>
        </w:trPr>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40" w:type="dxa"/>
            <w:vAlign w:val="bottom"/>
          </w:tcPr>
          <w:p>
            <w:pPr>
              <w:spacing w:after="0"/>
              <w:rPr>
                <w:sz w:val="2"/>
                <w:szCs w:val="2"/>
                <w:color w:val="auto"/>
              </w:rPr>
            </w:pPr>
          </w:p>
        </w:tc>
        <w:tc>
          <w:tcPr>
            <w:tcW w:w="4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66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Prepaid expenses and other</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6,385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4,783</w:t>
            </w:r>
          </w:p>
        </w:tc>
      </w:tr>
      <w:tr>
        <w:trPr>
          <w:trHeight w:val="223"/>
        </w:trPr>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00" w:type="dxa"/>
            <w:vAlign w:val="bottom"/>
            <w:gridSpan w:val="2"/>
          </w:tcPr>
          <w:p>
            <w:pPr>
              <w:ind w:left="20"/>
              <w:spacing w:after="0"/>
              <w:rPr>
                <w:sz w:val="20"/>
                <w:szCs w:val="20"/>
                <w:color w:val="auto"/>
              </w:rPr>
            </w:pPr>
            <w:r>
              <w:rPr>
                <w:rFonts w:ascii="Arial" w:cs="Arial" w:eastAsia="Arial" w:hAnsi="Arial"/>
                <w:sz w:val="18"/>
                <w:szCs w:val="18"/>
                <w:color w:val="auto"/>
              </w:rPr>
              <w:t>Total current assets</w:t>
            </w:r>
          </w:p>
        </w:tc>
        <w:tc>
          <w:tcPr>
            <w:tcW w:w="1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160,025</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155,813</w:t>
            </w:r>
          </w:p>
        </w:tc>
      </w:tr>
      <w:tr>
        <w:trPr>
          <w:trHeight w:val="27"/>
        </w:trPr>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40" w:type="dxa"/>
            <w:vAlign w:val="bottom"/>
          </w:tcPr>
          <w:p>
            <w:pPr>
              <w:spacing w:after="0"/>
              <w:rPr>
                <w:sz w:val="2"/>
                <w:szCs w:val="2"/>
                <w:color w:val="auto"/>
              </w:rPr>
            </w:pPr>
          </w:p>
        </w:tc>
        <w:tc>
          <w:tcPr>
            <w:tcW w:w="4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7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Property, plant and equipment - at cost, net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52,799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54,560</w:t>
            </w:r>
          </w:p>
        </w:tc>
      </w:tr>
      <w:tr>
        <w:trPr>
          <w:trHeight w:val="243"/>
        </w:trPr>
        <w:tc>
          <w:tcPr>
            <w:tcW w:w="8700" w:type="dxa"/>
            <w:vAlign w:val="bottom"/>
            <w:gridSpan w:val="4"/>
          </w:tcPr>
          <w:p>
            <w:pPr>
              <w:ind w:left="40"/>
              <w:spacing w:after="0"/>
              <w:rPr>
                <w:sz w:val="20"/>
                <w:szCs w:val="20"/>
                <w:color w:val="auto"/>
              </w:rPr>
            </w:pPr>
            <w:r>
              <w:rPr>
                <w:rFonts w:ascii="Arial" w:cs="Arial" w:eastAsia="Arial" w:hAnsi="Arial"/>
                <w:sz w:val="18"/>
                <w:szCs w:val="18"/>
                <w:color w:val="auto"/>
              </w:rPr>
              <w:t>Other assets</w:t>
            </w:r>
          </w:p>
        </w:tc>
        <w:tc>
          <w:tcPr>
            <w:tcW w:w="140" w:type="dxa"/>
            <w:vAlign w:val="bottom"/>
          </w:tcPr>
          <w:p>
            <w:pPr>
              <w:spacing w:after="0"/>
              <w:rPr>
                <w:sz w:val="21"/>
                <w:szCs w:val="21"/>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4,818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5,288</w:t>
            </w:r>
          </w:p>
        </w:tc>
      </w:tr>
      <w:tr>
        <w:trPr>
          <w:trHeight w:val="27"/>
        </w:trPr>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40" w:type="dxa"/>
            <w:vAlign w:val="bottom"/>
          </w:tcPr>
          <w:p>
            <w:pPr>
              <w:spacing w:after="0"/>
              <w:rPr>
                <w:sz w:val="2"/>
                <w:szCs w:val="2"/>
                <w:color w:val="auto"/>
              </w:rPr>
            </w:pPr>
          </w:p>
        </w:tc>
        <w:tc>
          <w:tcPr>
            <w:tcW w:w="4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7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177,399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181,806</w:t>
            </w:r>
          </w:p>
        </w:tc>
      </w:tr>
      <w:tr>
        <w:trPr>
          <w:trHeight w:val="243"/>
        </w:trPr>
        <w:tc>
          <w:tcPr>
            <w:tcW w:w="8700" w:type="dxa"/>
            <w:vAlign w:val="bottom"/>
            <w:gridSpan w:val="4"/>
          </w:tcPr>
          <w:p>
            <w:pPr>
              <w:ind w:left="40"/>
              <w:spacing w:after="0"/>
              <w:rPr>
                <w:sz w:val="20"/>
                <w:szCs w:val="20"/>
                <w:color w:val="auto"/>
              </w:rPr>
            </w:pPr>
            <w:r>
              <w:rPr>
                <w:rFonts w:ascii="Arial" w:cs="Arial" w:eastAsia="Arial" w:hAnsi="Arial"/>
                <w:sz w:val="18"/>
                <w:szCs w:val="18"/>
                <w:color w:val="auto"/>
              </w:rPr>
              <w:t>Goodwill</w:t>
            </w:r>
          </w:p>
        </w:tc>
        <w:tc>
          <w:tcPr>
            <w:tcW w:w="140" w:type="dxa"/>
            <w:vAlign w:val="bottom"/>
          </w:tcPr>
          <w:p>
            <w:pPr>
              <w:spacing w:after="0"/>
              <w:rPr>
                <w:sz w:val="21"/>
                <w:szCs w:val="21"/>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361,252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361,252</w:t>
            </w:r>
          </w:p>
        </w:tc>
      </w:tr>
      <w:tr>
        <w:trPr>
          <w:trHeight w:val="27"/>
        </w:trPr>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40" w:type="dxa"/>
            <w:vAlign w:val="bottom"/>
          </w:tcPr>
          <w:p>
            <w:pPr>
              <w:spacing w:after="0"/>
              <w:rPr>
                <w:sz w:val="2"/>
                <w:szCs w:val="2"/>
                <w:color w:val="auto"/>
              </w:rPr>
            </w:pPr>
          </w:p>
        </w:tc>
        <w:tc>
          <w:tcPr>
            <w:tcW w:w="4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87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Deferred income taxes, long-term</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15,496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14,904</w:t>
            </w:r>
          </w:p>
        </w:tc>
      </w:tr>
      <w:tr>
        <w:trPr>
          <w:trHeight w:val="223"/>
        </w:trPr>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00" w:type="dxa"/>
            <w:vAlign w:val="bottom"/>
            <w:gridSpan w:val="2"/>
          </w:tcPr>
          <w:p>
            <w:pPr>
              <w:ind w:left="20"/>
              <w:spacing w:after="0"/>
              <w:rPr>
                <w:sz w:val="20"/>
                <w:szCs w:val="20"/>
                <w:color w:val="auto"/>
              </w:rPr>
            </w:pPr>
            <w:r>
              <w:rPr>
                <w:rFonts w:ascii="Arial" w:cs="Arial" w:eastAsia="Arial" w:hAnsi="Arial"/>
                <w:sz w:val="18"/>
                <w:szCs w:val="18"/>
                <w:color w:val="auto"/>
              </w:rPr>
              <w:t>TOTAL ASSETS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771,789</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773,623</w:t>
            </w:r>
          </w:p>
        </w:tc>
      </w:tr>
      <w:tr>
        <w:trPr>
          <w:trHeight w:val="67"/>
        </w:trPr>
        <w:tc>
          <w:tcPr>
            <w:tcW w:w="40" w:type="dxa"/>
            <w:vAlign w:val="bottom"/>
            <w:tcBorders>
              <w:bottom w:val="single" w:sz="8" w:color="CCEEFF"/>
            </w:tcBorders>
          </w:tcPr>
          <w:p>
            <w:pPr>
              <w:spacing w:after="0"/>
              <w:rPr>
                <w:sz w:val="5"/>
                <w:szCs w:val="5"/>
                <w:color w:val="auto"/>
              </w:rPr>
            </w:pPr>
          </w:p>
        </w:tc>
        <w:tc>
          <w:tcPr>
            <w:tcW w:w="660" w:type="dxa"/>
            <w:vAlign w:val="bottom"/>
            <w:tcBorders>
              <w:bottom w:val="single" w:sz="8" w:color="CCEEFF"/>
            </w:tcBorders>
          </w:tcPr>
          <w:p>
            <w:pPr>
              <w:spacing w:after="0"/>
              <w:rPr>
                <w:sz w:val="5"/>
                <w:szCs w:val="5"/>
                <w:color w:val="auto"/>
              </w:rPr>
            </w:pPr>
          </w:p>
        </w:tc>
        <w:tc>
          <w:tcPr>
            <w:tcW w:w="3240" w:type="dxa"/>
            <w:vAlign w:val="bottom"/>
            <w:tcBorders>
              <w:bottom w:val="single" w:sz="8" w:color="CCEEFF"/>
            </w:tcBorders>
          </w:tcPr>
          <w:p>
            <w:pPr>
              <w:spacing w:after="0"/>
              <w:rPr>
                <w:sz w:val="5"/>
                <w:szCs w:val="5"/>
                <w:color w:val="auto"/>
              </w:rPr>
            </w:pPr>
          </w:p>
        </w:tc>
        <w:tc>
          <w:tcPr>
            <w:tcW w:w="476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r>
      <w:tr>
        <w:trPr>
          <w:trHeight w:val="156"/>
        </w:trPr>
        <w:tc>
          <w:tcPr>
            <w:tcW w:w="8700" w:type="dxa"/>
            <w:vAlign w:val="bottom"/>
            <w:gridSpan w:val="4"/>
            <w:shd w:val="clear" w:color="auto" w:fill="CCEEFF"/>
          </w:tcPr>
          <w:p>
            <w:pPr>
              <w:ind w:left="40"/>
              <w:spacing w:after="0" w:line="156" w:lineRule="exact"/>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r>
      <w:tr>
        <w:trPr>
          <w:trHeight w:val="75"/>
        </w:trPr>
        <w:tc>
          <w:tcPr>
            <w:tcW w:w="40" w:type="dxa"/>
            <w:vAlign w:val="bottom"/>
            <w:tcBorders>
              <w:top w:val="single" w:sz="8" w:color="CCEEFF"/>
            </w:tcBorders>
            <w:shd w:val="clear" w:color="auto" w:fill="CCEEFF"/>
          </w:tcPr>
          <w:p>
            <w:pPr>
              <w:spacing w:after="0"/>
              <w:rPr>
                <w:sz w:val="6"/>
                <w:szCs w:val="6"/>
                <w:color w:val="auto"/>
              </w:rPr>
            </w:pPr>
          </w:p>
        </w:tc>
        <w:tc>
          <w:tcPr>
            <w:tcW w:w="660" w:type="dxa"/>
            <w:vAlign w:val="bottom"/>
            <w:tcBorders>
              <w:top w:val="single" w:sz="8" w:color="auto"/>
            </w:tcBorders>
            <w:shd w:val="clear" w:color="auto" w:fill="CCEEFF"/>
          </w:tcPr>
          <w:p>
            <w:pPr>
              <w:spacing w:after="0"/>
              <w:rPr>
                <w:sz w:val="6"/>
                <w:szCs w:val="6"/>
                <w:color w:val="auto"/>
              </w:rPr>
            </w:pPr>
          </w:p>
        </w:tc>
        <w:tc>
          <w:tcPr>
            <w:tcW w:w="3240" w:type="dxa"/>
            <w:vAlign w:val="bottom"/>
            <w:tcBorders>
              <w:top w:val="single" w:sz="8" w:color="auto"/>
            </w:tcBorders>
            <w:shd w:val="clear" w:color="auto" w:fill="CCEEFF"/>
          </w:tcPr>
          <w:p>
            <w:pPr>
              <w:spacing w:after="0"/>
              <w:rPr>
                <w:sz w:val="6"/>
                <w:szCs w:val="6"/>
                <w:color w:val="auto"/>
              </w:rPr>
            </w:pPr>
          </w:p>
        </w:tc>
        <w:tc>
          <w:tcPr>
            <w:tcW w:w="47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1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180" w:type="dxa"/>
            <w:vAlign w:val="bottom"/>
            <w:tcBorders>
              <w:top w:val="single" w:sz="8" w:color="CCEEFF"/>
            </w:tcBorders>
            <w:shd w:val="clear" w:color="auto" w:fill="CCEEFF"/>
          </w:tcPr>
          <w:p>
            <w:pPr>
              <w:spacing w:after="0"/>
              <w:rPr>
                <w:sz w:val="6"/>
                <w:szCs w:val="6"/>
                <w:color w:val="auto"/>
              </w:rPr>
            </w:pPr>
          </w:p>
        </w:tc>
      </w:tr>
      <w:tr>
        <w:trPr>
          <w:trHeight w:val="243"/>
        </w:trPr>
        <w:tc>
          <w:tcPr>
            <w:tcW w:w="8700" w:type="dxa"/>
            <w:vAlign w:val="bottom"/>
            <w:gridSpan w:val="4"/>
          </w:tcPr>
          <w:p>
            <w:pPr>
              <w:ind w:left="40"/>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40" w:type="dxa"/>
            <w:vAlign w:val="bottom"/>
          </w:tcPr>
          <w:p>
            <w:pPr>
              <w:spacing w:after="0"/>
              <w:rPr>
                <w:sz w:val="2"/>
                <w:szCs w:val="2"/>
                <w:color w:val="auto"/>
              </w:rPr>
            </w:pPr>
          </w:p>
        </w:tc>
        <w:tc>
          <w:tcPr>
            <w:tcW w:w="4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66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24,942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23,668</w:t>
            </w:r>
          </w:p>
        </w:tc>
      </w:tr>
      <w:tr>
        <w:trPr>
          <w:trHeight w:val="243"/>
        </w:trPr>
        <w:tc>
          <w:tcPr>
            <w:tcW w:w="40" w:type="dxa"/>
            <w:vAlign w:val="bottom"/>
          </w:tcPr>
          <w:p>
            <w:pPr>
              <w:spacing w:after="0"/>
              <w:rPr>
                <w:sz w:val="21"/>
                <w:szCs w:val="21"/>
                <w:color w:val="auto"/>
              </w:rPr>
            </w:pPr>
          </w:p>
        </w:tc>
        <w:tc>
          <w:tcPr>
            <w:tcW w:w="8660" w:type="dxa"/>
            <w:vAlign w:val="bottom"/>
            <w:gridSpan w:val="3"/>
          </w:tcPr>
          <w:p>
            <w:pPr>
              <w:ind w:left="340"/>
              <w:spacing w:after="0"/>
              <w:rPr>
                <w:sz w:val="20"/>
                <w:szCs w:val="20"/>
                <w:color w:val="auto"/>
              </w:rPr>
            </w:pPr>
            <w:r>
              <w:rPr>
                <w:rFonts w:ascii="Arial" w:cs="Arial" w:eastAsia="Arial" w:hAnsi="Arial"/>
                <w:sz w:val="18"/>
                <w:szCs w:val="18"/>
                <w:color w:val="auto"/>
              </w:rPr>
              <w:t>Accrued liabilities</w:t>
            </w:r>
          </w:p>
        </w:tc>
        <w:tc>
          <w:tcPr>
            <w:tcW w:w="140" w:type="dxa"/>
            <w:vAlign w:val="bottom"/>
          </w:tcPr>
          <w:p>
            <w:pPr>
              <w:spacing w:after="0"/>
              <w:rPr>
                <w:sz w:val="21"/>
                <w:szCs w:val="21"/>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15,166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18,331</w:t>
            </w:r>
          </w:p>
        </w:tc>
      </w:tr>
      <w:tr>
        <w:trPr>
          <w:trHeight w:val="27"/>
        </w:trPr>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40" w:type="dxa"/>
            <w:vAlign w:val="bottom"/>
          </w:tcPr>
          <w:p>
            <w:pPr>
              <w:spacing w:after="0"/>
              <w:rPr>
                <w:sz w:val="2"/>
                <w:szCs w:val="2"/>
                <w:color w:val="auto"/>
              </w:rPr>
            </w:pPr>
          </w:p>
        </w:tc>
        <w:tc>
          <w:tcPr>
            <w:tcW w:w="4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66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Income taxes payable</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439</w:t>
            </w:r>
          </w:p>
        </w:tc>
      </w:tr>
      <w:tr>
        <w:trPr>
          <w:trHeight w:val="243"/>
        </w:trPr>
        <w:tc>
          <w:tcPr>
            <w:tcW w:w="40" w:type="dxa"/>
            <w:vAlign w:val="bottom"/>
          </w:tcPr>
          <w:p>
            <w:pPr>
              <w:spacing w:after="0"/>
              <w:rPr>
                <w:sz w:val="21"/>
                <w:szCs w:val="21"/>
                <w:color w:val="auto"/>
              </w:rPr>
            </w:pPr>
          </w:p>
        </w:tc>
        <w:tc>
          <w:tcPr>
            <w:tcW w:w="8660" w:type="dxa"/>
            <w:vAlign w:val="bottom"/>
            <w:gridSpan w:val="3"/>
          </w:tcPr>
          <w:p>
            <w:pPr>
              <w:ind w:left="340"/>
              <w:spacing w:after="0"/>
              <w:rPr>
                <w:sz w:val="20"/>
                <w:szCs w:val="20"/>
                <w:color w:val="auto"/>
              </w:rPr>
            </w:pPr>
            <w:r>
              <w:rPr>
                <w:rFonts w:ascii="Arial" w:cs="Arial" w:eastAsia="Arial" w:hAnsi="Arial"/>
                <w:sz w:val="18"/>
                <w:szCs w:val="18"/>
                <w:color w:val="auto"/>
              </w:rPr>
              <w:t>Current portion of long-term debt</w:t>
            </w:r>
          </w:p>
        </w:tc>
        <w:tc>
          <w:tcPr>
            <w:tcW w:w="140" w:type="dxa"/>
            <w:vAlign w:val="bottom"/>
          </w:tcPr>
          <w:p>
            <w:pPr>
              <w:spacing w:after="0"/>
              <w:rPr>
                <w:sz w:val="21"/>
                <w:szCs w:val="21"/>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10,000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8,750</w:t>
            </w:r>
          </w:p>
        </w:tc>
      </w:tr>
      <w:tr>
        <w:trPr>
          <w:trHeight w:val="27"/>
        </w:trPr>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40" w:type="dxa"/>
            <w:vAlign w:val="bottom"/>
          </w:tcPr>
          <w:p>
            <w:pPr>
              <w:spacing w:after="0"/>
              <w:rPr>
                <w:sz w:val="2"/>
                <w:szCs w:val="2"/>
                <w:color w:val="auto"/>
              </w:rPr>
            </w:pPr>
          </w:p>
        </w:tc>
        <w:tc>
          <w:tcPr>
            <w:tcW w:w="4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66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Current portion of contingent consideration</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9,986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9,969</w:t>
            </w:r>
          </w:p>
        </w:tc>
      </w:tr>
      <w:tr>
        <w:trPr>
          <w:trHeight w:val="223"/>
        </w:trPr>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00" w:type="dxa"/>
            <w:vAlign w:val="bottom"/>
            <w:gridSpan w:val="2"/>
          </w:tcPr>
          <w:p>
            <w:pPr>
              <w:ind w:left="20"/>
              <w:spacing w:after="0"/>
              <w:rPr>
                <w:sz w:val="20"/>
                <w:szCs w:val="20"/>
                <w:color w:val="auto"/>
              </w:rPr>
            </w:pPr>
            <w:r>
              <w:rPr>
                <w:rFonts w:ascii="Arial" w:cs="Arial" w:eastAsia="Arial" w:hAnsi="Arial"/>
                <w:sz w:val="18"/>
                <w:szCs w:val="18"/>
                <w:color w:val="auto"/>
              </w:rPr>
              <w:t>Total current liabilities</w:t>
            </w:r>
          </w:p>
        </w:tc>
        <w:tc>
          <w:tcPr>
            <w:tcW w:w="1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60,651</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61,157</w:t>
            </w:r>
          </w:p>
        </w:tc>
      </w:tr>
      <w:tr>
        <w:trPr>
          <w:trHeight w:val="27"/>
        </w:trPr>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40" w:type="dxa"/>
            <w:vAlign w:val="bottom"/>
          </w:tcPr>
          <w:p>
            <w:pPr>
              <w:spacing w:after="0"/>
              <w:rPr>
                <w:sz w:val="2"/>
                <w:szCs w:val="2"/>
                <w:color w:val="auto"/>
              </w:rPr>
            </w:pPr>
          </w:p>
        </w:tc>
        <w:tc>
          <w:tcPr>
            <w:tcW w:w="4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7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Long-term debt, net of current portion</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126,410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128,910</w:t>
            </w:r>
          </w:p>
        </w:tc>
      </w:tr>
      <w:tr>
        <w:trPr>
          <w:trHeight w:val="243"/>
        </w:trPr>
        <w:tc>
          <w:tcPr>
            <w:tcW w:w="8700" w:type="dxa"/>
            <w:vAlign w:val="bottom"/>
            <w:gridSpan w:val="4"/>
          </w:tcPr>
          <w:p>
            <w:pPr>
              <w:ind w:left="40"/>
              <w:spacing w:after="0"/>
              <w:rPr>
                <w:sz w:val="20"/>
                <w:szCs w:val="20"/>
                <w:color w:val="auto"/>
              </w:rPr>
            </w:pPr>
            <w:r>
              <w:rPr>
                <w:rFonts w:ascii="Arial" w:cs="Arial" w:eastAsia="Arial" w:hAnsi="Arial"/>
                <w:sz w:val="18"/>
                <w:szCs w:val="18"/>
                <w:color w:val="auto"/>
              </w:rPr>
              <w:t>Deferred income taxes, long-term</w:t>
            </w:r>
          </w:p>
        </w:tc>
        <w:tc>
          <w:tcPr>
            <w:tcW w:w="140" w:type="dxa"/>
            <w:vAlign w:val="bottom"/>
          </w:tcPr>
          <w:p>
            <w:pPr>
              <w:spacing w:after="0"/>
              <w:rPr>
                <w:sz w:val="21"/>
                <w:szCs w:val="21"/>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1,119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1,119</w:t>
            </w:r>
          </w:p>
        </w:tc>
      </w:tr>
      <w:tr>
        <w:trPr>
          <w:trHeight w:val="27"/>
        </w:trPr>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40" w:type="dxa"/>
            <w:vAlign w:val="bottom"/>
          </w:tcPr>
          <w:p>
            <w:pPr>
              <w:spacing w:after="0"/>
              <w:rPr>
                <w:sz w:val="2"/>
                <w:szCs w:val="2"/>
                <w:color w:val="auto"/>
              </w:rPr>
            </w:pPr>
          </w:p>
        </w:tc>
        <w:tc>
          <w:tcPr>
            <w:tcW w:w="4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7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Contingent consideration, net of current portion</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35,702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37,415</w:t>
            </w:r>
          </w:p>
        </w:tc>
      </w:tr>
      <w:tr>
        <w:trPr>
          <w:trHeight w:val="243"/>
        </w:trPr>
        <w:tc>
          <w:tcPr>
            <w:tcW w:w="8700" w:type="dxa"/>
            <w:vAlign w:val="bottom"/>
            <w:gridSpan w:val="4"/>
          </w:tcPr>
          <w:p>
            <w:pPr>
              <w:ind w:left="40"/>
              <w:spacing w:after="0"/>
              <w:rPr>
                <w:sz w:val="20"/>
                <w:szCs w:val="20"/>
                <w:color w:val="auto"/>
              </w:rPr>
            </w:pPr>
            <w:r>
              <w:rPr>
                <w:rFonts w:ascii="Arial" w:cs="Arial" w:eastAsia="Arial" w:hAnsi="Arial"/>
                <w:sz w:val="18"/>
                <w:szCs w:val="18"/>
                <w:color w:val="auto"/>
              </w:rPr>
              <w:t>Other long-term liabilities</w:t>
            </w:r>
          </w:p>
        </w:tc>
        <w:tc>
          <w:tcPr>
            <w:tcW w:w="140" w:type="dxa"/>
            <w:vAlign w:val="bottom"/>
          </w:tcPr>
          <w:p>
            <w:pPr>
              <w:spacing w:after="0"/>
              <w:rPr>
                <w:sz w:val="21"/>
                <w:szCs w:val="21"/>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784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
        </w:trPr>
        <w:tc>
          <w:tcPr>
            <w:tcW w:w="4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3240" w:type="dxa"/>
            <w:vAlign w:val="bottom"/>
            <w:tcBorders>
              <w:bottom w:val="single" w:sz="8" w:color="CCEEFF"/>
            </w:tcBorders>
          </w:tcPr>
          <w:p>
            <w:pPr>
              <w:spacing w:after="0"/>
              <w:rPr>
                <w:sz w:val="2"/>
                <w:szCs w:val="2"/>
                <w:color w:val="auto"/>
              </w:rPr>
            </w:pPr>
          </w:p>
        </w:tc>
        <w:tc>
          <w:tcPr>
            <w:tcW w:w="47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8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224,666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228,601</w:t>
            </w:r>
          </w:p>
        </w:tc>
      </w:tr>
      <w:tr>
        <w:trPr>
          <w:trHeight w:val="223"/>
        </w:trPr>
        <w:tc>
          <w:tcPr>
            <w:tcW w:w="8700" w:type="dxa"/>
            <w:vAlign w:val="bottom"/>
            <w:gridSpan w:val="4"/>
          </w:tcPr>
          <w:p>
            <w:pPr>
              <w:ind w:left="40"/>
              <w:spacing w:after="0"/>
              <w:rPr>
                <w:sz w:val="20"/>
                <w:szCs w:val="20"/>
                <w:color w:val="auto"/>
              </w:rPr>
            </w:pPr>
            <w:r>
              <w:rPr>
                <w:rFonts w:ascii="Arial" w:cs="Arial" w:eastAsia="Arial" w:hAnsi="Arial"/>
                <w:sz w:val="18"/>
                <w:szCs w:val="18"/>
                <w:color w:val="auto"/>
              </w:rPr>
              <w:t>COMMITMENTS AND CONTINGENCIES</w:t>
            </w:r>
          </w:p>
        </w:tc>
        <w:tc>
          <w:tcPr>
            <w:tcW w:w="1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r>
      <w:tr>
        <w:trPr>
          <w:trHeight w:val="27"/>
        </w:trPr>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40" w:type="dxa"/>
            <w:vAlign w:val="bottom"/>
          </w:tcPr>
          <w:p>
            <w:pPr>
              <w:spacing w:after="0"/>
              <w:rPr>
                <w:sz w:val="2"/>
                <w:szCs w:val="2"/>
                <w:color w:val="auto"/>
              </w:rPr>
            </w:pPr>
          </w:p>
        </w:tc>
        <w:tc>
          <w:tcPr>
            <w:tcW w:w="4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7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660" w:type="dxa"/>
            <w:vAlign w:val="bottom"/>
            <w:gridSpan w:val="3"/>
          </w:tcPr>
          <w:p>
            <w:pPr>
              <w:ind w:left="340"/>
              <w:spacing w:after="0"/>
              <w:rPr>
                <w:sz w:val="20"/>
                <w:szCs w:val="20"/>
                <w:color w:val="auto"/>
              </w:rPr>
            </w:pPr>
            <w:r>
              <w:rPr>
                <w:rFonts w:ascii="Arial" w:cs="Arial" w:eastAsia="Arial" w:hAnsi="Arial"/>
                <w:sz w:val="18"/>
                <w:szCs w:val="18"/>
                <w:color w:val="auto"/>
                <w:w w:val="98"/>
              </w:rPr>
              <w:t>Preferred stock, par value $.01 per share, 5,000,000 shares authorized; no shares issued and outstanding</w:t>
            </w:r>
          </w:p>
        </w:tc>
        <w:tc>
          <w:tcPr>
            <w:tcW w:w="14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
        </w:trPr>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40" w:type="dxa"/>
            <w:vAlign w:val="bottom"/>
          </w:tcPr>
          <w:p>
            <w:pPr>
              <w:spacing w:after="0"/>
              <w:rPr>
                <w:sz w:val="2"/>
                <w:szCs w:val="2"/>
                <w:color w:val="auto"/>
              </w:rPr>
            </w:pPr>
          </w:p>
        </w:tc>
        <w:tc>
          <w:tcPr>
            <w:tcW w:w="4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29"/>
        </w:trPr>
        <w:tc>
          <w:tcPr>
            <w:tcW w:w="40" w:type="dxa"/>
            <w:vAlign w:val="bottom"/>
            <w:shd w:val="clear" w:color="auto" w:fill="CCEEFF"/>
          </w:tcPr>
          <w:p>
            <w:pPr>
              <w:spacing w:after="0"/>
              <w:rPr>
                <w:sz w:val="19"/>
                <w:szCs w:val="19"/>
                <w:color w:val="auto"/>
              </w:rPr>
            </w:pPr>
          </w:p>
        </w:tc>
        <w:tc>
          <w:tcPr>
            <w:tcW w:w="86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w w:val="90"/>
              </w:rPr>
              <w:t>Common stock, par value $.01 per share, 75,000,000 shares authorized; 36,274,574 and 36,043,725 shares issued</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866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and 36,132,269 and 35,901,420 shares outstanding at August 31, 2015 and May 31, 2015, respectively</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360</w:t>
            </w:r>
          </w:p>
        </w:tc>
      </w:tr>
      <w:tr>
        <w:trPr>
          <w:trHeight w:val="243"/>
        </w:trPr>
        <w:tc>
          <w:tcPr>
            <w:tcW w:w="40" w:type="dxa"/>
            <w:vAlign w:val="bottom"/>
          </w:tcPr>
          <w:p>
            <w:pPr>
              <w:spacing w:after="0"/>
              <w:rPr>
                <w:sz w:val="21"/>
                <w:szCs w:val="21"/>
                <w:color w:val="auto"/>
              </w:rPr>
            </w:pPr>
          </w:p>
        </w:tc>
        <w:tc>
          <w:tcPr>
            <w:tcW w:w="8660" w:type="dxa"/>
            <w:vAlign w:val="bottom"/>
            <w:gridSpan w:val="3"/>
          </w:tcPr>
          <w:p>
            <w:pPr>
              <w:ind w:left="340"/>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21"/>
                <w:szCs w:val="21"/>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523,004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520,101</w:t>
            </w:r>
          </w:p>
        </w:tc>
      </w:tr>
      <w:tr>
        <w:trPr>
          <w:trHeight w:val="27"/>
        </w:trPr>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40" w:type="dxa"/>
            <w:vAlign w:val="bottom"/>
          </w:tcPr>
          <w:p>
            <w:pPr>
              <w:spacing w:after="0"/>
              <w:rPr>
                <w:sz w:val="2"/>
                <w:szCs w:val="2"/>
                <w:color w:val="auto"/>
              </w:rPr>
            </w:pPr>
          </w:p>
        </w:tc>
        <w:tc>
          <w:tcPr>
            <w:tcW w:w="4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66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Retained earnings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27,476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28,233</w:t>
            </w:r>
          </w:p>
        </w:tc>
      </w:tr>
      <w:tr>
        <w:trPr>
          <w:trHeight w:val="243"/>
        </w:trPr>
        <w:tc>
          <w:tcPr>
            <w:tcW w:w="40" w:type="dxa"/>
            <w:vAlign w:val="bottom"/>
          </w:tcPr>
          <w:p>
            <w:pPr>
              <w:spacing w:after="0"/>
              <w:rPr>
                <w:sz w:val="21"/>
                <w:szCs w:val="21"/>
                <w:color w:val="auto"/>
              </w:rPr>
            </w:pPr>
          </w:p>
        </w:tc>
        <w:tc>
          <w:tcPr>
            <w:tcW w:w="8660" w:type="dxa"/>
            <w:vAlign w:val="bottom"/>
            <w:gridSpan w:val="3"/>
          </w:tcPr>
          <w:p>
            <w:pPr>
              <w:ind w:left="340"/>
              <w:spacing w:after="0"/>
              <w:rPr>
                <w:sz w:val="20"/>
                <w:szCs w:val="20"/>
                <w:color w:val="auto"/>
              </w:rPr>
            </w:pPr>
            <w:r>
              <w:rPr>
                <w:rFonts w:ascii="Arial" w:cs="Arial" w:eastAsia="Arial" w:hAnsi="Arial"/>
                <w:sz w:val="18"/>
                <w:szCs w:val="18"/>
                <w:color w:val="auto"/>
              </w:rPr>
              <w:t>Treasury stock, 142,305 shares, at cost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(2,104)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(2,104)</w:t>
            </w:r>
          </w:p>
        </w:tc>
      </w:tr>
      <w:tr>
        <w:trPr>
          <w:trHeight w:val="27"/>
        </w:trPr>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40" w:type="dxa"/>
            <w:vAlign w:val="bottom"/>
          </w:tcPr>
          <w:p>
            <w:pPr>
              <w:spacing w:after="0"/>
              <w:rPr>
                <w:sz w:val="2"/>
                <w:szCs w:val="2"/>
                <w:color w:val="auto"/>
              </w:rPr>
            </w:pPr>
          </w:p>
        </w:tc>
        <w:tc>
          <w:tcPr>
            <w:tcW w:w="4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66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Accumulated other comprehensive loss</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(1,615)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(1,568)</w:t>
            </w:r>
          </w:p>
        </w:tc>
      </w:tr>
      <w:tr>
        <w:trPr>
          <w:trHeight w:val="223"/>
        </w:trPr>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00" w:type="dxa"/>
            <w:vAlign w:val="bottom"/>
            <w:gridSpan w:val="2"/>
          </w:tcPr>
          <w:p>
            <w:pPr>
              <w:ind w:left="20"/>
              <w:spacing w:after="0"/>
              <w:rPr>
                <w:sz w:val="20"/>
                <w:szCs w:val="20"/>
                <w:color w:val="auto"/>
              </w:rPr>
            </w:pPr>
            <w:r>
              <w:rPr>
                <w:rFonts w:ascii="Arial" w:cs="Arial" w:eastAsia="Arial" w:hAnsi="Arial"/>
                <w:sz w:val="18"/>
                <w:szCs w:val="18"/>
                <w:color w:val="auto"/>
              </w:rPr>
              <w:t>Total stockholders’ equity</w:t>
            </w:r>
          </w:p>
        </w:tc>
        <w:tc>
          <w:tcPr>
            <w:tcW w:w="1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547,123</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545,022</w:t>
            </w:r>
          </w:p>
        </w:tc>
      </w:tr>
      <w:tr>
        <w:trPr>
          <w:trHeight w:val="27"/>
        </w:trPr>
        <w:tc>
          <w:tcPr>
            <w:tcW w:w="4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3240" w:type="dxa"/>
            <w:vAlign w:val="bottom"/>
            <w:tcBorders>
              <w:bottom w:val="single" w:sz="8" w:color="CCEEFF"/>
            </w:tcBorders>
          </w:tcPr>
          <w:p>
            <w:pPr>
              <w:spacing w:after="0"/>
              <w:rPr>
                <w:sz w:val="2"/>
                <w:szCs w:val="2"/>
                <w:color w:val="auto"/>
              </w:rPr>
            </w:pPr>
          </w:p>
        </w:tc>
        <w:tc>
          <w:tcPr>
            <w:tcW w:w="47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5"/>
        </w:trPr>
        <w:tc>
          <w:tcPr>
            <w:tcW w:w="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8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771,789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773,623</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3240" w:type="dxa"/>
            <w:vAlign w:val="bottom"/>
            <w:tcBorders>
              <w:top w:val="single" w:sz="8" w:color="CCEEFF"/>
            </w:tcBorders>
          </w:tcPr>
          <w:p>
            <w:pPr>
              <w:spacing w:after="0" w:line="20" w:lineRule="exact"/>
              <w:rPr>
                <w:sz w:val="1"/>
                <w:szCs w:val="1"/>
                <w:color w:val="auto"/>
              </w:rPr>
            </w:pPr>
          </w:p>
        </w:tc>
        <w:tc>
          <w:tcPr>
            <w:tcW w:w="47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jc w:val="center"/>
        <w:spacing w:after="0"/>
        <w:rPr>
          <w:sz w:val="20"/>
          <w:szCs w:val="20"/>
          <w:color w:val="auto"/>
        </w:rPr>
      </w:pPr>
      <w:r>
        <w:rPr>
          <w:rFonts w:ascii="Arial" w:cs="Arial" w:eastAsia="Arial" w:hAnsi="Arial"/>
          <w:sz w:val="18"/>
          <w:szCs w:val="18"/>
          <w:color w:val="auto"/>
        </w:rPr>
        <w:t>The accompanying notes are an integral part of these consolidated condensed financial statements.</w:t>
      </w:r>
    </w:p>
    <w:p>
      <w:pPr>
        <w:sectPr>
          <w:pgSz w:w="11900" w:h="16838" w:orient="portrait"/>
          <w:cols w:equalWidth="0" w:num="1">
            <w:col w:w="11420"/>
          </w:cols>
          <w:pgMar w:left="240" w:top="121" w:right="239" w:bottom="1440" w:gutter="0" w:footer="0" w:header="0"/>
        </w:sect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121" w:right="239" w:bottom="1440" w:gutter="0" w:footer="0" w:header="0"/>
          <w:type w:val="continuous"/>
        </w:sectPr>
      </w:pPr>
    </w:p>
    <w:bookmarkStart w:id="6" w:name="page7"/>
    <w:bookmarkEnd w:id="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AngioDynamics,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5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711"/>
              <w:spacing w:after="0"/>
              <w:rPr>
                <w:sz w:val="20"/>
                <w:szCs w:val="20"/>
                <w:color w:val="auto"/>
              </w:rPr>
            </w:pPr>
            <w:r>
              <w:rPr>
                <w:rFonts w:ascii="Arial" w:cs="Arial" w:eastAsia="Arial" w:hAnsi="Arial"/>
                <w:sz w:val="14"/>
                <w:szCs w:val="14"/>
                <w:color w:val="auto"/>
              </w:rPr>
              <w:t>Three Months Ended</w:t>
            </w:r>
          </w:p>
        </w:tc>
        <w:tc>
          <w:tcPr>
            <w:tcW w:w="0" w:type="dxa"/>
            <w:vAlign w:val="bottom"/>
          </w:tcPr>
          <w:p>
            <w:pPr>
              <w:spacing w:after="0"/>
              <w:rPr>
                <w:sz w:val="1"/>
                <w:szCs w:val="1"/>
                <w:color w:val="auto"/>
              </w:rPr>
            </w:pPr>
          </w:p>
        </w:tc>
      </w:tr>
      <w:tr>
        <w:trPr>
          <w:trHeight w:val="264"/>
        </w:trPr>
        <w:tc>
          <w:tcPr>
            <w:tcW w:w="85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color w:val="auto"/>
              </w:rPr>
              <w:t>Aug 31, 2015</w:t>
            </w:r>
          </w:p>
        </w:tc>
        <w:tc>
          <w:tcPr>
            <w:tcW w:w="200" w:type="dxa"/>
            <w:vAlign w:val="bottom"/>
          </w:tcPr>
          <w:p>
            <w:pPr>
              <w:spacing w:after="0"/>
              <w:rPr>
                <w:sz w:val="22"/>
                <w:szCs w:val="22"/>
                <w:color w:val="auto"/>
              </w:rPr>
            </w:pPr>
          </w:p>
        </w:tc>
        <w:tc>
          <w:tcPr>
            <w:tcW w:w="1160" w:type="dxa"/>
            <w:vAlign w:val="bottom"/>
          </w:tcPr>
          <w:p>
            <w:pPr>
              <w:jc w:val="right"/>
              <w:ind w:right="191"/>
              <w:spacing w:after="0"/>
              <w:rPr>
                <w:sz w:val="20"/>
                <w:szCs w:val="20"/>
                <w:color w:val="auto"/>
              </w:rPr>
            </w:pPr>
            <w:r>
              <w:rPr>
                <w:rFonts w:ascii="Arial" w:cs="Arial" w:eastAsia="Arial" w:hAnsi="Arial"/>
                <w:sz w:val="14"/>
                <w:szCs w:val="14"/>
                <w:color w:val="auto"/>
              </w:rPr>
              <w:t>Aug 31, 2014</w:t>
            </w:r>
          </w:p>
        </w:tc>
        <w:tc>
          <w:tcPr>
            <w:tcW w:w="0" w:type="dxa"/>
            <w:vAlign w:val="bottom"/>
          </w:tcPr>
          <w:p>
            <w:pPr>
              <w:spacing w:after="0"/>
              <w:rPr>
                <w:sz w:val="1"/>
                <w:szCs w:val="1"/>
                <w:color w:val="auto"/>
              </w:rPr>
            </w:pPr>
          </w:p>
        </w:tc>
      </w:tr>
      <w:tr>
        <w:trPr>
          <w:trHeight w:val="250"/>
        </w:trPr>
        <w:tc>
          <w:tcPr>
            <w:tcW w:w="8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Net income (loss)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(757)</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470</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7,223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6,700</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Stock based compensation</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1,626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1,395</w:t>
            </w:r>
          </w:p>
        </w:tc>
        <w:tc>
          <w:tcPr>
            <w:tcW w:w="0" w:type="dxa"/>
            <w:vAlign w:val="bottom"/>
          </w:tcPr>
          <w:p>
            <w:pPr>
              <w:spacing w:after="0"/>
              <w:rPr>
                <w:sz w:val="1"/>
                <w:szCs w:val="1"/>
                <w:color w:val="auto"/>
              </w:rPr>
            </w:pP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rPr>
              <w:t>Change in fair value of contingent consideration</w:t>
            </w: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355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801</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Deferred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2,110</w:t>
            </w:r>
          </w:p>
        </w:tc>
        <w:tc>
          <w:tcPr>
            <w:tcW w:w="0" w:type="dxa"/>
            <w:vAlign w:val="bottom"/>
          </w:tcPr>
          <w:p>
            <w:pPr>
              <w:spacing w:after="0"/>
              <w:rPr>
                <w:sz w:val="1"/>
                <w:szCs w:val="1"/>
                <w:color w:val="auto"/>
              </w:rPr>
            </w:pP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rPr>
              <w:t>Loss on disposal of long-lived assets</w:t>
            </w: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220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Bad debt expense</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Changes in operating assets and liabilities, net of acquisitions: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1140"/>
              <w:spacing w:after="0"/>
              <w:rPr>
                <w:sz w:val="20"/>
                <w:szCs w:val="20"/>
                <w:color w:val="auto"/>
              </w:rPr>
            </w:pPr>
            <w:r>
              <w:rPr>
                <w:rFonts w:ascii="Arial" w:cs="Arial" w:eastAsia="Arial" w:hAnsi="Arial"/>
                <w:sz w:val="18"/>
                <w:szCs w:val="18"/>
                <w:color w:val="auto"/>
              </w:rPr>
              <w:t>Accounts receivable</w:t>
            </w: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5,925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5,815</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Inventories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(6,922)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(9,187)</w:t>
            </w:r>
          </w:p>
        </w:tc>
        <w:tc>
          <w:tcPr>
            <w:tcW w:w="0" w:type="dxa"/>
            <w:vAlign w:val="bottom"/>
          </w:tcPr>
          <w:p>
            <w:pPr>
              <w:spacing w:after="0"/>
              <w:rPr>
                <w:sz w:val="1"/>
                <w:szCs w:val="1"/>
                <w:color w:val="auto"/>
              </w:rPr>
            </w:pPr>
          </w:p>
        </w:tc>
      </w:tr>
      <w:tr>
        <w:trPr>
          <w:trHeight w:val="243"/>
        </w:trPr>
        <w:tc>
          <w:tcPr>
            <w:tcW w:w="8580" w:type="dxa"/>
            <w:vAlign w:val="bottom"/>
          </w:tcPr>
          <w:p>
            <w:pPr>
              <w:ind w:left="1140"/>
              <w:spacing w:after="0"/>
              <w:rPr>
                <w:sz w:val="20"/>
                <w:szCs w:val="20"/>
                <w:color w:val="auto"/>
              </w:rPr>
            </w:pPr>
            <w:r>
              <w:rPr>
                <w:rFonts w:ascii="Arial" w:cs="Arial" w:eastAsia="Arial" w:hAnsi="Arial"/>
                <w:sz w:val="18"/>
                <w:szCs w:val="18"/>
                <w:color w:val="auto"/>
              </w:rPr>
              <w:t>Prepaid expenses and other assets</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(1,954)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(2,836)</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Accounts payable, accrued and other liabilities</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37"/>
        </w:trPr>
        <w:tc>
          <w:tcPr>
            <w:tcW w:w="8580" w:type="dxa"/>
            <w:vAlign w:val="bottom"/>
          </w:tcPr>
          <w:p>
            <w:pPr>
              <w:ind w:left="1460"/>
              <w:spacing w:after="0"/>
              <w:rPr>
                <w:sz w:val="20"/>
                <w:szCs w:val="20"/>
                <w:color w:val="auto"/>
              </w:rPr>
            </w:pPr>
            <w:r>
              <w:rPr>
                <w:rFonts w:ascii="Arial" w:cs="Arial" w:eastAsia="Arial" w:hAnsi="Arial"/>
                <w:sz w:val="18"/>
                <w:szCs w:val="18"/>
                <w:b w:val="1"/>
                <w:bCs w:val="1"/>
                <w:color w:val="auto"/>
              </w:rPr>
              <w:t>Net cash provided by operating activities</w:t>
            </w: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4,699</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5,352</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Additions to property, plant and equipment</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(743)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(5,104)</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Acquisition of intangibles</w:t>
            </w: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37"/>
        </w:trPr>
        <w:tc>
          <w:tcPr>
            <w:tcW w:w="8580" w:type="dxa"/>
            <w:vAlign w:val="bottom"/>
          </w:tcPr>
          <w:p>
            <w:pPr>
              <w:ind w:left="1460"/>
              <w:spacing w:after="0"/>
              <w:rPr>
                <w:sz w:val="20"/>
                <w:szCs w:val="20"/>
                <w:color w:val="auto"/>
              </w:rPr>
            </w:pPr>
            <w:r>
              <w:rPr>
                <w:rFonts w:ascii="Arial" w:cs="Arial" w:eastAsia="Arial" w:hAnsi="Arial"/>
                <w:sz w:val="18"/>
                <w:szCs w:val="18"/>
                <w:b w:val="1"/>
                <w:bCs w:val="1"/>
                <w:color w:val="auto"/>
              </w:rPr>
              <w:t>Net cash used in investing activities</w:t>
            </w: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(743)</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(5,258)</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Repayment of long-term debt</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(1,250)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(1,250)</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Payment of contingent consideration previously established in purchase accounting</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(2,100)</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Proceeds from exercise of stock options and employee stock purchase plan</w:t>
            </w: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1,279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959</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shd w:val="clear" w:color="auto" w:fill="CCEEFF"/>
          </w:tcPr>
          <w:p>
            <w:pPr>
              <w:ind w:left="1460"/>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(2,391)</w:t>
            </w:r>
          </w:p>
        </w:tc>
        <w:tc>
          <w:tcPr>
            <w:tcW w:w="0" w:type="dxa"/>
            <w:vAlign w:val="bottom"/>
          </w:tcPr>
          <w:p>
            <w:pPr>
              <w:spacing w:after="0"/>
              <w:rPr>
                <w:sz w:val="1"/>
                <w:szCs w:val="1"/>
                <w:color w:val="auto"/>
              </w:rPr>
            </w:pPr>
          </w:p>
        </w:tc>
      </w:tr>
      <w:tr>
        <w:trPr>
          <w:trHeight w:val="237"/>
        </w:trPr>
        <w:tc>
          <w:tcPr>
            <w:tcW w:w="8580" w:type="dxa"/>
            <w:vAlign w:val="bottom"/>
          </w:tcPr>
          <w:p>
            <w:pPr>
              <w:ind w:left="1460"/>
              <w:spacing w:after="0"/>
              <w:rPr>
                <w:sz w:val="20"/>
                <w:szCs w:val="20"/>
                <w:color w:val="auto"/>
              </w:rPr>
            </w:pPr>
            <w:r>
              <w:rPr>
                <w:rFonts w:ascii="Arial" w:cs="Arial" w:eastAsia="Arial" w:hAnsi="Arial"/>
                <w:sz w:val="18"/>
                <w:szCs w:val="18"/>
                <w:color w:val="auto"/>
              </w:rPr>
              <w:t>Effect of exchange rate changes on cash and cash equivalents</w:t>
            </w: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1460"/>
              <w:spacing w:after="0"/>
              <w:rPr>
                <w:sz w:val="20"/>
                <w:szCs w:val="20"/>
                <w:color w:val="auto"/>
              </w:rPr>
            </w:pPr>
            <w:r>
              <w:rPr>
                <w:rFonts w:ascii="Arial" w:cs="Arial" w:eastAsia="Arial" w:hAnsi="Arial"/>
                <w:sz w:val="18"/>
                <w:szCs w:val="18"/>
                <w:b w:val="1"/>
                <w:bCs w:val="1"/>
                <w:color w:val="auto"/>
              </w:rPr>
              <w:t>Increase (decrease) in cash and cash equivalents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1,877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(2,297)</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Cash and cash equivalents at beginning of period</w:t>
            </w: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18,391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16,105</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Cash and cash equivalents at end of period</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20,268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13,808</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58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5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Contractual obligations for acquisition of intangibles and business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580" w:type="dxa"/>
            <w:vAlign w:val="bottom"/>
          </w:tcPr>
          <w:p>
            <w:pPr>
              <w:ind w:left="1140"/>
              <w:spacing w:after="0"/>
              <w:rPr>
                <w:sz w:val="20"/>
                <w:szCs w:val="20"/>
                <w:color w:val="auto"/>
              </w:rPr>
            </w:pPr>
            <w:r>
              <w:rPr>
                <w:rFonts w:ascii="Arial" w:cs="Arial" w:eastAsia="Arial" w:hAnsi="Arial"/>
                <w:sz w:val="18"/>
                <w:szCs w:val="18"/>
                <w:color w:val="auto"/>
              </w:rPr>
              <w:t>Contractual obligations for acquisition of fixed assets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condensed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AngioDynamics,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STATEMENT OF STOCKHOLDERS’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share data)</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20" w:type="dxa"/>
            <w:vAlign w:val="bottom"/>
          </w:tcPr>
          <w:p>
            <w:pPr>
              <w:spacing w:after="0"/>
              <w:rPr>
                <w:sz w:val="14"/>
                <w:szCs w:val="14"/>
                <w:color w:val="auto"/>
              </w:rPr>
            </w:pPr>
          </w:p>
        </w:tc>
        <w:tc>
          <w:tcPr>
            <w:tcW w:w="1620" w:type="dxa"/>
            <w:vAlign w:val="bottom"/>
            <w:gridSpan w:val="3"/>
            <w:vMerge w:val="restart"/>
          </w:tcPr>
          <w:p>
            <w:pPr>
              <w:jc w:val="right"/>
              <w:ind w:right="16"/>
              <w:spacing w:after="0"/>
              <w:rPr>
                <w:sz w:val="20"/>
                <w:szCs w:val="20"/>
                <w:color w:val="auto"/>
              </w:rPr>
            </w:pPr>
            <w:r>
              <w:rPr>
                <w:rFonts w:ascii="Arial" w:cs="Arial" w:eastAsia="Arial" w:hAnsi="Arial"/>
                <w:sz w:val="14"/>
                <w:szCs w:val="14"/>
                <w:color w:val="auto"/>
              </w:rPr>
              <w:t>Common Stock</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vMerge w:val="restart"/>
          </w:tcPr>
          <w:p>
            <w:pPr>
              <w:jc w:val="center"/>
              <w:ind w:right="260"/>
              <w:spacing w:after="0"/>
              <w:rPr>
                <w:sz w:val="20"/>
                <w:szCs w:val="20"/>
                <w:color w:val="auto"/>
              </w:rPr>
            </w:pPr>
            <w:r>
              <w:rPr>
                <w:rFonts w:ascii="Arial" w:cs="Arial" w:eastAsia="Arial" w:hAnsi="Arial"/>
                <w:sz w:val="14"/>
                <w:szCs w:val="14"/>
                <w:color w:val="auto"/>
              </w:rPr>
              <w:t>Additional</w:t>
            </w: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color w:val="auto"/>
                <w:w w:val="96"/>
              </w:rPr>
              <w:t>Accumulated</w:t>
            </w:r>
          </w:p>
        </w:tc>
        <w:tc>
          <w:tcPr>
            <w:tcW w:w="2040" w:type="dxa"/>
            <w:vAlign w:val="bottom"/>
            <w:gridSpan w:val="5"/>
            <w:vMerge w:val="restart"/>
          </w:tcPr>
          <w:p>
            <w:pPr>
              <w:ind w:left="540"/>
              <w:spacing w:after="0"/>
              <w:rPr>
                <w:sz w:val="20"/>
                <w:szCs w:val="20"/>
                <w:color w:val="auto"/>
              </w:rPr>
            </w:pPr>
            <w:r>
              <w:rPr>
                <w:rFonts w:ascii="Arial" w:cs="Arial" w:eastAsia="Arial" w:hAnsi="Arial"/>
                <w:sz w:val="14"/>
                <w:szCs w:val="14"/>
                <w:color w:val="auto"/>
              </w:rPr>
              <w:t>Treasury Stock</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520" w:type="dxa"/>
            <w:vAlign w:val="bottom"/>
          </w:tcPr>
          <w:p>
            <w:pPr>
              <w:spacing w:after="0"/>
              <w:rPr>
                <w:sz w:val="12"/>
                <w:szCs w:val="12"/>
                <w:color w:val="auto"/>
              </w:rPr>
            </w:pPr>
          </w:p>
        </w:tc>
        <w:tc>
          <w:tcPr>
            <w:tcW w:w="1620" w:type="dxa"/>
            <w:vAlign w:val="bottom"/>
            <w:gridSpan w:val="3"/>
            <w:vMerge w:val="continue"/>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2"/>
          </w:tcPr>
          <w:p>
            <w:pPr>
              <w:ind w:left="60"/>
              <w:spacing w:after="0" w:line="141" w:lineRule="exact"/>
              <w:rPr>
                <w:sz w:val="20"/>
                <w:szCs w:val="20"/>
                <w:color w:val="auto"/>
              </w:rPr>
            </w:pPr>
            <w:r>
              <w:rPr>
                <w:rFonts w:ascii="Arial" w:cs="Arial" w:eastAsia="Arial" w:hAnsi="Arial"/>
                <w:sz w:val="14"/>
                <w:szCs w:val="14"/>
                <w:color w:val="auto"/>
              </w:rPr>
              <w:t>Retained</w:t>
            </w:r>
          </w:p>
        </w:tc>
        <w:tc>
          <w:tcPr>
            <w:tcW w:w="160" w:type="dxa"/>
            <w:vAlign w:val="bottom"/>
          </w:tcPr>
          <w:p>
            <w:pPr>
              <w:spacing w:after="0"/>
              <w:rPr>
                <w:sz w:val="12"/>
                <w:szCs w:val="12"/>
                <w:color w:val="auto"/>
              </w:rPr>
            </w:pPr>
          </w:p>
        </w:tc>
        <w:tc>
          <w:tcPr>
            <w:tcW w:w="1200" w:type="dxa"/>
            <w:vAlign w:val="bottom"/>
            <w:gridSpan w:val="2"/>
          </w:tcPr>
          <w:p>
            <w:pPr>
              <w:jc w:val="center"/>
              <w:ind w:right="260"/>
              <w:spacing w:after="0" w:line="141" w:lineRule="exact"/>
              <w:rPr>
                <w:sz w:val="20"/>
                <w:szCs w:val="20"/>
                <w:color w:val="auto"/>
              </w:rPr>
            </w:pPr>
            <w:r>
              <w:rPr>
                <w:rFonts w:ascii="Arial" w:cs="Arial" w:eastAsia="Arial" w:hAnsi="Arial"/>
                <w:sz w:val="14"/>
                <w:szCs w:val="14"/>
                <w:color w:val="auto"/>
                <w:w w:val="93"/>
              </w:rPr>
              <w:t>other</w:t>
            </w:r>
          </w:p>
        </w:tc>
        <w:tc>
          <w:tcPr>
            <w:tcW w:w="2040" w:type="dxa"/>
            <w:vAlign w:val="bottom"/>
            <w:gridSpan w:val="5"/>
            <w:vMerge w:val="continue"/>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9"/>
        </w:trPr>
        <w:tc>
          <w:tcPr>
            <w:tcW w:w="2520" w:type="dxa"/>
            <w:vAlign w:val="bottom"/>
          </w:tcPr>
          <w:p>
            <w:pPr>
              <w:spacing w:after="0"/>
              <w:rPr>
                <w:sz w:val="4"/>
                <w:szCs w:val="4"/>
                <w:color w:val="auto"/>
              </w:rPr>
            </w:pPr>
          </w:p>
        </w:tc>
        <w:tc>
          <w:tcPr>
            <w:tcW w:w="126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48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960" w:type="dxa"/>
            <w:vAlign w:val="bottom"/>
            <w:gridSpan w:val="2"/>
          </w:tcPr>
          <w:p>
            <w:pPr>
              <w:jc w:val="center"/>
              <w:ind w:right="260"/>
              <w:spacing w:after="0" w:line="49" w:lineRule="exact"/>
              <w:rPr>
                <w:sz w:val="20"/>
                <w:szCs w:val="20"/>
                <w:color w:val="auto"/>
              </w:rPr>
            </w:pPr>
            <w:r>
              <w:rPr>
                <w:rFonts w:ascii="Arial" w:cs="Arial" w:eastAsia="Arial" w:hAnsi="Arial"/>
                <w:sz w:val="5"/>
                <w:szCs w:val="5"/>
                <w:color w:val="auto"/>
              </w:rPr>
              <w:t>paid in</w:t>
            </w:r>
          </w:p>
        </w:tc>
        <w:tc>
          <w:tcPr>
            <w:tcW w:w="200" w:type="dxa"/>
            <w:vAlign w:val="bottom"/>
          </w:tcPr>
          <w:p>
            <w:pPr>
              <w:spacing w:after="0"/>
              <w:rPr>
                <w:sz w:val="4"/>
                <w:szCs w:val="4"/>
                <w:color w:val="auto"/>
              </w:rPr>
            </w:pPr>
          </w:p>
        </w:tc>
        <w:tc>
          <w:tcPr>
            <w:tcW w:w="940" w:type="dxa"/>
            <w:vAlign w:val="bottom"/>
            <w:gridSpan w:val="2"/>
            <w:vMerge w:val="restart"/>
          </w:tcPr>
          <w:p>
            <w:pPr>
              <w:ind w:left="80"/>
              <w:spacing w:after="0" w:line="130" w:lineRule="exact"/>
              <w:rPr>
                <w:sz w:val="20"/>
                <w:szCs w:val="20"/>
                <w:color w:val="auto"/>
              </w:rPr>
            </w:pPr>
            <w:r>
              <w:rPr>
                <w:rFonts w:ascii="Arial" w:cs="Arial" w:eastAsia="Arial" w:hAnsi="Arial"/>
                <w:sz w:val="14"/>
                <w:szCs w:val="14"/>
                <w:color w:val="auto"/>
              </w:rPr>
              <w:t>earnings</w:t>
            </w:r>
          </w:p>
        </w:tc>
        <w:tc>
          <w:tcPr>
            <w:tcW w:w="160" w:type="dxa"/>
            <w:vAlign w:val="bottom"/>
          </w:tcPr>
          <w:p>
            <w:pPr>
              <w:spacing w:after="0"/>
              <w:rPr>
                <w:sz w:val="4"/>
                <w:szCs w:val="4"/>
                <w:color w:val="auto"/>
              </w:rPr>
            </w:pPr>
          </w:p>
        </w:tc>
        <w:tc>
          <w:tcPr>
            <w:tcW w:w="1200" w:type="dxa"/>
            <w:vAlign w:val="bottom"/>
            <w:gridSpan w:val="2"/>
            <w:vMerge w:val="restart"/>
          </w:tcPr>
          <w:p>
            <w:pPr>
              <w:jc w:val="center"/>
              <w:ind w:right="260"/>
              <w:spacing w:after="0" w:line="130" w:lineRule="exact"/>
              <w:rPr>
                <w:sz w:val="20"/>
                <w:szCs w:val="20"/>
                <w:color w:val="auto"/>
              </w:rPr>
            </w:pPr>
            <w:r>
              <w:rPr>
                <w:rFonts w:ascii="Arial" w:cs="Arial" w:eastAsia="Arial" w:hAnsi="Arial"/>
                <w:sz w:val="14"/>
                <w:szCs w:val="14"/>
                <w:color w:val="auto"/>
                <w:w w:val="90"/>
              </w:rPr>
              <w:t>comprehensive</w:t>
            </w:r>
          </w:p>
        </w:tc>
        <w:tc>
          <w:tcPr>
            <w:tcW w:w="102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66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1"/>
        </w:trPr>
        <w:tc>
          <w:tcPr>
            <w:tcW w:w="25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960" w:type="dxa"/>
            <w:vAlign w:val="bottom"/>
            <w:gridSpan w:val="2"/>
            <w:vMerge w:val="restart"/>
          </w:tcPr>
          <w:p>
            <w:pPr>
              <w:jc w:val="center"/>
              <w:ind w:right="260"/>
              <w:spacing w:after="0"/>
              <w:rPr>
                <w:sz w:val="20"/>
                <w:szCs w:val="20"/>
                <w:color w:val="auto"/>
              </w:rPr>
            </w:pPr>
            <w:r>
              <w:rPr>
                <w:rFonts w:ascii="Arial" w:cs="Arial" w:eastAsia="Arial" w:hAnsi="Arial"/>
                <w:sz w:val="14"/>
                <w:szCs w:val="14"/>
                <w:color w:val="auto"/>
                <w:w w:val="93"/>
              </w:rPr>
              <w:t>capital</w:t>
            </w:r>
          </w:p>
        </w:tc>
        <w:tc>
          <w:tcPr>
            <w:tcW w:w="200" w:type="dxa"/>
            <w:vAlign w:val="bottom"/>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2520" w:type="dxa"/>
            <w:vAlign w:val="bottom"/>
          </w:tcPr>
          <w:p>
            <w:pPr>
              <w:spacing w:after="0"/>
              <w:rPr>
                <w:sz w:val="8"/>
                <w:szCs w:val="8"/>
                <w:color w:val="auto"/>
              </w:rPr>
            </w:pPr>
          </w:p>
        </w:tc>
        <w:tc>
          <w:tcPr>
            <w:tcW w:w="1400" w:type="dxa"/>
            <w:vAlign w:val="bottom"/>
            <w:gridSpan w:val="2"/>
            <w:vMerge w:val="restart"/>
          </w:tcPr>
          <w:p>
            <w:pPr>
              <w:ind w:left="440"/>
              <w:spacing w:after="0"/>
              <w:rPr>
                <w:sz w:val="20"/>
                <w:szCs w:val="20"/>
                <w:color w:val="auto"/>
              </w:rPr>
            </w:pPr>
            <w:r>
              <w:rPr>
                <w:rFonts w:ascii="Arial" w:cs="Arial" w:eastAsia="Arial" w:hAnsi="Arial"/>
                <w:sz w:val="14"/>
                <w:szCs w:val="14"/>
                <w:color w:val="auto"/>
              </w:rPr>
              <w:t>Shares</w:t>
            </w:r>
          </w:p>
        </w:tc>
        <w:tc>
          <w:tcPr>
            <w:tcW w:w="820" w:type="dxa"/>
            <w:vAlign w:val="bottom"/>
            <w:gridSpan w:val="3"/>
            <w:vMerge w:val="restart"/>
          </w:tcPr>
          <w:p>
            <w:pPr>
              <w:ind w:left="120"/>
              <w:spacing w:after="0"/>
              <w:rPr>
                <w:sz w:val="20"/>
                <w:szCs w:val="20"/>
                <w:color w:val="auto"/>
              </w:rPr>
            </w:pPr>
            <w:r>
              <w:rPr>
                <w:rFonts w:ascii="Arial" w:cs="Arial" w:eastAsia="Arial" w:hAnsi="Arial"/>
                <w:sz w:val="14"/>
                <w:szCs w:val="14"/>
                <w:color w:val="auto"/>
              </w:rPr>
              <w:t>Amount</w:t>
            </w:r>
          </w:p>
        </w:tc>
        <w:tc>
          <w:tcPr>
            <w:tcW w:w="160" w:type="dxa"/>
            <w:vAlign w:val="bottom"/>
          </w:tcPr>
          <w:p>
            <w:pPr>
              <w:spacing w:after="0"/>
              <w:rPr>
                <w:sz w:val="8"/>
                <w:szCs w:val="8"/>
                <w:color w:val="auto"/>
              </w:rPr>
            </w:pPr>
          </w:p>
        </w:tc>
        <w:tc>
          <w:tcPr>
            <w:tcW w:w="9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0" w:type="dxa"/>
            <w:vAlign w:val="bottom"/>
            <w:gridSpan w:val="2"/>
            <w:vMerge w:val="restart"/>
          </w:tcPr>
          <w:p>
            <w:pPr>
              <w:jc w:val="center"/>
              <w:ind w:right="260"/>
              <w:spacing w:after="0"/>
              <w:rPr>
                <w:sz w:val="20"/>
                <w:szCs w:val="20"/>
                <w:color w:val="auto"/>
              </w:rPr>
            </w:pPr>
            <w:r>
              <w:rPr>
                <w:rFonts w:ascii="Arial" w:cs="Arial" w:eastAsia="Arial" w:hAnsi="Arial"/>
                <w:sz w:val="14"/>
                <w:szCs w:val="14"/>
                <w:color w:val="auto"/>
                <w:w w:val="88"/>
              </w:rPr>
              <w:t>loss</w:t>
            </w:r>
          </w:p>
        </w:tc>
        <w:tc>
          <w:tcPr>
            <w:tcW w:w="1120" w:type="dxa"/>
            <w:vAlign w:val="bottom"/>
            <w:gridSpan w:val="2"/>
            <w:vMerge w:val="restart"/>
          </w:tcPr>
          <w:p>
            <w:pPr>
              <w:ind w:left="320"/>
              <w:spacing w:after="0"/>
              <w:rPr>
                <w:sz w:val="20"/>
                <w:szCs w:val="20"/>
                <w:color w:val="auto"/>
              </w:rPr>
            </w:pPr>
            <w:r>
              <w:rPr>
                <w:rFonts w:ascii="Arial" w:cs="Arial" w:eastAsia="Arial" w:hAnsi="Arial"/>
                <w:sz w:val="14"/>
                <w:szCs w:val="14"/>
                <w:color w:val="auto"/>
              </w:rPr>
              <w:t>Shares</w:t>
            </w:r>
          </w:p>
        </w:tc>
        <w:tc>
          <w:tcPr>
            <w:tcW w:w="140" w:type="dxa"/>
            <w:vAlign w:val="bottom"/>
          </w:tcPr>
          <w:p>
            <w:pPr>
              <w:spacing w:after="0"/>
              <w:rPr>
                <w:sz w:val="8"/>
                <w:szCs w:val="8"/>
                <w:color w:val="auto"/>
              </w:rPr>
            </w:pPr>
          </w:p>
        </w:tc>
        <w:tc>
          <w:tcPr>
            <w:tcW w:w="780" w:type="dxa"/>
            <w:vAlign w:val="bottom"/>
            <w:gridSpan w:val="2"/>
            <w:vMerge w:val="restart"/>
          </w:tcPr>
          <w:p>
            <w:pPr>
              <w:ind w:left="40"/>
              <w:spacing w:after="0"/>
              <w:rPr>
                <w:sz w:val="20"/>
                <w:szCs w:val="20"/>
                <w:color w:val="auto"/>
              </w:rPr>
            </w:pPr>
            <w:r>
              <w:rPr>
                <w:rFonts w:ascii="Arial" w:cs="Arial" w:eastAsia="Arial" w:hAnsi="Arial"/>
                <w:sz w:val="14"/>
                <w:szCs w:val="14"/>
                <w:color w:val="auto"/>
              </w:rPr>
              <w:t>Amount</w:t>
            </w:r>
          </w:p>
        </w:tc>
        <w:tc>
          <w:tcPr>
            <w:tcW w:w="220" w:type="dxa"/>
            <w:vAlign w:val="bottom"/>
          </w:tcPr>
          <w:p>
            <w:pPr>
              <w:spacing w:after="0"/>
              <w:rPr>
                <w:sz w:val="8"/>
                <w:szCs w:val="8"/>
                <w:color w:val="auto"/>
              </w:rPr>
            </w:pPr>
          </w:p>
        </w:tc>
        <w:tc>
          <w:tcPr>
            <w:tcW w:w="800" w:type="dxa"/>
            <w:vAlign w:val="bottom"/>
            <w:vMerge w:val="restart"/>
          </w:tcPr>
          <w:p>
            <w:pPr>
              <w:jc w:val="right"/>
              <w:ind w:right="272"/>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87"/>
        </w:trPr>
        <w:tc>
          <w:tcPr>
            <w:tcW w:w="2520" w:type="dxa"/>
            <w:vAlign w:val="bottom"/>
          </w:tcPr>
          <w:p>
            <w:pPr>
              <w:spacing w:after="0"/>
              <w:rPr>
                <w:sz w:val="7"/>
                <w:szCs w:val="7"/>
                <w:color w:val="auto"/>
              </w:rPr>
            </w:pPr>
          </w:p>
        </w:tc>
        <w:tc>
          <w:tcPr>
            <w:tcW w:w="1400" w:type="dxa"/>
            <w:vAlign w:val="bottom"/>
            <w:gridSpan w:val="2"/>
            <w:vMerge w:val="continue"/>
          </w:tcPr>
          <w:p>
            <w:pPr>
              <w:spacing w:after="0"/>
              <w:rPr>
                <w:sz w:val="7"/>
                <w:szCs w:val="7"/>
                <w:color w:val="auto"/>
              </w:rPr>
            </w:pPr>
          </w:p>
        </w:tc>
        <w:tc>
          <w:tcPr>
            <w:tcW w:w="820" w:type="dxa"/>
            <w:vAlign w:val="bottom"/>
            <w:gridSpan w:val="3"/>
            <w:vMerge w:val="continue"/>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25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May 31, 2015</w:t>
            </w:r>
          </w:p>
        </w:tc>
        <w:tc>
          <w:tcPr>
            <w:tcW w:w="126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36,043,725</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520,101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28,233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(142,305)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545,022</w:t>
            </w:r>
          </w:p>
        </w:tc>
        <w:tc>
          <w:tcPr>
            <w:tcW w:w="0" w:type="dxa"/>
            <w:vAlign w:val="bottom"/>
          </w:tcPr>
          <w:p>
            <w:pPr>
              <w:spacing w:after="0"/>
              <w:rPr>
                <w:sz w:val="1"/>
                <w:szCs w:val="1"/>
                <w:color w:val="auto"/>
              </w:rPr>
            </w:pPr>
          </w:p>
        </w:tc>
      </w:tr>
      <w:tr>
        <w:trPr>
          <w:trHeight w:val="243"/>
        </w:trPr>
        <w:tc>
          <w:tcPr>
            <w:tcW w:w="252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1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(757)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(757)</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 of stock options</w:t>
            </w: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52,578</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792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793</w:t>
            </w:r>
          </w:p>
        </w:tc>
        <w:tc>
          <w:tcPr>
            <w:tcW w:w="0" w:type="dxa"/>
            <w:vAlign w:val="bottom"/>
          </w:tcPr>
          <w:p>
            <w:pPr>
              <w:spacing w:after="0"/>
              <w:rPr>
                <w:sz w:val="1"/>
                <w:szCs w:val="1"/>
                <w:color w:val="auto"/>
              </w:rPr>
            </w:pPr>
          </w:p>
        </w:tc>
      </w:tr>
      <w:tr>
        <w:trPr>
          <w:trHeight w:val="229"/>
        </w:trPr>
        <w:tc>
          <w:tcPr>
            <w:tcW w:w="2520" w:type="dxa"/>
            <w:vAlign w:val="bottom"/>
          </w:tcPr>
          <w:p>
            <w:pPr>
              <w:ind w:left="40"/>
              <w:spacing w:after="0"/>
              <w:rPr>
                <w:sz w:val="20"/>
                <w:szCs w:val="20"/>
                <w:color w:val="auto"/>
              </w:rPr>
            </w:pPr>
            <w:r>
              <w:rPr>
                <w:rFonts w:ascii="Arial" w:cs="Arial" w:eastAsia="Arial" w:hAnsi="Arial"/>
                <w:sz w:val="18"/>
                <w:szCs w:val="18"/>
                <w:color w:val="auto"/>
                <w:w w:val="91"/>
              </w:rPr>
              <w:t>Purchase of common stock under</w:t>
            </w:r>
          </w:p>
        </w:tc>
        <w:tc>
          <w:tcPr>
            <w:tcW w:w="1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20" w:type="dxa"/>
            <w:vAlign w:val="bottom"/>
          </w:tcPr>
          <w:p>
            <w:pPr>
              <w:ind w:left="40"/>
              <w:spacing w:after="0"/>
              <w:rPr>
                <w:sz w:val="20"/>
                <w:szCs w:val="20"/>
                <w:color w:val="auto"/>
              </w:rPr>
            </w:pPr>
            <w:r>
              <w:rPr>
                <w:rFonts w:ascii="Arial" w:cs="Arial" w:eastAsia="Arial" w:hAnsi="Arial"/>
                <w:sz w:val="18"/>
                <w:szCs w:val="18"/>
                <w:color w:val="auto"/>
              </w:rPr>
              <w:t>ESPP</w:t>
            </w:r>
          </w:p>
        </w:tc>
        <w:tc>
          <w:tcPr>
            <w:tcW w:w="1260" w:type="dxa"/>
            <w:vAlign w:val="bottom"/>
          </w:tcPr>
          <w:p>
            <w:pPr>
              <w:jc w:val="right"/>
              <w:ind w:right="35"/>
              <w:spacing w:after="0"/>
              <w:rPr>
                <w:sz w:val="20"/>
                <w:szCs w:val="20"/>
                <w:color w:val="auto"/>
              </w:rPr>
            </w:pPr>
            <w:r>
              <w:rPr>
                <w:rFonts w:ascii="Arial" w:cs="Arial" w:eastAsia="Arial" w:hAnsi="Arial"/>
                <w:sz w:val="18"/>
                <w:szCs w:val="18"/>
                <w:color w:val="auto"/>
              </w:rPr>
              <w:t>59,589</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21"/>
              <w:spacing w:after="0"/>
              <w:rPr>
                <w:sz w:val="20"/>
                <w:szCs w:val="20"/>
                <w:color w:val="auto"/>
              </w:rPr>
            </w:pPr>
            <w:r>
              <w:rPr>
                <w:rFonts w:ascii="Arial" w:cs="Arial" w:eastAsia="Arial" w:hAnsi="Arial"/>
                <w:sz w:val="18"/>
                <w:szCs w:val="18"/>
                <w:color w:val="auto"/>
              </w:rPr>
              <w:t>747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748</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5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Issuance of restricted stock units,</w:t>
            </w:r>
          </w:p>
        </w:tc>
        <w:tc>
          <w:tcPr>
            <w:tcW w:w="1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w:t>
            </w: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118,682</w:t>
            </w:r>
          </w:p>
        </w:tc>
        <w:tc>
          <w:tcPr>
            <w:tcW w:w="1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43"/>
        </w:trPr>
        <w:tc>
          <w:tcPr>
            <w:tcW w:w="2520" w:type="dxa"/>
            <w:vAlign w:val="bottom"/>
          </w:tcPr>
          <w:p>
            <w:pPr>
              <w:ind w:left="40"/>
              <w:spacing w:after="0"/>
              <w:rPr>
                <w:sz w:val="20"/>
                <w:szCs w:val="20"/>
                <w:color w:val="auto"/>
              </w:rPr>
            </w:pPr>
            <w:r>
              <w:rPr>
                <w:rFonts w:ascii="Arial" w:cs="Arial" w:eastAsia="Arial" w:hAnsi="Arial"/>
                <w:sz w:val="18"/>
                <w:szCs w:val="18"/>
                <w:color w:val="auto"/>
              </w:rPr>
              <w:t>Stock based compensation</w:t>
            </w:r>
          </w:p>
        </w:tc>
        <w:tc>
          <w:tcPr>
            <w:tcW w:w="1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21"/>
              <w:spacing w:after="0"/>
              <w:rPr>
                <w:sz w:val="20"/>
                <w:szCs w:val="20"/>
                <w:color w:val="auto"/>
              </w:rPr>
            </w:pPr>
            <w:r>
              <w:rPr>
                <w:rFonts w:ascii="Arial" w:cs="Arial" w:eastAsia="Arial" w:hAnsi="Arial"/>
                <w:sz w:val="18"/>
                <w:szCs w:val="18"/>
                <w:color w:val="auto"/>
              </w:rPr>
              <w:t>1,626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1,626</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5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Other comprehensive loss, net of</w:t>
            </w:r>
          </w:p>
        </w:tc>
        <w:tc>
          <w:tcPr>
            <w:tcW w:w="1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w:t>
            </w:r>
          </w:p>
        </w:tc>
        <w:tc>
          <w:tcPr>
            <w:tcW w:w="12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37"/>
        </w:trPr>
        <w:tc>
          <w:tcPr>
            <w:tcW w:w="2520" w:type="dxa"/>
            <w:vAlign w:val="bottom"/>
          </w:tcPr>
          <w:p>
            <w:pPr>
              <w:ind w:left="40"/>
              <w:spacing w:after="0"/>
              <w:rPr>
                <w:sz w:val="20"/>
                <w:szCs w:val="20"/>
                <w:color w:val="auto"/>
              </w:rPr>
            </w:pPr>
            <w:r>
              <w:rPr>
                <w:rFonts w:ascii="Arial" w:cs="Arial" w:eastAsia="Arial" w:hAnsi="Arial"/>
                <w:sz w:val="18"/>
                <w:szCs w:val="18"/>
                <w:color w:val="auto"/>
              </w:rPr>
              <w:t>Balance at August 31, 2015</w:t>
            </w:r>
          </w:p>
        </w:tc>
        <w:tc>
          <w:tcPr>
            <w:tcW w:w="126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36,274,574</w:t>
            </w:r>
          </w:p>
        </w:tc>
        <w:tc>
          <w:tcPr>
            <w:tcW w:w="140" w:type="dxa"/>
            <w:vAlign w:val="bottom"/>
          </w:tcPr>
          <w:p>
            <w:pPr>
              <w:spacing w:after="0"/>
              <w:rPr>
                <w:sz w:val="20"/>
                <w:szCs w:val="20"/>
                <w:color w:val="auto"/>
              </w:rPr>
            </w:pPr>
          </w:p>
        </w:tc>
        <w:tc>
          <w:tcPr>
            <w:tcW w:w="22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362</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21"/>
              <w:spacing w:after="0"/>
              <w:rPr>
                <w:sz w:val="20"/>
                <w:szCs w:val="20"/>
                <w:color w:val="auto"/>
              </w:rPr>
            </w:pPr>
            <w:r>
              <w:rPr>
                <w:rFonts w:ascii="Arial" w:cs="Arial" w:eastAsia="Arial" w:hAnsi="Arial"/>
                <w:sz w:val="18"/>
                <w:szCs w:val="18"/>
                <w:color w:val="auto"/>
              </w:rPr>
              <w:t>523,004</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27,476</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(1,615)</w:t>
            </w:r>
          </w:p>
        </w:tc>
        <w:tc>
          <w:tcPr>
            <w:tcW w:w="100" w:type="dxa"/>
            <w:vAlign w:val="bottom"/>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(142,305)</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(2,104)</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547,123</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condensed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AngioDynamics,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CONDENSED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 – CONSOLIDATED CONDENSED FINANCIAL STATEMENTS</w:t>
      </w:r>
    </w:p>
    <w:p>
      <w:pPr>
        <w:spacing w:after="0" w:line="121" w:lineRule="exact"/>
        <w:rPr>
          <w:sz w:val="20"/>
          <w:szCs w:val="20"/>
          <w:color w:val="auto"/>
        </w:rPr>
      </w:pPr>
    </w:p>
    <w:p>
      <w:pPr>
        <w:ind w:right="180" w:firstLine="432"/>
        <w:spacing w:after="0" w:line="291" w:lineRule="auto"/>
        <w:rPr>
          <w:sz w:val="20"/>
          <w:szCs w:val="20"/>
          <w:color w:val="auto"/>
        </w:rPr>
      </w:pPr>
      <w:r>
        <w:rPr>
          <w:rFonts w:ascii="Arial" w:cs="Arial" w:eastAsia="Arial" w:hAnsi="Arial"/>
          <w:sz w:val="16"/>
          <w:szCs w:val="16"/>
          <w:color w:val="auto"/>
        </w:rPr>
        <w:t>The consolidated condensed balance sheet as of August 31, 2015, the consolidated condensed statement of stockholders’ equity for the three months ended August 31, 2015 and consolidated condensed statement of cash flows, the consolidated condensed statements of income (loss) and the consolidated condensed statements of comprehensive income (loss) for the three months ended August 31, 2015 and 2014 have been prepared by us without audit. The consolidated condensed balance sheet as of May 31, 2015 was derived from audited consolidated condensed financial statements but does not include all disclosures required by accounting principles generally accepted in the United States of America. In the opinion of management, all adjustments (consisting of normal recurring adjustments) necessary to state fairly the financial position, changes in stockholders’ equity and comprehensive income, results of operations and cash flows as of and for the period ended August 31, 2015 (and for all periods presented) have been made.</w:t>
      </w:r>
    </w:p>
    <w:p>
      <w:pPr>
        <w:spacing w:after="0" w:line="167" w:lineRule="exact"/>
        <w:rPr>
          <w:sz w:val="20"/>
          <w:szCs w:val="20"/>
          <w:color w:val="auto"/>
        </w:rPr>
      </w:pPr>
    </w:p>
    <w:p>
      <w:pPr>
        <w:ind w:right="380" w:firstLine="432"/>
        <w:spacing w:after="0" w:line="264" w:lineRule="auto"/>
        <w:rPr>
          <w:sz w:val="20"/>
          <w:szCs w:val="20"/>
          <w:color w:val="auto"/>
        </w:rPr>
      </w:pPr>
      <w:r>
        <w:rPr>
          <w:rFonts w:ascii="Arial" w:cs="Arial" w:eastAsia="Arial" w:hAnsi="Arial"/>
          <w:sz w:val="18"/>
          <w:szCs w:val="18"/>
          <w:color w:val="auto"/>
        </w:rPr>
        <w:t>The unaudited interim consolidated condensed financial statements for the three months ended August 31, 2015 and August 31, 2014 include the accounts of AngioDynamics, Inc. and its wholly owned subsidiaries, collectively, the “Company”. All intercompany balances and transactions have been eliminated.</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have reclassified certain amounts in prior period financial statements to conform to the current period's presentation.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225" w:lineRule="exact"/>
        <w:rPr>
          <w:sz w:val="20"/>
          <w:szCs w:val="20"/>
          <w:color w:val="auto"/>
        </w:rPr>
      </w:pPr>
    </w:p>
    <w:p>
      <w:pPr>
        <w:ind w:right="320" w:firstLine="432"/>
        <w:spacing w:after="0" w:line="259" w:lineRule="auto"/>
        <w:rPr>
          <w:sz w:val="20"/>
          <w:szCs w:val="20"/>
          <w:color w:val="auto"/>
        </w:rPr>
      </w:pPr>
      <w:r>
        <w:rPr>
          <w:rFonts w:ascii="Arial" w:cs="Arial" w:eastAsia="Arial" w:hAnsi="Arial"/>
          <w:sz w:val="18"/>
          <w:szCs w:val="18"/>
          <w:u w:val="single" w:color="auto"/>
          <w:color w:val="auto"/>
        </w:rPr>
        <w:t>EmboMedics, Inc.</w:t>
      </w:r>
      <w:r>
        <w:rPr>
          <w:rFonts w:ascii="Arial" w:cs="Arial" w:eastAsia="Arial" w:hAnsi="Arial"/>
          <w:sz w:val="18"/>
          <w:szCs w:val="18"/>
          <w:color w:val="auto"/>
        </w:rPr>
        <w:t xml:space="preserve"> - on March 2, 2015, the Company filed a current report on form 8-K stating that it executed a non-binding letter of intent to enter into a strategic relationship with privately-held EmboMedics Inc., which develops injectable and resorbable embolic microspheres. On April 9, 2015 the Company entered into a License, Distribution, Manufacturing and Purchase Option Agreement with EmboMedics Inc., subject to certain approvals by EmboMedics shareholders.</w:t>
      </w:r>
    </w:p>
    <w:p>
      <w:pPr>
        <w:spacing w:after="0" w:line="187"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Under the terms of the agreement, which has not been finalized, AngioDynamics receives an exclusive worldwide license to market and sell, upon regulatory clearances, EmboMedics’ microsphere technology. AngioDynamics will also control manufacturing of the products. Final terms of the agreement, including the form and amount of payments, have not yet been finalized, but the Company expects the terms to include a combination of milestone payments and equity investments, up to and including an option to acquire EmboMedics.</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B – INVENTORIES</w:t>
      </w:r>
    </w:p>
    <w:p>
      <w:pPr>
        <w:spacing w:after="0" w:line="121"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Inventories are stated at lower of cost (using the first-in, first-out method) or market. As of August 31, 2015 and May 31, 2015, inventories consisted of the following:</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gridSpan w:val="2"/>
          </w:tcPr>
          <w:p>
            <w:pPr>
              <w:ind w:left="80"/>
              <w:spacing w:after="0"/>
              <w:rPr>
                <w:sz w:val="20"/>
                <w:szCs w:val="20"/>
                <w:color w:val="auto"/>
              </w:rPr>
            </w:pPr>
            <w:r>
              <w:rPr>
                <w:rFonts w:ascii="Arial" w:cs="Arial" w:eastAsia="Arial" w:hAnsi="Arial"/>
                <w:sz w:val="18"/>
                <w:szCs w:val="18"/>
                <w:color w:val="auto"/>
              </w:rPr>
              <w:t>Aug 31, 2015</w:t>
            </w:r>
          </w:p>
        </w:tc>
        <w:tc>
          <w:tcPr>
            <w:tcW w:w="180" w:type="dxa"/>
            <w:vAlign w:val="bottom"/>
          </w:tcPr>
          <w:p>
            <w:pPr>
              <w:spacing w:after="0"/>
              <w:rPr>
                <w:sz w:val="20"/>
                <w:szCs w:val="20"/>
                <w:color w:val="auto"/>
              </w:rPr>
            </w:pPr>
          </w:p>
        </w:tc>
        <w:tc>
          <w:tcPr>
            <w:tcW w:w="1300" w:type="dxa"/>
            <w:vAlign w:val="bottom"/>
          </w:tcPr>
          <w:p>
            <w:pPr>
              <w:jc w:val="right"/>
              <w:ind w:right="150"/>
              <w:spacing w:after="0"/>
              <w:rPr>
                <w:sz w:val="20"/>
                <w:szCs w:val="20"/>
                <w:color w:val="auto"/>
              </w:rPr>
            </w:pPr>
            <w:r>
              <w:rPr>
                <w:rFonts w:ascii="Arial" w:cs="Arial" w:eastAsia="Arial" w:hAnsi="Arial"/>
                <w:sz w:val="18"/>
                <w:szCs w:val="18"/>
                <w:color w:val="auto"/>
                <w:w w:val="95"/>
              </w:rPr>
              <w:t>May 31, 2015</w:t>
            </w:r>
          </w:p>
        </w:tc>
      </w:tr>
      <w:tr>
        <w:trPr>
          <w:trHeight w:val="27"/>
        </w:trPr>
        <w:tc>
          <w:tcPr>
            <w:tcW w:w="83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gridSpan w:val="4"/>
          </w:tcPr>
          <w:p>
            <w:pPr>
              <w:spacing w:after="0"/>
              <w:rPr>
                <w:sz w:val="2"/>
                <w:szCs w:val="2"/>
                <w:color w:val="auto"/>
              </w:rPr>
            </w:pPr>
          </w:p>
        </w:tc>
      </w:tr>
      <w:tr>
        <w:trPr>
          <w:trHeight w:val="244"/>
        </w:trPr>
        <w:tc>
          <w:tcPr>
            <w:tcW w:w="834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900" w:type="dxa"/>
            <w:vAlign w:val="bottom"/>
            <w:tcBorders>
              <w:bottom w:val="single" w:sz="8" w:color="auto"/>
            </w:tcBorders>
            <w:gridSpan w:val="4"/>
          </w:tcPr>
          <w:p>
            <w:pPr>
              <w:jc w:val="right"/>
              <w:ind w:right="1030"/>
              <w:spacing w:after="0"/>
              <w:rPr>
                <w:sz w:val="20"/>
                <w:szCs w:val="20"/>
                <w:color w:val="auto"/>
              </w:rPr>
            </w:pPr>
            <w:r>
              <w:rPr>
                <w:rFonts w:ascii="Arial" w:cs="Arial" w:eastAsia="Arial" w:hAnsi="Arial"/>
                <w:sz w:val="14"/>
                <w:szCs w:val="14"/>
                <w:color w:val="auto"/>
              </w:rPr>
              <w:t>(in thousands)</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31,873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28,040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Work in process</w:t>
            </w:r>
          </w:p>
        </w:tc>
        <w:tc>
          <w:tcPr>
            <w:tcW w:w="18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11,253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11,910</w:t>
            </w: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31,201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27,438</w:t>
            </w: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74,327</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67,388</w:t>
            </w:r>
          </w:p>
        </w:tc>
      </w:tr>
      <w:tr>
        <w:trPr>
          <w:trHeight w:val="27"/>
        </w:trPr>
        <w:tc>
          <w:tcPr>
            <w:tcW w:w="83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increase during the quarter ended August 31, 2015 is primarily related to an in process manufacturing and distribution facilities consolidation, as part of the Company's Operational Excellence Program.</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 – GOODWILL AND INTANGIBLE ASSETS</w:t>
      </w:r>
    </w:p>
    <w:p>
      <w:pPr>
        <w:spacing w:after="0" w:line="121"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Intangible assets other than goodwill and indefinite lived intangible assets are amortized over their estimated useful lives, which range between two and fifteen years, on either a straight-line basis or proportionately to the benefit being realized. We periodically review the estimated useful lives of our intangible assets and review such assets for impairment, based on estimated future cash flows, whenever events or changes in circumstances indicate that the carrying value of the assets may not</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be recoverable. If an intangible asset is considered to be impaired, the amount of the impairment will equal the excess of the carrying value over the fair value of the asset.</w:t>
      </w:r>
    </w:p>
    <w:p>
      <w:pPr>
        <w:spacing w:after="0" w:line="170"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Goodwill and intangible assets that have indefinite useful lives are not amortized, but rather, are tested for impairment annually or more frequently if impairment indicators arise. Goodwill represents the excess of the purchase price over the fair value of the net tangible and identifiable intangible assets acquired in each business combination. Goodwill and intangible assets have been recorded at either incurred or allocated costs based on respective fair market values at the date of acquisition.</w:t>
      </w:r>
    </w:p>
    <w:p>
      <w:pPr>
        <w:spacing w:after="0" w:line="187" w:lineRule="exact"/>
        <w:rPr>
          <w:sz w:val="20"/>
          <w:szCs w:val="20"/>
          <w:color w:val="auto"/>
        </w:rPr>
      </w:pPr>
    </w:p>
    <w:p>
      <w:pPr>
        <w:ind w:right="200" w:firstLine="432"/>
        <w:spacing w:after="0" w:line="259" w:lineRule="auto"/>
        <w:rPr>
          <w:sz w:val="20"/>
          <w:szCs w:val="20"/>
          <w:color w:val="auto"/>
        </w:rPr>
      </w:pPr>
      <w:r>
        <w:rPr>
          <w:rFonts w:ascii="Arial" w:cs="Arial" w:eastAsia="Arial" w:hAnsi="Arial"/>
          <w:sz w:val="18"/>
          <w:szCs w:val="18"/>
          <w:color w:val="auto"/>
        </w:rPr>
        <w:t>For goodwill, the impairment test requires a comparison of the estimated fair value, based on future cash flows, of the reporting unit to which the goodwill is assigned to the sum of the carrying value of the assets and liabilities of that unit. If the sum of the carrying value of the assets and liabilities of a reporting unit exceeds the fair value of the reporting unit, the carrying value of the reporting unit’s goodwill is reduced to its implied fair value through an adjustment to the goodwill balance, resulting in an impairment charge.</w:t>
      </w:r>
    </w:p>
    <w:p>
      <w:pPr>
        <w:spacing w:after="0" w:line="187"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We consider our business to be a single operating segment entity, and a single reporting unit - the development, manufacture and sale on a global basis of medical devices for vascular access, peripheral vascular disease, oncology and surgery.</w:t>
      </w:r>
    </w:p>
    <w:p>
      <w:pPr>
        <w:spacing w:after="0" w:line="170" w:lineRule="exact"/>
        <w:rPr>
          <w:sz w:val="20"/>
          <w:szCs w:val="20"/>
          <w:color w:val="auto"/>
        </w:rPr>
      </w:pPr>
    </w:p>
    <w:p>
      <w:pPr>
        <w:ind w:right="860" w:firstLine="432"/>
        <w:spacing w:after="0" w:line="277" w:lineRule="auto"/>
        <w:rPr>
          <w:sz w:val="20"/>
          <w:szCs w:val="20"/>
          <w:color w:val="auto"/>
        </w:rPr>
      </w:pPr>
      <w:r>
        <w:rPr>
          <w:rFonts w:ascii="Arial" w:cs="Arial" w:eastAsia="Arial" w:hAnsi="Arial"/>
          <w:sz w:val="18"/>
          <w:szCs w:val="18"/>
          <w:color w:val="auto"/>
        </w:rPr>
        <w:t>We test our goodwill balances during the third quarter of each year for impairment, or more frequently if indicators are present or changes in circumstances suggest that an impairment may exist.</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There were no adjustments to goodwill for the three months ended August 31, 2015.</w:t>
      </w:r>
    </w:p>
    <w:p>
      <w:pPr>
        <w:spacing w:after="0" w:line="23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August 31, 2015 and May 31, 2015, intangible assets consisted of the following:</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6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850"/>
              <w:spacing w:after="0"/>
              <w:rPr>
                <w:sz w:val="20"/>
                <w:szCs w:val="20"/>
                <w:color w:val="auto"/>
              </w:rPr>
            </w:pPr>
            <w:r>
              <w:rPr>
                <w:rFonts w:ascii="Arial" w:cs="Arial" w:eastAsia="Arial" w:hAnsi="Arial"/>
                <w:sz w:val="14"/>
                <w:szCs w:val="14"/>
                <w:color w:val="auto"/>
              </w:rPr>
              <w:t>August 31, 2015</w:t>
            </w: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r>
      <w:tr>
        <w:trPr>
          <w:trHeight w:val="228"/>
        </w:trPr>
        <w:tc>
          <w:tcPr>
            <w:tcW w:w="5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8"/>
                <w:szCs w:val="18"/>
                <w:color w:val="auto"/>
                <w:w w:val="87"/>
              </w:rPr>
              <w:t>Gross</w:t>
            </w: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Weighted</w:t>
            </w:r>
          </w:p>
        </w:tc>
      </w:tr>
      <w:tr>
        <w:trPr>
          <w:trHeight w:val="216"/>
        </w:trPr>
        <w:tc>
          <w:tcPr>
            <w:tcW w:w="5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8"/>
                <w:szCs w:val="18"/>
                <w:color w:val="auto"/>
                <w:w w:val="93"/>
              </w:rPr>
              <w:t>carrying</w:t>
            </w:r>
          </w:p>
        </w:tc>
        <w:tc>
          <w:tcPr>
            <w:tcW w:w="16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Accumulated</w:t>
            </w:r>
          </w:p>
        </w:tc>
        <w:tc>
          <w:tcPr>
            <w:tcW w:w="180" w:type="dxa"/>
            <w:vAlign w:val="bottom"/>
          </w:tcPr>
          <w:p>
            <w:pPr>
              <w:spacing w:after="0"/>
              <w:rPr>
                <w:sz w:val="18"/>
                <w:szCs w:val="18"/>
                <w:color w:val="auto"/>
              </w:rPr>
            </w:pPr>
          </w:p>
        </w:tc>
        <w:tc>
          <w:tcPr>
            <w:tcW w:w="1180" w:type="dxa"/>
            <w:vAlign w:val="bottom"/>
          </w:tcPr>
          <w:p>
            <w:pPr>
              <w:jc w:val="center"/>
              <w:ind w:right="70"/>
              <w:spacing w:after="0"/>
              <w:rPr>
                <w:sz w:val="20"/>
                <w:szCs w:val="20"/>
                <w:color w:val="auto"/>
              </w:rPr>
            </w:pPr>
            <w:r>
              <w:rPr>
                <w:rFonts w:ascii="Arial" w:cs="Arial" w:eastAsia="Arial" w:hAnsi="Arial"/>
                <w:sz w:val="18"/>
                <w:szCs w:val="18"/>
                <w:color w:val="auto"/>
                <w:w w:val="92"/>
              </w:rPr>
              <w:t>Net carrying</w:t>
            </w: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2"/>
              </w:rPr>
              <w:t>avg useful</w:t>
            </w:r>
          </w:p>
        </w:tc>
      </w:tr>
      <w:tr>
        <w:trPr>
          <w:trHeight w:val="230"/>
        </w:trPr>
        <w:tc>
          <w:tcPr>
            <w:tcW w:w="5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8"/>
                <w:szCs w:val="18"/>
                <w:color w:val="auto"/>
                <w:w w:val="88"/>
              </w:rPr>
              <w:t>value</w:t>
            </w:r>
          </w:p>
        </w:tc>
        <w:tc>
          <w:tcPr>
            <w:tcW w:w="160" w:type="dxa"/>
            <w:vAlign w:val="bottom"/>
          </w:tcPr>
          <w:p>
            <w:pPr>
              <w:spacing w:after="0"/>
              <w:rPr>
                <w:sz w:val="20"/>
                <w:szCs w:val="20"/>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amortization</w:t>
            </w:r>
          </w:p>
        </w:tc>
        <w:tc>
          <w:tcPr>
            <w:tcW w:w="180" w:type="dxa"/>
            <w:vAlign w:val="bottom"/>
          </w:tcPr>
          <w:p>
            <w:pPr>
              <w:spacing w:after="0"/>
              <w:rPr>
                <w:sz w:val="20"/>
                <w:szCs w:val="20"/>
                <w:color w:val="auto"/>
              </w:rPr>
            </w:pPr>
          </w:p>
        </w:tc>
        <w:tc>
          <w:tcPr>
            <w:tcW w:w="1180" w:type="dxa"/>
            <w:vAlign w:val="bottom"/>
          </w:tcPr>
          <w:p>
            <w:pPr>
              <w:jc w:val="center"/>
              <w:ind w:right="70"/>
              <w:spacing w:after="0"/>
              <w:rPr>
                <w:sz w:val="20"/>
                <w:szCs w:val="20"/>
                <w:color w:val="auto"/>
              </w:rPr>
            </w:pPr>
            <w:r>
              <w:rPr>
                <w:rFonts w:ascii="Arial" w:cs="Arial" w:eastAsia="Arial" w:hAnsi="Arial"/>
                <w:sz w:val="18"/>
                <w:szCs w:val="18"/>
                <w:color w:val="auto"/>
                <w:w w:val="88"/>
              </w:rPr>
              <w:t>value</w:t>
            </w:r>
          </w:p>
        </w:tc>
        <w:tc>
          <w:tcPr>
            <w:tcW w:w="12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rPr>
              <w:t>life</w:t>
            </w:r>
          </w:p>
        </w:tc>
      </w:tr>
      <w:tr>
        <w:trPr>
          <w:trHeight w:val="27"/>
        </w:trPr>
        <w:tc>
          <w:tcPr>
            <w:tcW w:w="56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5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color w:val="auto"/>
                <w:w w:val="92"/>
              </w:rPr>
              <w:t>(in thousands)</w:t>
            </w: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w w:val="91"/>
              </w:rPr>
              <w:t>(years)</w:t>
            </w: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 technologies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148,776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(43,868)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104,908</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10.2</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Customer relationships</w:t>
            </w:r>
          </w:p>
        </w:tc>
        <w:tc>
          <w:tcPr>
            <w:tcW w:w="2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86,393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(43,886)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42,507</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12.0</w:t>
            </w: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Trademarks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28,545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(3,963)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24,582</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10.7</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In process R&amp;D acquired</w:t>
            </w:r>
          </w:p>
        </w:tc>
        <w:tc>
          <w:tcPr>
            <w:tcW w:w="2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3,600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3,600</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Indefinite</w:t>
            </w: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Licenses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7,913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1,802</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8.3</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Distributor relationships</w:t>
            </w:r>
          </w:p>
        </w:tc>
        <w:tc>
          <w:tcPr>
            <w:tcW w:w="2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3.0</w:t>
            </w:r>
          </w:p>
        </w:tc>
      </w:tr>
      <w:tr>
        <w:trPr>
          <w:trHeight w:val="27"/>
        </w:trPr>
        <w:tc>
          <w:tcPr>
            <w:tcW w:w="5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r>
      <w:tr>
        <w:trPr>
          <w:trHeight w:val="269"/>
        </w:trPr>
        <w:tc>
          <w:tcPr>
            <w:tcW w:w="56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276,127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(98,728)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177,399</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r>
      <w:tr>
        <w:trPr>
          <w:trHeight w:val="812"/>
        </w:trPr>
        <w:tc>
          <w:tcPr>
            <w:tcW w:w="56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4"/>
          </w:tcPr>
          <w:p>
            <w:pPr>
              <w:jc w:val="right"/>
              <w:ind w:right="910"/>
              <w:spacing w:after="0"/>
              <w:rPr>
                <w:sz w:val="20"/>
                <w:szCs w:val="20"/>
                <w:color w:val="auto"/>
              </w:rPr>
            </w:pPr>
            <w:r>
              <w:rPr>
                <w:rFonts w:ascii="Arial" w:cs="Arial" w:eastAsia="Arial" w:hAnsi="Arial"/>
                <w:sz w:val="14"/>
                <w:szCs w:val="14"/>
                <w:color w:val="auto"/>
              </w:rPr>
              <w:t>May 31, 2015</w:t>
            </w: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r>
      <w:tr>
        <w:trPr>
          <w:trHeight w:val="228"/>
        </w:trPr>
        <w:tc>
          <w:tcPr>
            <w:tcW w:w="5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8"/>
                <w:szCs w:val="18"/>
                <w:color w:val="auto"/>
                <w:w w:val="87"/>
              </w:rPr>
              <w:t>Gross</w:t>
            </w: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Weighted</w:t>
            </w:r>
          </w:p>
        </w:tc>
      </w:tr>
      <w:tr>
        <w:trPr>
          <w:trHeight w:val="216"/>
        </w:trPr>
        <w:tc>
          <w:tcPr>
            <w:tcW w:w="5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8"/>
                <w:szCs w:val="18"/>
                <w:color w:val="auto"/>
                <w:w w:val="93"/>
              </w:rPr>
              <w:t>carrying</w:t>
            </w:r>
          </w:p>
        </w:tc>
        <w:tc>
          <w:tcPr>
            <w:tcW w:w="16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Accumulated</w:t>
            </w:r>
          </w:p>
        </w:tc>
        <w:tc>
          <w:tcPr>
            <w:tcW w:w="180" w:type="dxa"/>
            <w:vAlign w:val="bottom"/>
          </w:tcPr>
          <w:p>
            <w:pPr>
              <w:spacing w:after="0"/>
              <w:rPr>
                <w:sz w:val="18"/>
                <w:szCs w:val="18"/>
                <w:color w:val="auto"/>
              </w:rPr>
            </w:pPr>
          </w:p>
        </w:tc>
        <w:tc>
          <w:tcPr>
            <w:tcW w:w="1180" w:type="dxa"/>
            <w:vAlign w:val="bottom"/>
          </w:tcPr>
          <w:p>
            <w:pPr>
              <w:jc w:val="center"/>
              <w:ind w:right="70"/>
              <w:spacing w:after="0"/>
              <w:rPr>
                <w:sz w:val="20"/>
                <w:szCs w:val="20"/>
                <w:color w:val="auto"/>
              </w:rPr>
            </w:pPr>
            <w:r>
              <w:rPr>
                <w:rFonts w:ascii="Arial" w:cs="Arial" w:eastAsia="Arial" w:hAnsi="Arial"/>
                <w:sz w:val="18"/>
                <w:szCs w:val="18"/>
                <w:color w:val="auto"/>
                <w:w w:val="92"/>
              </w:rPr>
              <w:t>Net carrying</w:t>
            </w: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2"/>
              </w:rPr>
              <w:t>avg useful</w:t>
            </w:r>
          </w:p>
        </w:tc>
      </w:tr>
      <w:tr>
        <w:trPr>
          <w:trHeight w:val="230"/>
        </w:trPr>
        <w:tc>
          <w:tcPr>
            <w:tcW w:w="5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8"/>
                <w:szCs w:val="18"/>
                <w:color w:val="auto"/>
                <w:w w:val="88"/>
              </w:rPr>
              <w:t>value</w:t>
            </w:r>
          </w:p>
        </w:tc>
        <w:tc>
          <w:tcPr>
            <w:tcW w:w="160" w:type="dxa"/>
            <w:vAlign w:val="bottom"/>
          </w:tcPr>
          <w:p>
            <w:pPr>
              <w:spacing w:after="0"/>
              <w:rPr>
                <w:sz w:val="20"/>
                <w:szCs w:val="20"/>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amortization</w:t>
            </w:r>
          </w:p>
        </w:tc>
        <w:tc>
          <w:tcPr>
            <w:tcW w:w="180" w:type="dxa"/>
            <w:vAlign w:val="bottom"/>
          </w:tcPr>
          <w:p>
            <w:pPr>
              <w:spacing w:after="0"/>
              <w:rPr>
                <w:sz w:val="20"/>
                <w:szCs w:val="20"/>
                <w:color w:val="auto"/>
              </w:rPr>
            </w:pPr>
          </w:p>
        </w:tc>
        <w:tc>
          <w:tcPr>
            <w:tcW w:w="1180" w:type="dxa"/>
            <w:vAlign w:val="bottom"/>
          </w:tcPr>
          <w:p>
            <w:pPr>
              <w:jc w:val="center"/>
              <w:ind w:right="70"/>
              <w:spacing w:after="0"/>
              <w:rPr>
                <w:sz w:val="20"/>
                <w:szCs w:val="20"/>
                <w:color w:val="auto"/>
              </w:rPr>
            </w:pPr>
            <w:r>
              <w:rPr>
                <w:rFonts w:ascii="Arial" w:cs="Arial" w:eastAsia="Arial" w:hAnsi="Arial"/>
                <w:sz w:val="18"/>
                <w:szCs w:val="18"/>
                <w:color w:val="auto"/>
                <w:w w:val="88"/>
              </w:rPr>
              <w:t>value</w:t>
            </w:r>
          </w:p>
        </w:tc>
        <w:tc>
          <w:tcPr>
            <w:tcW w:w="12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rPr>
              <w:t>life</w:t>
            </w:r>
          </w:p>
        </w:tc>
      </w:tr>
      <w:tr>
        <w:trPr>
          <w:trHeight w:val="27"/>
        </w:trPr>
        <w:tc>
          <w:tcPr>
            <w:tcW w:w="56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5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color w:val="auto"/>
                <w:w w:val="92"/>
              </w:rPr>
              <w:t>(in thousands)</w:t>
            </w: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w w:val="91"/>
              </w:rPr>
              <w:t>(years)</w:t>
            </w: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 technologies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148,776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(41,447)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107,329</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10.2</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Customer relationships</w:t>
            </w:r>
          </w:p>
        </w:tc>
        <w:tc>
          <w:tcPr>
            <w:tcW w:w="2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86,371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(42,813)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43,558</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12.0</w:t>
            </w: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Trademarks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28,545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(3,229)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25,316</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10.7</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In process R&amp;D acquired</w:t>
            </w:r>
          </w:p>
        </w:tc>
        <w:tc>
          <w:tcPr>
            <w:tcW w:w="2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3,600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3,600</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Indefinite</w:t>
            </w: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Licenses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7,913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2,003</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8.3</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Distributor relationships</w:t>
            </w:r>
          </w:p>
        </w:tc>
        <w:tc>
          <w:tcPr>
            <w:tcW w:w="2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3.0</w:t>
            </w:r>
          </w:p>
        </w:tc>
      </w:tr>
      <w:tr>
        <w:trPr>
          <w:trHeight w:val="27"/>
        </w:trPr>
        <w:tc>
          <w:tcPr>
            <w:tcW w:w="5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r>
      <w:tr>
        <w:trPr>
          <w:trHeight w:val="269"/>
        </w:trPr>
        <w:tc>
          <w:tcPr>
            <w:tcW w:w="56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276,105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(94,299)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181,806</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r>
      <w:tr>
        <w:trPr>
          <w:trHeight w:val="656"/>
        </w:trPr>
        <w:tc>
          <w:tcPr>
            <w:tcW w:w="5620" w:type="dxa"/>
            <w:vAlign w:val="bottom"/>
          </w:tcPr>
          <w:p>
            <w:pPr>
              <w:spacing w:after="0"/>
              <w:rPr>
                <w:sz w:val="24"/>
                <w:szCs w:val="24"/>
                <w:color w:val="auto"/>
              </w:rPr>
            </w:pP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9</w:t>
            </w: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D – ACCRUED LIABILITIES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August 31, 2015 and May 31, 2015, accrued liabilities consisted of the following:</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9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auto"/>
              </w:rPr>
              <w:t>Aug 31, 2015</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color w:val="auto"/>
                <w:w w:val="98"/>
              </w:rPr>
              <w:t>May 31, 2015</w:t>
            </w:r>
          </w:p>
        </w:tc>
      </w:tr>
      <w:tr>
        <w:trPr>
          <w:trHeight w:val="250"/>
        </w:trPr>
        <w:tc>
          <w:tcPr>
            <w:tcW w:w="89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360" w:type="dxa"/>
            <w:vAlign w:val="bottom"/>
            <w:tcBorders>
              <w:bottom w:val="single" w:sz="8" w:color="auto"/>
            </w:tcBorders>
            <w:gridSpan w:val="4"/>
          </w:tcPr>
          <w:p>
            <w:pPr>
              <w:jc w:val="right"/>
              <w:ind w:right="732"/>
              <w:spacing w:after="0"/>
              <w:rPr>
                <w:sz w:val="20"/>
                <w:szCs w:val="20"/>
                <w:color w:val="auto"/>
              </w:rPr>
            </w:pPr>
            <w:r>
              <w:rPr>
                <w:rFonts w:ascii="Arial" w:cs="Arial" w:eastAsia="Arial" w:hAnsi="Arial"/>
                <w:sz w:val="14"/>
                <w:szCs w:val="14"/>
                <w:color w:val="auto"/>
              </w:rPr>
              <w:t>(in thousands)</w:t>
            </w:r>
          </w:p>
        </w:tc>
      </w:tr>
      <w:tr>
        <w:trPr>
          <w:trHeight w:val="250"/>
        </w:trPr>
        <w:tc>
          <w:tcPr>
            <w:tcW w:w="8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Payroll and related expenses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7,465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10,330</w:t>
            </w:r>
          </w:p>
        </w:tc>
      </w:tr>
      <w:tr>
        <w:trPr>
          <w:trHeight w:val="243"/>
        </w:trPr>
        <w:tc>
          <w:tcPr>
            <w:tcW w:w="8920" w:type="dxa"/>
            <w:vAlign w:val="bottom"/>
          </w:tcPr>
          <w:p>
            <w:pPr>
              <w:ind w:left="40"/>
              <w:spacing w:after="0"/>
              <w:rPr>
                <w:sz w:val="20"/>
                <w:szCs w:val="20"/>
                <w:color w:val="auto"/>
              </w:rPr>
            </w:pPr>
            <w:r>
              <w:rPr>
                <w:rFonts w:ascii="Arial" w:cs="Arial" w:eastAsia="Arial" w:hAnsi="Arial"/>
                <w:sz w:val="18"/>
                <w:szCs w:val="18"/>
                <w:color w:val="auto"/>
              </w:rPr>
              <w:t>Royalties</w:t>
            </w:r>
          </w:p>
        </w:tc>
        <w:tc>
          <w:tcPr>
            <w:tcW w:w="14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2,183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2,237</w:t>
            </w:r>
          </w:p>
        </w:tc>
      </w:tr>
      <w:tr>
        <w:trPr>
          <w:trHeight w:val="27"/>
        </w:trPr>
        <w:tc>
          <w:tcPr>
            <w:tcW w:w="8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severance</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158</w:t>
            </w:r>
          </w:p>
        </w:tc>
      </w:tr>
      <w:tr>
        <w:trPr>
          <w:trHeight w:val="243"/>
        </w:trPr>
        <w:tc>
          <w:tcPr>
            <w:tcW w:w="8920" w:type="dxa"/>
            <w:vAlign w:val="bottom"/>
          </w:tcPr>
          <w:p>
            <w:pPr>
              <w:ind w:left="40"/>
              <w:spacing w:after="0"/>
              <w:rPr>
                <w:sz w:val="20"/>
                <w:szCs w:val="20"/>
                <w:color w:val="auto"/>
              </w:rPr>
            </w:pPr>
            <w:r>
              <w:rPr>
                <w:rFonts w:ascii="Arial" w:cs="Arial" w:eastAsia="Arial" w:hAnsi="Arial"/>
                <w:sz w:val="18"/>
                <w:szCs w:val="18"/>
                <w:color w:val="auto"/>
              </w:rPr>
              <w:t>Sales and franchise taxes</w:t>
            </w:r>
          </w:p>
        </w:tc>
        <w:tc>
          <w:tcPr>
            <w:tcW w:w="14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757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489</w:t>
            </w:r>
          </w:p>
        </w:tc>
      </w:tr>
      <w:tr>
        <w:trPr>
          <w:trHeight w:val="27"/>
        </w:trPr>
        <w:tc>
          <w:tcPr>
            <w:tcW w:w="8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swap liability</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257</w:t>
            </w:r>
          </w:p>
        </w:tc>
      </w:tr>
      <w:tr>
        <w:trPr>
          <w:trHeight w:val="243"/>
        </w:trPr>
        <w:tc>
          <w:tcPr>
            <w:tcW w:w="8920" w:type="dxa"/>
            <w:vAlign w:val="bottom"/>
          </w:tcPr>
          <w:p>
            <w:pPr>
              <w:ind w:left="40"/>
              <w:spacing w:after="0"/>
              <w:rPr>
                <w:sz w:val="20"/>
                <w:szCs w:val="20"/>
                <w:color w:val="auto"/>
              </w:rPr>
            </w:pPr>
            <w:r>
              <w:rPr>
                <w:rFonts w:ascii="Arial" w:cs="Arial" w:eastAsia="Arial" w:hAnsi="Arial"/>
                <w:sz w:val="18"/>
                <w:szCs w:val="18"/>
                <w:color w:val="auto"/>
              </w:rPr>
              <w:t>Outside services</w:t>
            </w:r>
          </w:p>
        </w:tc>
        <w:tc>
          <w:tcPr>
            <w:tcW w:w="14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934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1,522</w:t>
            </w:r>
          </w:p>
        </w:tc>
      </w:tr>
      <w:tr>
        <w:trPr>
          <w:trHeight w:val="27"/>
        </w:trPr>
        <w:tc>
          <w:tcPr>
            <w:tcW w:w="8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revenue</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792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558</w:t>
            </w:r>
          </w:p>
        </w:tc>
      </w:tr>
      <w:tr>
        <w:trPr>
          <w:trHeight w:val="243"/>
        </w:trPr>
        <w:tc>
          <w:tcPr>
            <w:tcW w:w="8920" w:type="dxa"/>
            <w:vAlign w:val="bottom"/>
          </w:tcPr>
          <w:p>
            <w:pPr>
              <w:ind w:left="40"/>
              <w:spacing w:after="0"/>
              <w:rPr>
                <w:sz w:val="20"/>
                <w:szCs w:val="20"/>
                <w:color w:val="auto"/>
              </w:rPr>
            </w:pPr>
            <w:r>
              <w:rPr>
                <w:rFonts w:ascii="Arial" w:cs="Arial" w:eastAsia="Arial" w:hAnsi="Arial"/>
                <w:sz w:val="18"/>
                <w:szCs w:val="18"/>
                <w:color w:val="auto"/>
              </w:rPr>
              <w:t>Deferred rent</w:t>
            </w:r>
          </w:p>
        </w:tc>
        <w:tc>
          <w:tcPr>
            <w:tcW w:w="14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808</w:t>
            </w:r>
          </w:p>
        </w:tc>
      </w:tr>
      <w:tr>
        <w:trPr>
          <w:trHeight w:val="27"/>
        </w:trPr>
        <w:tc>
          <w:tcPr>
            <w:tcW w:w="8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2,674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1,972</w:t>
            </w:r>
          </w:p>
        </w:tc>
      </w:tr>
      <w:tr>
        <w:trPr>
          <w:trHeight w:val="237"/>
        </w:trPr>
        <w:tc>
          <w:tcPr>
            <w:tcW w:w="89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15,166</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18,331</w:t>
            </w:r>
          </w:p>
        </w:tc>
      </w:tr>
      <w:tr>
        <w:trPr>
          <w:trHeight w:val="27"/>
        </w:trPr>
        <w:tc>
          <w:tcPr>
            <w:tcW w:w="89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
        </w:trPr>
        <w:tc>
          <w:tcPr>
            <w:tcW w:w="89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E – LONG TERM DEBT</w:t>
      </w:r>
    </w:p>
    <w:p>
      <w:pPr>
        <w:spacing w:after="0" w:line="121" w:lineRule="exact"/>
        <w:rPr>
          <w:sz w:val="20"/>
          <w:szCs w:val="20"/>
          <w:color w:val="auto"/>
        </w:rPr>
      </w:pPr>
    </w:p>
    <w:p>
      <w:pPr>
        <w:ind w:right="160" w:firstLine="432"/>
        <w:spacing w:after="0" w:line="286" w:lineRule="auto"/>
        <w:rPr>
          <w:sz w:val="20"/>
          <w:szCs w:val="20"/>
          <w:color w:val="auto"/>
        </w:rPr>
      </w:pPr>
      <w:r>
        <w:rPr>
          <w:rFonts w:ascii="Arial" w:cs="Arial" w:eastAsia="Arial" w:hAnsi="Arial"/>
          <w:sz w:val="17"/>
          <w:szCs w:val="17"/>
          <w:color w:val="auto"/>
        </w:rPr>
        <w:t>On September 19, 2013, we entered into a Credit Agreement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with the lenders party thereto, JPMorgan Chase Bank, N.A., as administrative agent, Bank of America, N.A. and Keybank National Association as co-syndication agents, and J.P. Morgan Securities LLC, Merrill Lynch, Pierce, Fenner &amp; Smith Incorporated and Keybank National Association as joint bookrunners and joint lead arrangers.</w:t>
      </w:r>
    </w:p>
    <w:p>
      <w:pPr>
        <w:spacing w:after="0" w:line="166" w:lineRule="exact"/>
        <w:rPr>
          <w:sz w:val="20"/>
          <w:szCs w:val="20"/>
          <w:color w:val="auto"/>
        </w:rPr>
      </w:pPr>
    </w:p>
    <w:p>
      <w:pPr>
        <w:jc w:val="both"/>
        <w:ind w:right="160" w:firstLine="432"/>
        <w:spacing w:after="0" w:line="264" w:lineRule="auto"/>
        <w:rPr>
          <w:sz w:val="20"/>
          <w:szCs w:val="20"/>
          <w:color w:val="auto"/>
        </w:rPr>
      </w:pPr>
      <w:r>
        <w:rPr>
          <w:rFonts w:ascii="Arial" w:cs="Arial" w:eastAsia="Arial" w:hAnsi="Arial"/>
          <w:sz w:val="18"/>
          <w:szCs w:val="18"/>
          <w:color w:val="auto"/>
        </w:rPr>
        <w:t>The Credit Agreement provides for a $100 million senior secured term loan facility (“</w:t>
      </w:r>
      <w:r>
        <w:rPr>
          <w:rFonts w:ascii="Arial" w:cs="Arial" w:eastAsia="Arial" w:hAnsi="Arial"/>
          <w:sz w:val="18"/>
          <w:szCs w:val="18"/>
          <w:u w:val="single" w:color="auto"/>
          <w:color w:val="auto"/>
        </w:rPr>
        <w:t>Term Loan</w:t>
      </w:r>
      <w:r>
        <w:rPr>
          <w:rFonts w:ascii="Arial" w:cs="Arial" w:eastAsia="Arial" w:hAnsi="Arial"/>
          <w:sz w:val="18"/>
          <w:szCs w:val="18"/>
          <w:color w:val="auto"/>
        </w:rPr>
        <w:t>”) and a $100 million senior secured revolving credit facility, which includes up to a $20 million sublimit for letters of credit and a $5 million sublimit for swingline loans (the “</w:t>
      </w:r>
      <w:r>
        <w:rPr>
          <w:rFonts w:ascii="Arial" w:cs="Arial" w:eastAsia="Arial" w:hAnsi="Arial"/>
          <w:sz w:val="18"/>
          <w:szCs w:val="18"/>
          <w:u w:val="single" w:color="auto"/>
          <w:color w:val="auto"/>
        </w:rPr>
        <w:t>Revolving Facility</w:t>
      </w:r>
      <w:r>
        <w:rPr>
          <w:rFonts w:ascii="Arial" w:cs="Arial" w:eastAsia="Arial" w:hAnsi="Arial"/>
          <w:sz w:val="18"/>
          <w:szCs w:val="18"/>
          <w:color w:val="auto"/>
        </w:rPr>
        <w:t>”, and together with the Term Loan, the “</w:t>
      </w:r>
      <w:r>
        <w:rPr>
          <w:rFonts w:ascii="Arial" w:cs="Arial" w:eastAsia="Arial" w:hAnsi="Arial"/>
          <w:sz w:val="18"/>
          <w:szCs w:val="18"/>
          <w:u w:val="single" w:color="auto"/>
          <w:color w:val="auto"/>
        </w:rPr>
        <w:t>Facilities</w:t>
      </w:r>
      <w:r>
        <w:rPr>
          <w:rFonts w:ascii="Arial" w:cs="Arial" w:eastAsia="Arial" w:hAnsi="Arial"/>
          <w:sz w:val="18"/>
          <w:szCs w:val="18"/>
          <w:color w:val="auto"/>
        </w:rPr>
        <w:t>”).</w:t>
      </w:r>
    </w:p>
    <w:p>
      <w:pPr>
        <w:spacing w:after="0" w:line="181" w:lineRule="exact"/>
        <w:rPr>
          <w:sz w:val="20"/>
          <w:szCs w:val="20"/>
          <w:color w:val="auto"/>
        </w:rPr>
      </w:pPr>
    </w:p>
    <w:p>
      <w:pPr>
        <w:ind w:right="240" w:firstLine="432"/>
        <w:spacing w:after="0" w:line="297" w:lineRule="auto"/>
        <w:rPr>
          <w:sz w:val="20"/>
          <w:szCs w:val="20"/>
          <w:color w:val="auto"/>
        </w:rPr>
      </w:pPr>
      <w:r>
        <w:rPr>
          <w:rFonts w:ascii="Arial" w:cs="Arial" w:eastAsia="Arial" w:hAnsi="Arial"/>
          <w:sz w:val="16"/>
          <w:szCs w:val="16"/>
          <w:color w:val="auto"/>
        </w:rPr>
        <w:t>The proceeds of the Revolving Facility may be used for general corporate purposes of AngioDynamics and its subsidiaries. The Facilities have a five year maturity. The Term Loan has a quarterly repayment schedule equal to 5%, 5%, 10%, 15% and 65% of its principal amount in years one through five. Interest on both the Term Loan and Revolving Facility are based on a base rate or Eurodollar rate plus an applicable margin which increases as our total leverage ratio increases, with the base rate and Eurodollar rate having ranges of 0.50% to 1.25% and 1.5% to 2.25% respectively. After default, the interest rate may be increased by 2.0%. The Revolving Facility will also carry a commitment fee of 0.2% to 0.35% per annum on the unused portion.</w:t>
      </w:r>
    </w:p>
    <w:p>
      <w:pPr>
        <w:spacing w:after="0" w:line="158" w:lineRule="exact"/>
        <w:rPr>
          <w:sz w:val="20"/>
          <w:szCs w:val="20"/>
          <w:color w:val="auto"/>
        </w:rPr>
      </w:pPr>
    </w:p>
    <w:p>
      <w:pPr>
        <w:jc w:val="both"/>
        <w:ind w:right="140" w:firstLine="432"/>
        <w:spacing w:after="0" w:line="264" w:lineRule="auto"/>
        <w:rPr>
          <w:sz w:val="20"/>
          <w:szCs w:val="20"/>
          <w:color w:val="auto"/>
        </w:rPr>
      </w:pPr>
      <w:r>
        <w:rPr>
          <w:rFonts w:ascii="Arial" w:cs="Arial" w:eastAsia="Arial" w:hAnsi="Arial"/>
          <w:sz w:val="18"/>
          <w:szCs w:val="18"/>
          <w:color w:val="auto"/>
        </w:rPr>
        <w:t>Our obligations under the Facilities are unconditionally guaranteed, jointly and severally, by our material direct and indirect domestic subsidiaries (the “</w:t>
      </w:r>
      <w:r>
        <w:rPr>
          <w:rFonts w:ascii="Arial" w:cs="Arial" w:eastAsia="Arial" w:hAnsi="Arial"/>
          <w:sz w:val="18"/>
          <w:szCs w:val="18"/>
          <w:u w:val="single" w:color="auto"/>
          <w:color w:val="auto"/>
        </w:rPr>
        <w:t>Guarantors</w:t>
      </w:r>
      <w:r>
        <w:rPr>
          <w:rFonts w:ascii="Arial" w:cs="Arial" w:eastAsia="Arial" w:hAnsi="Arial"/>
          <w:sz w:val="18"/>
          <w:szCs w:val="18"/>
          <w:color w:val="auto"/>
        </w:rPr>
        <w:t>”). All obligations of AngioDynamics and the Guarantors under the Facilities are secured by first priority security interests in substantially all of the assets of AngioDynamics and the Guarantors.</w:t>
      </w:r>
    </w:p>
    <w:p>
      <w:pPr>
        <w:spacing w:after="0" w:line="181"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We have entered into an interest rate swap agreement, (the “Swap Agreement”), with an initial notional amount of $100 million, to limit the effect of rising of interest rates. The Swap Agreement, which qualified for hedge accounting under authoritative guidance, was a contract to exchange floating interest rate payments for fixed interest rate payments on the outstanding balance of the loan over the life of the agreement without the exchange of the underlying notional amounts. The Swap Agreement provides for a fixed rate of 0.74% above the applicable rate provided for in the Credit Agreement. The Swap matures during 2016.</w:t>
      </w:r>
    </w:p>
    <w:p>
      <w:pPr>
        <w:spacing w:after="0" w:line="188" w:lineRule="exact"/>
        <w:rPr>
          <w:sz w:val="20"/>
          <w:szCs w:val="20"/>
          <w:color w:val="auto"/>
        </w:rPr>
      </w:pPr>
    </w:p>
    <w:p>
      <w:pPr>
        <w:ind w:right="120" w:firstLine="432"/>
        <w:spacing w:after="0" w:line="272" w:lineRule="auto"/>
        <w:rPr>
          <w:sz w:val="20"/>
          <w:szCs w:val="20"/>
          <w:color w:val="auto"/>
        </w:rPr>
      </w:pPr>
      <w:r>
        <w:rPr>
          <w:rFonts w:ascii="Arial" w:cs="Arial" w:eastAsia="Arial" w:hAnsi="Arial"/>
          <w:sz w:val="17"/>
          <w:szCs w:val="17"/>
          <w:color w:val="auto"/>
        </w:rPr>
        <w:t>On September 19, 2013, we borrowed $100 million under the Term Facility and approximately $41.4 million under the Revolving Facility to repay the Former Credit Agreement. As of August 31, 2015, $90.0 million and $46.4 million were outstanding under the Term Facility and Revolving Facility, respectively. The Credit Agreement includes customary representations, warranties and covenants, and acceleration, indemnity and events of default provisions, including, among other things, two financial covenants. The first financial covenant requires us to maintain, as of the end of each of our fiscal quarters, a ratio of consolidated adjusted EBITDA minus consolidated capital expenditures to consolidated interest expense paid or payable in cash plus scheduled principal payments in respect of indebtedness under the Credit Agreement of not less than 1.35 to 1.00. The second financial covenant requires us to maintain, as of the end of each of our fiscal quarters, a ratio of</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2" w:right="239" w:bottom="1440" w:gutter="0" w:footer="0" w:header="0"/>
        </w:sectPr>
      </w:pPr>
    </w:p>
    <w:bookmarkStart w:id="11" w:name="page12"/>
    <w:bookmarkEnd w:id="1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consolidated total indebtedness to consolidated adjusted EBITDA of not greater than 3.75 to 1.00. We were in compliance with both covenants as of August 31, 2015.</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F - INCOME TAXES</w:t>
      </w:r>
    </w:p>
    <w:p>
      <w:pPr>
        <w:spacing w:after="0" w:line="364"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The following table presents the components of income tax expense (benefit) for the three months ended August 31, 2015 and 2014 (in thousands of dollars):</w:t>
      </w:r>
    </w:p>
    <w:p>
      <w:pPr>
        <w:spacing w:after="0" w:line="180" w:lineRule="exact"/>
        <w:rPr>
          <w:sz w:val="20"/>
          <w:szCs w:val="20"/>
          <w:color w:val="auto"/>
        </w:rPr>
      </w:pPr>
    </w:p>
    <w:p>
      <w:pPr>
        <w:ind w:left="9520"/>
        <w:spacing w:after="0"/>
        <w:rPr>
          <w:sz w:val="20"/>
          <w:szCs w:val="20"/>
          <w:color w:val="auto"/>
        </w:rPr>
      </w:pPr>
      <w:r>
        <w:rPr>
          <w:rFonts w:ascii="Arial" w:cs="Arial" w:eastAsia="Arial" w:hAnsi="Arial"/>
          <w:sz w:val="14"/>
          <w:szCs w:val="14"/>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20955</wp:posOffset>
            </wp:positionV>
            <wp:extent cx="1663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103" w:lineRule="exact"/>
        <w:rPr>
          <w:sz w:val="20"/>
          <w:szCs w:val="20"/>
          <w:color w:val="auto"/>
        </w:rPr>
      </w:pPr>
    </w:p>
    <w:p>
      <w:pPr>
        <w:jc w:val="right"/>
        <w:ind w:right="280"/>
        <w:spacing w:after="0"/>
        <w:tabs>
          <w:tab w:leader="none" w:pos="760" w:val="left"/>
        </w:tabs>
        <w:rPr>
          <w:sz w:val="20"/>
          <w:szCs w:val="20"/>
          <w:color w:val="auto"/>
        </w:rPr>
      </w:pPr>
      <w:r>
        <w:rPr>
          <w:rFonts w:ascii="Arial" w:cs="Arial" w:eastAsia="Arial" w:hAnsi="Arial"/>
          <w:sz w:val="14"/>
          <w:szCs w:val="14"/>
          <w:color w:val="auto"/>
        </w:rPr>
        <w:t>Aug 31, 2015</w:t>
      </w:r>
      <w:r>
        <w:rPr>
          <w:sz w:val="20"/>
          <w:szCs w:val="20"/>
          <w:color w:val="auto"/>
        </w:rPr>
        <w:tab/>
      </w:r>
      <w:r>
        <w:rPr>
          <w:rFonts w:ascii="Arial" w:cs="Arial" w:eastAsia="Arial" w:hAnsi="Arial"/>
          <w:sz w:val="13"/>
          <w:szCs w:val="13"/>
          <w:color w:val="auto"/>
        </w:rPr>
        <w:t>Aug 31,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p>
      <w:pPr>
        <w:spacing w:after="0" w:line="64"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Income (loss) before Income Taxes</w:t>
      </w:r>
    </w:p>
    <w:p>
      <w:pPr>
        <w:spacing w:after="0" w:line="8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Less discrete book income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4"/>
          <w:szCs w:val="14"/>
          <w:color w:val="auto"/>
        </w:rPr>
        <w:t>Non-taxable portion of change in fair value of contingent consideration</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6"/>
          <w:szCs w:val="16"/>
          <w:color w:val="auto"/>
        </w:rPr>
        <w:t>Ordinary income (loss) before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2057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2057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9" w:lineRule="exact"/>
        <w:rPr>
          <w:sz w:val="20"/>
          <w:szCs w:val="20"/>
          <w:color w:val="auto"/>
        </w:rPr>
      </w:pPr>
    </w:p>
    <w:p>
      <w:pPr>
        <w:spacing w:after="0"/>
        <w:tabs>
          <w:tab w:leader="none" w:pos="740" w:val="left"/>
          <w:tab w:leader="none" w:pos="1260" w:val="left"/>
          <w:tab w:leader="none" w:pos="214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(674)</w:t>
        <w:tab/>
        <w:t>$</w:t>
      </w:r>
      <w:r>
        <w:rPr>
          <w:sz w:val="20"/>
          <w:szCs w:val="20"/>
          <w:color w:val="auto"/>
        </w:rPr>
        <w:tab/>
      </w:r>
      <w:r>
        <w:rPr>
          <w:rFonts w:ascii="Arial" w:cs="Arial" w:eastAsia="Arial" w:hAnsi="Arial"/>
          <w:sz w:val="13"/>
          <w:szCs w:val="13"/>
          <w:color w:val="auto"/>
        </w:rPr>
        <w:t>1,418</w:t>
      </w:r>
    </w:p>
    <w:p>
      <w:pPr>
        <w:spacing w:after="0" w:line="379" w:lineRule="exact"/>
        <w:rPr>
          <w:sz w:val="20"/>
          <w:szCs w:val="20"/>
          <w:color w:val="auto"/>
        </w:rPr>
      </w:pPr>
    </w:p>
    <w:p>
      <w:pPr>
        <w:jc w:val="both"/>
        <w:ind w:left="800"/>
        <w:spacing w:after="0"/>
        <w:tabs>
          <w:tab w:leader="none" w:pos="2320" w:val="left"/>
        </w:tabs>
        <w:rPr>
          <w:sz w:val="20"/>
          <w:szCs w:val="20"/>
          <w:color w:val="auto"/>
        </w:rPr>
      </w:pPr>
      <w:r>
        <w:rPr>
          <w:rFonts w:ascii="Arial" w:cs="Arial" w:eastAsia="Arial" w:hAnsi="Arial"/>
          <w:sz w:val="14"/>
          <w:szCs w:val="14"/>
          <w:color w:val="auto"/>
        </w:rPr>
        <w:t>170</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1663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89" w:lineRule="exact"/>
        <w:rPr>
          <w:sz w:val="20"/>
          <w:szCs w:val="20"/>
          <w:color w:val="auto"/>
        </w:rPr>
      </w:pPr>
    </w:p>
    <w:p>
      <w:pPr>
        <w:ind w:left="2160" w:hanging="1404"/>
        <w:spacing w:after="0"/>
        <w:tabs>
          <w:tab w:leader="none" w:pos="2160" w:val="left"/>
        </w:tabs>
        <w:numPr>
          <w:ilvl w:val="0"/>
          <w:numId w:val="3"/>
        </w:numPr>
        <w:rPr>
          <w:rFonts w:ascii="Arial" w:cs="Arial" w:eastAsia="Arial" w:hAnsi="Arial"/>
          <w:sz w:val="13"/>
          <w:szCs w:val="13"/>
          <w:color w:val="auto"/>
        </w:rPr>
      </w:pPr>
      <w:r>
        <w:rPr>
          <w:rFonts w:ascii="Arial" w:cs="Arial" w:eastAsia="Arial" w:hAnsi="Arial"/>
          <w:sz w:val="13"/>
          <w:szCs w:val="13"/>
          <w:color w:val="auto"/>
        </w:rPr>
        <w:t>1,418</w:t>
      </w:r>
    </w:p>
    <w:p>
      <w:pPr>
        <w:spacing w:after="0" w:line="200" w:lineRule="exact"/>
        <w:rPr>
          <w:sz w:val="20"/>
          <w:szCs w:val="20"/>
          <w:color w:val="auto"/>
        </w:rPr>
      </w:pPr>
    </w:p>
    <w:p>
      <w:pPr>
        <w:sectPr>
          <w:pgSz w:w="11900" w:h="16838" w:orient="portrait"/>
          <w:cols w:equalWidth="0" w:num="2">
            <w:col w:w="8100" w:space="720"/>
            <w:col w:w="2600"/>
          </w:cols>
          <w:pgMar w:left="240" w:top="121" w:right="239" w:bottom="1440" w:gutter="0" w:footer="0" w:header="0"/>
          <w:type w:val="continuous"/>
        </w:sectPr>
      </w:pP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800" w:type="dxa"/>
            <w:vAlign w:val="bottom"/>
          </w:tcPr>
          <w:p>
            <w:pPr>
              <w:ind w:left="40"/>
              <w:spacing w:after="0"/>
              <w:rPr>
                <w:sz w:val="20"/>
                <w:szCs w:val="20"/>
                <w:color w:val="auto"/>
              </w:rPr>
            </w:pPr>
            <w:r>
              <w:rPr>
                <w:rFonts w:ascii="Arial" w:cs="Arial" w:eastAsia="Arial" w:hAnsi="Arial"/>
                <w:sz w:val="16"/>
                <w:szCs w:val="16"/>
                <w:color w:val="auto"/>
                <w:w w:val="92"/>
              </w:rPr>
              <w:t>Income tax expense (benefit) based on ordinary income (loss) at estimated tax rates of 43.0% and 42.2% for the three months ended</w:t>
            </w:r>
          </w:p>
        </w:tc>
        <w:tc>
          <w:tcPr>
            <w:tcW w:w="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33"/>
        </w:trPr>
        <w:tc>
          <w:tcPr>
            <w:tcW w:w="8800" w:type="dxa"/>
            <w:vAlign w:val="bottom"/>
          </w:tcPr>
          <w:p>
            <w:pPr>
              <w:ind w:left="40"/>
              <w:spacing w:after="0"/>
              <w:rPr>
                <w:sz w:val="20"/>
                <w:szCs w:val="20"/>
                <w:color w:val="auto"/>
              </w:rPr>
            </w:pPr>
            <w:r>
              <w:rPr>
                <w:rFonts w:ascii="Arial" w:cs="Arial" w:eastAsia="Arial" w:hAnsi="Arial"/>
                <w:sz w:val="16"/>
                <w:szCs w:val="16"/>
                <w:color w:val="auto"/>
              </w:rPr>
              <w:t>August 31, 2015 and August 31, 2014, respectively</w:t>
            </w: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(363)</w:t>
            </w:r>
          </w:p>
        </w:tc>
        <w:tc>
          <w:tcPr>
            <w:tcW w:w="100" w:type="dxa"/>
            <w:vAlign w:val="bottom"/>
          </w:tcPr>
          <w:p>
            <w:pPr>
              <w:spacing w:after="0"/>
              <w:rPr>
                <w:sz w:val="20"/>
                <w:szCs w:val="20"/>
                <w:color w:val="auto"/>
              </w:rPr>
            </w:pPr>
          </w:p>
        </w:tc>
        <w:tc>
          <w:tcPr>
            <w:tcW w:w="580" w:type="dxa"/>
            <w:vAlign w:val="bottom"/>
          </w:tcPr>
          <w:p>
            <w:pPr>
              <w:jc w:val="right"/>
              <w:ind w:right="40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598</w:t>
            </w:r>
          </w:p>
        </w:tc>
      </w:tr>
      <w:tr>
        <w:trPr>
          <w:trHeight w:val="256"/>
        </w:trPr>
        <w:tc>
          <w:tcPr>
            <w:tcW w:w="8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Discrete tax expense (benefit):</w:t>
            </w:r>
          </w:p>
        </w:tc>
        <w:tc>
          <w:tcPr>
            <w:tcW w:w="44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r>
      <w:tr>
        <w:trPr>
          <w:trHeight w:val="264"/>
        </w:trPr>
        <w:tc>
          <w:tcPr>
            <w:tcW w:w="8800" w:type="dxa"/>
            <w:vAlign w:val="bottom"/>
          </w:tcPr>
          <w:p>
            <w:pPr>
              <w:ind w:left="180"/>
              <w:spacing w:after="0"/>
              <w:rPr>
                <w:sz w:val="20"/>
                <w:szCs w:val="20"/>
                <w:color w:val="auto"/>
              </w:rPr>
            </w:pPr>
            <w:r>
              <w:rPr>
                <w:rFonts w:ascii="Arial" w:cs="Arial" w:eastAsia="Arial" w:hAnsi="Arial"/>
                <w:sz w:val="16"/>
                <w:szCs w:val="16"/>
                <w:color w:val="auto"/>
              </w:rPr>
              <w:t>Adjustment for elimination of the ASC 718 APIC pool</w:t>
            </w:r>
          </w:p>
        </w:tc>
        <w:tc>
          <w:tcPr>
            <w:tcW w:w="44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471</w:t>
            </w: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354</w:t>
            </w:r>
          </w:p>
        </w:tc>
      </w:tr>
      <w:tr>
        <w:trPr>
          <w:trHeight w:val="276"/>
        </w:trPr>
        <w:tc>
          <w:tcPr>
            <w:tcW w:w="88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Adjustments to prior period tax liabilities</w:t>
            </w:r>
          </w:p>
        </w:tc>
        <w:tc>
          <w:tcPr>
            <w:tcW w:w="440" w:type="dxa"/>
            <w:vAlign w:val="bottom"/>
            <w:tcBorders>
              <w:bottom w:val="single" w:sz="8" w:color="auto"/>
            </w:tcBorders>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r>
      <w:tr>
        <w:trPr>
          <w:trHeight w:val="231"/>
        </w:trPr>
        <w:tc>
          <w:tcPr>
            <w:tcW w:w="8800" w:type="dxa"/>
            <w:vAlign w:val="bottom"/>
          </w:tcPr>
          <w:p>
            <w:pPr>
              <w:ind w:left="40"/>
              <w:spacing w:after="0"/>
              <w:rPr>
                <w:sz w:val="20"/>
                <w:szCs w:val="20"/>
                <w:color w:val="auto"/>
              </w:rPr>
            </w:pPr>
            <w:r>
              <w:rPr>
                <w:rFonts w:ascii="Arial" w:cs="Arial" w:eastAsia="Arial" w:hAnsi="Arial"/>
                <w:sz w:val="16"/>
                <w:szCs w:val="16"/>
                <w:color w:val="auto"/>
              </w:rPr>
              <w:t>Total income tax expense (benefit)</w:t>
            </w:r>
          </w:p>
        </w:tc>
        <w:tc>
          <w:tcPr>
            <w:tcW w:w="4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83</w:t>
            </w:r>
          </w:p>
        </w:tc>
        <w:tc>
          <w:tcPr>
            <w:tcW w:w="100" w:type="dxa"/>
            <w:vAlign w:val="bottom"/>
          </w:tcPr>
          <w:p>
            <w:pPr>
              <w:spacing w:after="0"/>
              <w:rPr>
                <w:sz w:val="20"/>
                <w:szCs w:val="20"/>
                <w:color w:val="auto"/>
              </w:rPr>
            </w:pPr>
          </w:p>
        </w:tc>
        <w:tc>
          <w:tcPr>
            <w:tcW w:w="5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948</w:t>
            </w:r>
          </w:p>
        </w:tc>
      </w:tr>
      <w:tr>
        <w:trPr>
          <w:trHeight w:val="20"/>
        </w:trPr>
        <w:tc>
          <w:tcPr>
            <w:tcW w:w="88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right="160" w:firstLine="324"/>
        <w:spacing w:after="0" w:line="279" w:lineRule="auto"/>
        <w:rPr>
          <w:sz w:val="20"/>
          <w:szCs w:val="20"/>
          <w:color w:val="auto"/>
        </w:rPr>
      </w:pPr>
      <w:r>
        <w:rPr>
          <w:rFonts w:ascii="Arial" w:cs="Arial" w:eastAsia="Arial" w:hAnsi="Arial"/>
          <w:sz w:val="17"/>
          <w:szCs w:val="17"/>
          <w:color w:val="auto"/>
        </w:rPr>
        <w:t>The first quarter estimated effective tax rate prior to discrete items was 43.0% in 2015, as compared to 42.2% for the same period in 2014. The tax rates are greater than the 35% US statutory tax rate in both periods primarily due to the impact of non-deductible expenses (such as the non-deductible portion of meals and entertainment, non-deductible interest on contingent payments and non-deductible stock based compensation related to employee stock purchase plan) caused by the limited ordinary income (loss) before income taxes in 2015 and 2014.</w:t>
      </w:r>
    </w:p>
    <w:p>
      <w:pPr>
        <w:spacing w:after="0" w:line="63" w:lineRule="exact"/>
        <w:rPr>
          <w:sz w:val="20"/>
          <w:szCs w:val="20"/>
          <w:color w:val="auto"/>
        </w:rPr>
      </w:pPr>
    </w:p>
    <w:p>
      <w:pPr>
        <w:jc w:val="both"/>
        <w:ind w:right="160" w:firstLine="324"/>
        <w:spacing w:after="0" w:line="312" w:lineRule="auto"/>
        <w:rPr>
          <w:sz w:val="20"/>
          <w:szCs w:val="20"/>
          <w:color w:val="auto"/>
        </w:rPr>
      </w:pPr>
      <w:r>
        <w:rPr>
          <w:rFonts w:ascii="Arial" w:cs="Arial" w:eastAsia="Arial" w:hAnsi="Arial"/>
          <w:sz w:val="16"/>
          <w:szCs w:val="16"/>
          <w:color w:val="auto"/>
        </w:rPr>
        <w:t>Our ASC 718 APIC pool was depleted during fiscal year 2014. Prior to its depletion, the APIC pool was reduced when share-based compensation cost previously recognized by us was greater than the deduction allowed for income tax purposes based on the price of our common stock on the date of exercise or vesting. Due to its depletion we recorded a discrete tax expense in the three months ended August 2015 and 2014, as noted in the above table.</w:t>
      </w:r>
    </w:p>
    <w:p>
      <w:pPr>
        <w:spacing w:after="0" w:line="39"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We have recorded a net deferred tax asset in the US of $19.4 million which includes the benefit of $148.3 million of loss carryforwards, which expire as follows: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1" w:right="239" w:bottom="1440" w:gutter="0" w:footer="0" w:header="0"/>
          <w:type w:val="continuous"/>
        </w:sectPr>
      </w:pPr>
    </w:p>
    <w:bookmarkStart w:id="12" w:name="page13"/>
    <w:bookmarkEnd w:id="1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85" w:lineRule="exact"/>
        <w:rPr>
          <w:sz w:val="20"/>
          <w:szCs w:val="20"/>
          <w:color w:val="auto"/>
        </w:rPr>
      </w:pPr>
    </w:p>
    <w:tbl>
      <w:tblPr>
        <w:tblLayout w:type="fixed"/>
        <w:tblInd w:w="3930" w:type="dxa"/>
        <w:tblCellMar>
          <w:top w:w="0" w:type="dxa"/>
          <w:left w:w="0" w:type="dxa"/>
          <w:bottom w:w="0" w:type="dxa"/>
          <w:right w:w="0" w:type="dxa"/>
        </w:tblCellMar>
      </w:tblPr>
      <w:tr>
        <w:trPr>
          <w:trHeight w:val="242"/>
        </w:trPr>
        <w:tc>
          <w:tcPr>
            <w:tcW w:w="1800" w:type="dxa"/>
            <w:vAlign w:val="bottom"/>
            <w:tcBorders>
              <w:top w:val="single" w:sz="8" w:color="auto"/>
              <w:left w:val="single" w:sz="8" w:color="auto"/>
              <w:right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640" w:type="dxa"/>
            <w:vAlign w:val="bottom"/>
            <w:tcBorders>
              <w:top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w w:val="98"/>
              </w:rPr>
              <w:t>NOL Available (in</w:t>
            </w:r>
          </w:p>
        </w:tc>
      </w:tr>
      <w:tr>
        <w:trPr>
          <w:trHeight w:val="230"/>
        </w:trPr>
        <w:tc>
          <w:tcPr>
            <w:tcW w:w="18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Expiration Date</w:t>
            </w:r>
          </w:p>
        </w:tc>
        <w:tc>
          <w:tcPr>
            <w:tcW w:w="160" w:type="dxa"/>
            <w:vAlign w:val="bottom"/>
          </w:tcPr>
          <w:p>
            <w:pPr>
              <w:spacing w:after="0"/>
              <w:rPr>
                <w:sz w:val="20"/>
                <w:szCs w:val="20"/>
                <w:color w:val="auto"/>
              </w:rPr>
            </w:pPr>
          </w:p>
        </w:tc>
        <w:tc>
          <w:tcPr>
            <w:tcW w:w="1640" w:type="dxa"/>
            <w:vAlign w:val="bottom"/>
            <w:tcBorders>
              <w:right w:val="single" w:sz="8" w:color="auto"/>
            </w:tcBorders>
          </w:tcPr>
          <w:p>
            <w:pPr>
              <w:jc w:val="right"/>
              <w:ind w:right="430"/>
              <w:spacing w:after="0"/>
              <w:rPr>
                <w:sz w:val="20"/>
                <w:szCs w:val="20"/>
                <w:color w:val="auto"/>
              </w:rPr>
            </w:pPr>
            <w:r>
              <w:rPr>
                <w:rFonts w:ascii="Arial" w:cs="Arial" w:eastAsia="Arial" w:hAnsi="Arial"/>
                <w:sz w:val="18"/>
                <w:szCs w:val="18"/>
                <w:color w:val="auto"/>
              </w:rPr>
              <w:t>thousands)</w:t>
            </w:r>
          </w:p>
        </w:tc>
      </w:tr>
      <w:tr>
        <w:trPr>
          <w:trHeight w:val="27"/>
        </w:trPr>
        <w:tc>
          <w:tcPr>
            <w:tcW w:w="1800" w:type="dxa"/>
            <w:vAlign w:val="bottom"/>
            <w:tcBorders>
              <w:left w:val="single" w:sz="8" w:color="auto"/>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r>
      <w:tr>
        <w:trPr>
          <w:trHeight w:val="269"/>
        </w:trPr>
        <w:tc>
          <w:tcPr>
            <w:tcW w:w="1800" w:type="dxa"/>
            <w:vAlign w:val="bottom"/>
            <w:tcBorders>
              <w:left w:val="single" w:sz="8" w:color="auto"/>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FY 2017</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802</w:t>
            </w:r>
          </w:p>
        </w:tc>
      </w:tr>
      <w:tr>
        <w:trPr>
          <w:trHeight w:val="237"/>
        </w:trPr>
        <w:tc>
          <w:tcPr>
            <w:tcW w:w="180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FY 2019</w:t>
            </w:r>
          </w:p>
        </w:tc>
        <w:tc>
          <w:tcPr>
            <w:tcW w:w="160" w:type="dxa"/>
            <w:vAlign w:val="bottom"/>
            <w:tcBorders>
              <w:top w:val="single" w:sz="8" w:color="auto"/>
            </w:tcBorders>
          </w:tcPr>
          <w:p>
            <w:pPr>
              <w:spacing w:after="0"/>
              <w:rPr>
                <w:sz w:val="20"/>
                <w:szCs w:val="20"/>
                <w:color w:val="auto"/>
              </w:rPr>
            </w:pPr>
          </w:p>
        </w:tc>
        <w:tc>
          <w:tcPr>
            <w:tcW w:w="164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11,898</w:t>
            </w:r>
          </w:p>
        </w:tc>
      </w:tr>
      <w:tr>
        <w:trPr>
          <w:trHeight w:val="27"/>
        </w:trPr>
        <w:tc>
          <w:tcPr>
            <w:tcW w:w="1800" w:type="dxa"/>
            <w:vAlign w:val="bottom"/>
            <w:tcBorders>
              <w:left w:val="single" w:sz="8" w:color="auto"/>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r>
      <w:tr>
        <w:trPr>
          <w:trHeight w:val="269"/>
        </w:trPr>
        <w:tc>
          <w:tcPr>
            <w:tcW w:w="1800" w:type="dxa"/>
            <w:vAlign w:val="bottom"/>
            <w:tcBorders>
              <w:left w:val="single" w:sz="8" w:color="auto"/>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FY 2020</w:t>
            </w:r>
          </w:p>
        </w:tc>
        <w:tc>
          <w:tcPr>
            <w:tcW w:w="16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8,128</w:t>
            </w:r>
          </w:p>
        </w:tc>
      </w:tr>
      <w:tr>
        <w:trPr>
          <w:trHeight w:val="237"/>
        </w:trPr>
        <w:tc>
          <w:tcPr>
            <w:tcW w:w="180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FY 2022</w:t>
            </w:r>
          </w:p>
        </w:tc>
        <w:tc>
          <w:tcPr>
            <w:tcW w:w="160" w:type="dxa"/>
            <w:vAlign w:val="bottom"/>
            <w:tcBorders>
              <w:top w:val="single" w:sz="8" w:color="auto"/>
            </w:tcBorders>
          </w:tcPr>
          <w:p>
            <w:pPr>
              <w:spacing w:after="0"/>
              <w:rPr>
                <w:sz w:val="20"/>
                <w:szCs w:val="20"/>
                <w:color w:val="auto"/>
              </w:rPr>
            </w:pPr>
          </w:p>
        </w:tc>
        <w:tc>
          <w:tcPr>
            <w:tcW w:w="164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7,526</w:t>
            </w:r>
          </w:p>
        </w:tc>
      </w:tr>
      <w:tr>
        <w:trPr>
          <w:trHeight w:val="27"/>
        </w:trPr>
        <w:tc>
          <w:tcPr>
            <w:tcW w:w="1800" w:type="dxa"/>
            <w:vAlign w:val="bottom"/>
            <w:tcBorders>
              <w:left w:val="single" w:sz="8" w:color="auto"/>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r>
      <w:tr>
        <w:trPr>
          <w:trHeight w:val="269"/>
        </w:trPr>
        <w:tc>
          <w:tcPr>
            <w:tcW w:w="1800" w:type="dxa"/>
            <w:vAlign w:val="bottom"/>
            <w:tcBorders>
              <w:left w:val="single" w:sz="8" w:color="auto"/>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FY 2023</w:t>
            </w:r>
          </w:p>
        </w:tc>
        <w:tc>
          <w:tcPr>
            <w:tcW w:w="16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2,346</w:t>
            </w:r>
          </w:p>
        </w:tc>
      </w:tr>
      <w:tr>
        <w:trPr>
          <w:trHeight w:val="237"/>
        </w:trPr>
        <w:tc>
          <w:tcPr>
            <w:tcW w:w="180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FY 2027</w:t>
            </w:r>
          </w:p>
        </w:tc>
        <w:tc>
          <w:tcPr>
            <w:tcW w:w="160" w:type="dxa"/>
            <w:vAlign w:val="bottom"/>
            <w:tcBorders>
              <w:top w:val="single" w:sz="8" w:color="auto"/>
            </w:tcBorders>
          </w:tcPr>
          <w:p>
            <w:pPr>
              <w:spacing w:after="0"/>
              <w:rPr>
                <w:sz w:val="20"/>
                <w:szCs w:val="20"/>
                <w:color w:val="auto"/>
              </w:rPr>
            </w:pPr>
          </w:p>
        </w:tc>
        <w:tc>
          <w:tcPr>
            <w:tcW w:w="164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20,167</w:t>
            </w:r>
          </w:p>
        </w:tc>
      </w:tr>
      <w:tr>
        <w:trPr>
          <w:trHeight w:val="27"/>
        </w:trPr>
        <w:tc>
          <w:tcPr>
            <w:tcW w:w="1800" w:type="dxa"/>
            <w:vAlign w:val="bottom"/>
            <w:tcBorders>
              <w:left w:val="single" w:sz="8" w:color="auto"/>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r>
      <w:tr>
        <w:trPr>
          <w:trHeight w:val="269"/>
        </w:trPr>
        <w:tc>
          <w:tcPr>
            <w:tcW w:w="1800" w:type="dxa"/>
            <w:vAlign w:val="bottom"/>
            <w:tcBorders>
              <w:left w:val="single" w:sz="8" w:color="auto"/>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FY 2028</w:t>
            </w:r>
          </w:p>
        </w:tc>
        <w:tc>
          <w:tcPr>
            <w:tcW w:w="16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22,527</w:t>
            </w:r>
          </w:p>
        </w:tc>
      </w:tr>
      <w:tr>
        <w:trPr>
          <w:trHeight w:val="237"/>
        </w:trPr>
        <w:tc>
          <w:tcPr>
            <w:tcW w:w="180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FY 2029</w:t>
            </w:r>
          </w:p>
        </w:tc>
        <w:tc>
          <w:tcPr>
            <w:tcW w:w="160" w:type="dxa"/>
            <w:vAlign w:val="bottom"/>
            <w:tcBorders>
              <w:top w:val="single" w:sz="8" w:color="auto"/>
            </w:tcBorders>
          </w:tcPr>
          <w:p>
            <w:pPr>
              <w:spacing w:after="0"/>
              <w:rPr>
                <w:sz w:val="20"/>
                <w:szCs w:val="20"/>
                <w:color w:val="auto"/>
              </w:rPr>
            </w:pPr>
          </w:p>
        </w:tc>
        <w:tc>
          <w:tcPr>
            <w:tcW w:w="164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27,684</w:t>
            </w:r>
          </w:p>
        </w:tc>
      </w:tr>
      <w:tr>
        <w:trPr>
          <w:trHeight w:val="27"/>
        </w:trPr>
        <w:tc>
          <w:tcPr>
            <w:tcW w:w="1800" w:type="dxa"/>
            <w:vAlign w:val="bottom"/>
            <w:tcBorders>
              <w:left w:val="single" w:sz="8" w:color="auto"/>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r>
      <w:tr>
        <w:trPr>
          <w:trHeight w:val="269"/>
        </w:trPr>
        <w:tc>
          <w:tcPr>
            <w:tcW w:w="1800" w:type="dxa"/>
            <w:vAlign w:val="bottom"/>
            <w:tcBorders>
              <w:left w:val="single" w:sz="8" w:color="auto"/>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FY 2030</w:t>
            </w:r>
          </w:p>
        </w:tc>
        <w:tc>
          <w:tcPr>
            <w:tcW w:w="16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28,043</w:t>
            </w:r>
          </w:p>
        </w:tc>
      </w:tr>
      <w:tr>
        <w:trPr>
          <w:trHeight w:val="237"/>
        </w:trPr>
        <w:tc>
          <w:tcPr>
            <w:tcW w:w="180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FY 2031</w:t>
            </w:r>
          </w:p>
        </w:tc>
        <w:tc>
          <w:tcPr>
            <w:tcW w:w="160" w:type="dxa"/>
            <w:vAlign w:val="bottom"/>
            <w:tcBorders>
              <w:top w:val="single" w:sz="8" w:color="auto"/>
            </w:tcBorders>
          </w:tcPr>
          <w:p>
            <w:pPr>
              <w:spacing w:after="0"/>
              <w:rPr>
                <w:sz w:val="20"/>
                <w:szCs w:val="20"/>
                <w:color w:val="auto"/>
              </w:rPr>
            </w:pPr>
          </w:p>
        </w:tc>
        <w:tc>
          <w:tcPr>
            <w:tcW w:w="164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5,647</w:t>
            </w:r>
          </w:p>
        </w:tc>
      </w:tr>
      <w:tr>
        <w:trPr>
          <w:trHeight w:val="27"/>
        </w:trPr>
        <w:tc>
          <w:tcPr>
            <w:tcW w:w="1800" w:type="dxa"/>
            <w:vAlign w:val="bottom"/>
            <w:tcBorders>
              <w:left w:val="single" w:sz="8" w:color="auto"/>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r>
      <w:tr>
        <w:trPr>
          <w:trHeight w:val="269"/>
        </w:trPr>
        <w:tc>
          <w:tcPr>
            <w:tcW w:w="1800" w:type="dxa"/>
            <w:vAlign w:val="bottom"/>
            <w:tcBorders>
              <w:left w:val="single" w:sz="8" w:color="auto"/>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FY 2032</w:t>
            </w:r>
          </w:p>
        </w:tc>
        <w:tc>
          <w:tcPr>
            <w:tcW w:w="16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w:t>
            </w:r>
          </w:p>
        </w:tc>
      </w:tr>
      <w:tr>
        <w:trPr>
          <w:trHeight w:val="237"/>
        </w:trPr>
        <w:tc>
          <w:tcPr>
            <w:tcW w:w="180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FY 2033</w:t>
            </w:r>
          </w:p>
        </w:tc>
        <w:tc>
          <w:tcPr>
            <w:tcW w:w="160" w:type="dxa"/>
            <w:vAlign w:val="bottom"/>
            <w:tcBorders>
              <w:top w:val="single" w:sz="8" w:color="auto"/>
            </w:tcBorders>
          </w:tcPr>
          <w:p>
            <w:pPr>
              <w:spacing w:after="0"/>
              <w:rPr>
                <w:sz w:val="20"/>
                <w:szCs w:val="20"/>
                <w:color w:val="auto"/>
              </w:rPr>
            </w:pPr>
          </w:p>
        </w:tc>
        <w:tc>
          <w:tcPr>
            <w:tcW w:w="164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1,345</w:t>
            </w:r>
          </w:p>
        </w:tc>
      </w:tr>
      <w:tr>
        <w:trPr>
          <w:trHeight w:val="27"/>
        </w:trPr>
        <w:tc>
          <w:tcPr>
            <w:tcW w:w="1800" w:type="dxa"/>
            <w:vAlign w:val="bottom"/>
            <w:tcBorders>
              <w:left w:val="single" w:sz="8" w:color="auto"/>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r>
      <w:tr>
        <w:trPr>
          <w:trHeight w:val="269"/>
        </w:trPr>
        <w:tc>
          <w:tcPr>
            <w:tcW w:w="1800" w:type="dxa"/>
            <w:vAlign w:val="bottom"/>
            <w:tcBorders>
              <w:left w:val="single" w:sz="8" w:color="auto"/>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FY 2034</w:t>
            </w:r>
          </w:p>
        </w:tc>
        <w:tc>
          <w:tcPr>
            <w:tcW w:w="16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180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FY 2035</w:t>
            </w:r>
          </w:p>
        </w:tc>
        <w:tc>
          <w:tcPr>
            <w:tcW w:w="160" w:type="dxa"/>
            <w:vAlign w:val="bottom"/>
            <w:tcBorders>
              <w:top w:val="single" w:sz="8" w:color="auto"/>
            </w:tcBorders>
          </w:tcPr>
          <w:p>
            <w:pPr>
              <w:spacing w:after="0"/>
              <w:rPr>
                <w:sz w:val="20"/>
                <w:szCs w:val="20"/>
                <w:color w:val="auto"/>
              </w:rPr>
            </w:pPr>
          </w:p>
        </w:tc>
        <w:tc>
          <w:tcPr>
            <w:tcW w:w="164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11,581</w:t>
            </w:r>
          </w:p>
        </w:tc>
      </w:tr>
      <w:tr>
        <w:trPr>
          <w:trHeight w:val="27"/>
        </w:trPr>
        <w:tc>
          <w:tcPr>
            <w:tcW w:w="1800" w:type="dxa"/>
            <w:vAlign w:val="bottom"/>
            <w:tcBorders>
              <w:left w:val="single" w:sz="8" w:color="auto"/>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r>
    </w:tbl>
    <w:p>
      <w:pPr>
        <w:spacing w:after="0" w:line="94"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The Company’s analysis of the need for a valuation allowance considered that the Company has incurred a cumulative loss in the U.S. over the three year period ending August 31, 2015. A majority of the cumulative loss has been caused by the charges associated with the product recall and discontinuance and the impairment of fixed and intangible assets recorded in the quarter end February 28, 2015, as well as restructuring and integration expenses in the period since the acquisition of Navilyst Medical in May 2012. We anticipate a return to profitability in fiscal 2016. Consideration has also been given to our history of not having Federal tax loss carryforwards expire unused, as well as the period over which the net deferred tax assets can be realized, including the expiration of our loss carryforwards and IRC Section 382 limitations.</w:t>
      </w:r>
    </w:p>
    <w:p>
      <w:pPr>
        <w:spacing w:after="0" w:line="70"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Based on our assessment, it is more likely than not that our U.S. net deferred tax asset will be realized through future taxable earnings, the reversal of existing taxable temporary differences, and tax planning strategies. Accordingly no valuation allowance has been recorded on this net asset. We will continue to assess the need for a valuation allowance in the future.</w:t>
      </w:r>
    </w:p>
    <w:p>
      <w:pPr>
        <w:spacing w:after="0" w:line="73"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If future results are less than projected in the U.S. and if tax planning alternatives do not offset those effects, a valuation allowance may be required to reduce the deferred tax asset, which could have a material impact on our results of operations in the period in which it is recorded. While the net deferred tax asset at August 31, 2015 is $19.4 million, if the Company were required to record a valuation allowance it could be $15.3 million greater than this amount due to deferred tax liabilities related to intangibles that have an indefinite reversal period.</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G - SHARE-BASED COMPENSATION</w:t>
      </w:r>
    </w:p>
    <w:p>
      <w:pPr>
        <w:spacing w:after="0" w:line="229"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We have two stock-based compensation plans that provide for the issuance of up to approximately 5.8 million shares of common stock. The 2004 Stock and Incentive Award Plan (the "2004 Plan") provides for the grant of incentive options to our employees and for the grant of non-statutory stock options, restricted stock, stock appreciation rights, performance units, performance shares and other incentive awards to our employees, directors and other service providers. We also have an employee stock purchase plan. During the year ended May 31, 2015 an additional 1,000,000 shares of our common stock were reserved for issuance under the 2004 plan.</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the quarters ended August 31, 2015 and 2014, share-based payment expense was $1.6 million and $1.4 million, respectively.</w:t>
      </w:r>
    </w:p>
    <w:p>
      <w:pPr>
        <w:spacing w:after="0" w:line="225" w:lineRule="exact"/>
        <w:rPr>
          <w:sz w:val="20"/>
          <w:szCs w:val="20"/>
          <w:color w:val="auto"/>
        </w:rPr>
      </w:pPr>
    </w:p>
    <w:p>
      <w:pPr>
        <w:ind w:right="180" w:firstLine="324"/>
        <w:spacing w:after="0" w:line="279" w:lineRule="auto"/>
        <w:rPr>
          <w:sz w:val="20"/>
          <w:szCs w:val="20"/>
          <w:color w:val="auto"/>
        </w:rPr>
      </w:pPr>
      <w:r>
        <w:rPr>
          <w:rFonts w:ascii="Arial" w:cs="Arial" w:eastAsia="Arial" w:hAnsi="Arial"/>
          <w:sz w:val="17"/>
          <w:szCs w:val="17"/>
          <w:color w:val="auto"/>
        </w:rPr>
        <w:t>In the first quarter of fiscal year 2016 and 2015, the company granted stock options and restricted stock units under the 2004 Plan to certain employees and members of the Board of Directors. Stock option awards are valued using the Black-Scholes option-pricing model and then amortized on a straight-line basis over the requisite service period of the award. Restricted stock unit awards are valued based on the closing trading value of our shares on the date of grant and then amortized on a straight-line basis over the requisite service period of the award.</w:t>
      </w:r>
    </w:p>
    <w:p>
      <w:pPr>
        <w:spacing w:after="0" w:line="171"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In the first quarter of fiscal year 2016 and 2015, the company granted performance share awards under the 2004 Plan to certain employees. The awards may be earned by achieving relative performance levels over the three year requisite service</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122" w:right="259" w:bottom="1440" w:gutter="0" w:footer="0" w:header="0"/>
        </w:sectPr>
      </w:pPr>
    </w:p>
    <w:bookmarkStart w:id="13" w:name="page14"/>
    <w:bookmarkEnd w:id="1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period. The performance criteria are based on the total shareholder return ("TSR") of the company's common stock relative to the TSR of the common stock of a pre-defined industry peer-group. The fair value of these awards are based on the closing trading value of our shares on the date of grant and use a Monte Carlo simulation model.</w:t>
      </w:r>
    </w:p>
    <w:p>
      <w:pPr>
        <w:spacing w:after="0" w:line="181" w:lineRule="exact"/>
        <w:rPr>
          <w:sz w:val="20"/>
          <w:szCs w:val="20"/>
          <w:color w:val="auto"/>
        </w:rPr>
      </w:pPr>
    </w:p>
    <w:p>
      <w:pPr>
        <w:ind w:right="160" w:firstLine="324"/>
        <w:spacing w:after="0" w:line="264" w:lineRule="auto"/>
        <w:rPr>
          <w:sz w:val="20"/>
          <w:szCs w:val="20"/>
          <w:color w:val="auto"/>
        </w:rPr>
      </w:pPr>
      <w:r>
        <w:rPr>
          <w:rFonts w:ascii="Arial" w:cs="Arial" w:eastAsia="Arial" w:hAnsi="Arial"/>
          <w:sz w:val="18"/>
          <w:szCs w:val="18"/>
          <w:color w:val="auto"/>
        </w:rPr>
        <w:t>As of August 31, 2015, there were $15.0 million of unrecognized compensation expenses related to share-based payment arrangements. These costs are expected to be recognized over a weighted-average period of approximately four years. The company has sufficient shares to satisfy expected share-based payment arrangements.</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H – EARNINGS PER SHARE</w:t>
      </w:r>
    </w:p>
    <w:p>
      <w:pPr>
        <w:spacing w:after="0" w:line="121"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Basic earnings per share are based on the weighted average number of common shares outstanding without consideration of potential common stock. In addition, diluted earnings per share include the dilutive effect of potential common stock consisting of stock options, restricted stock units and performance stock units, provided that the inclusion of such securities is not antidilutive. In periods with a net loss, stock options and restricted stock units are not included in the computation of basic loss per share as the impact would be anti-dilutive.</w:t>
      </w:r>
    </w:p>
    <w:p>
      <w:pPr>
        <w:spacing w:after="0" w:line="187" w:lineRule="exact"/>
        <w:rPr>
          <w:sz w:val="20"/>
          <w:szCs w:val="20"/>
          <w:color w:val="auto"/>
        </w:rPr>
      </w:pPr>
    </w:p>
    <w:p>
      <w:pPr>
        <w:ind w:right="760" w:firstLine="432"/>
        <w:spacing w:after="0" w:line="277" w:lineRule="auto"/>
        <w:rPr>
          <w:sz w:val="20"/>
          <w:szCs w:val="20"/>
          <w:color w:val="auto"/>
        </w:rPr>
      </w:pPr>
      <w:r>
        <w:rPr>
          <w:rFonts w:ascii="Arial" w:cs="Arial" w:eastAsia="Arial" w:hAnsi="Arial"/>
          <w:sz w:val="18"/>
          <w:szCs w:val="18"/>
          <w:color w:val="auto"/>
        </w:rPr>
        <w:t>The following table reconciles basic to diluted weighted-average shares outstanding for the three months ended August 31, 2015 and 2014 (in thousands):</w:t>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9020" w:type="dxa"/>
            <w:vAlign w:val="bottom"/>
          </w:tcPr>
          <w:p>
            <w:pPr>
              <w:spacing w:after="0"/>
              <w:rPr>
                <w:sz w:val="16"/>
                <w:szCs w:val="16"/>
                <w:color w:val="auto"/>
              </w:rPr>
            </w:pPr>
          </w:p>
        </w:tc>
        <w:tc>
          <w:tcPr>
            <w:tcW w:w="2400" w:type="dxa"/>
            <w:vAlign w:val="bottom"/>
            <w:tcBorders>
              <w:bottom w:val="single" w:sz="8" w:color="auto"/>
            </w:tcBorders>
            <w:gridSpan w:val="3"/>
          </w:tcPr>
          <w:p>
            <w:pPr>
              <w:jc w:val="right"/>
              <w:ind w:right="494"/>
              <w:spacing w:after="0"/>
              <w:rPr>
                <w:sz w:val="20"/>
                <w:szCs w:val="20"/>
                <w:color w:val="auto"/>
              </w:rPr>
            </w:pPr>
            <w:r>
              <w:rPr>
                <w:rFonts w:ascii="Arial" w:cs="Arial" w:eastAsia="Arial" w:hAnsi="Arial"/>
                <w:sz w:val="14"/>
                <w:szCs w:val="14"/>
                <w:color w:val="auto"/>
              </w:rPr>
              <w:t>Three Months Ended</w:t>
            </w:r>
          </w:p>
        </w:tc>
      </w:tr>
      <w:tr>
        <w:trPr>
          <w:trHeight w:val="250"/>
        </w:trPr>
        <w:tc>
          <w:tcPr>
            <w:tcW w:w="9020" w:type="dxa"/>
            <w:vAlign w:val="bottom"/>
          </w:tcPr>
          <w:p>
            <w:pPr>
              <w:spacing w:after="0"/>
              <w:rPr>
                <w:sz w:val="21"/>
                <w:szCs w:val="21"/>
                <w:color w:val="auto"/>
              </w:rPr>
            </w:pPr>
          </w:p>
        </w:tc>
        <w:tc>
          <w:tcPr>
            <w:tcW w:w="1260" w:type="dxa"/>
            <w:vAlign w:val="bottom"/>
            <w:gridSpan w:val="2"/>
          </w:tcPr>
          <w:p>
            <w:pPr>
              <w:ind w:left="180"/>
              <w:spacing w:after="0"/>
              <w:rPr>
                <w:sz w:val="20"/>
                <w:szCs w:val="20"/>
                <w:color w:val="auto"/>
              </w:rPr>
            </w:pPr>
            <w:r>
              <w:rPr>
                <w:rFonts w:ascii="Arial" w:cs="Arial" w:eastAsia="Arial" w:hAnsi="Arial"/>
                <w:sz w:val="14"/>
                <w:szCs w:val="14"/>
                <w:color w:val="auto"/>
              </w:rPr>
              <w:t>Aug 31, 2015</w:t>
            </w:r>
          </w:p>
        </w:tc>
        <w:tc>
          <w:tcPr>
            <w:tcW w:w="1140" w:type="dxa"/>
            <w:vAlign w:val="bottom"/>
          </w:tcPr>
          <w:p>
            <w:pPr>
              <w:jc w:val="right"/>
              <w:ind w:right="94"/>
              <w:spacing w:after="0"/>
              <w:rPr>
                <w:sz w:val="20"/>
                <w:szCs w:val="20"/>
                <w:color w:val="auto"/>
              </w:rPr>
            </w:pPr>
            <w:r>
              <w:rPr>
                <w:rFonts w:ascii="Arial" w:cs="Arial" w:eastAsia="Arial" w:hAnsi="Arial"/>
                <w:sz w:val="14"/>
                <w:szCs w:val="14"/>
                <w:color w:val="auto"/>
              </w:rPr>
              <w:t>Aug 31, 2014</w:t>
            </w:r>
          </w:p>
        </w:tc>
      </w:tr>
      <w:tr>
        <w:trPr>
          <w:trHeight w:val="250"/>
        </w:trPr>
        <w:tc>
          <w:tcPr>
            <w:tcW w:w="90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w:t>
            </w:r>
          </w:p>
        </w:tc>
        <w:tc>
          <w:tcPr>
            <w:tcW w:w="116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35,960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35,367</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Effect of dilutive securities</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518</w:t>
            </w:r>
          </w:p>
        </w:tc>
      </w:tr>
      <w:tr>
        <w:trPr>
          <w:trHeight w:val="27"/>
        </w:trPr>
        <w:tc>
          <w:tcPr>
            <w:tcW w:w="90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w:t>
            </w:r>
          </w:p>
        </w:tc>
        <w:tc>
          <w:tcPr>
            <w:tcW w:w="11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35,960</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35,885</w:t>
            </w:r>
          </w:p>
        </w:tc>
      </w:tr>
      <w:tr>
        <w:trPr>
          <w:trHeight w:val="20"/>
        </w:trPr>
        <w:tc>
          <w:tcPr>
            <w:tcW w:w="90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90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64"/>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Securities excluded as their inclusion would be anti-dilutive</w:t>
            </w:r>
          </w:p>
        </w:tc>
        <w:tc>
          <w:tcPr>
            <w:tcW w:w="11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3,241</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911</w:t>
            </w:r>
          </w:p>
        </w:tc>
      </w:tr>
      <w:tr>
        <w:trPr>
          <w:trHeight w:val="20"/>
        </w:trPr>
        <w:tc>
          <w:tcPr>
            <w:tcW w:w="90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I – SEGMENT AND GEOGRAPHIC INFORMATION</w:t>
      </w:r>
    </w:p>
    <w:p>
      <w:pPr>
        <w:spacing w:after="0" w:line="121" w:lineRule="exact"/>
        <w:rPr>
          <w:sz w:val="20"/>
          <w:szCs w:val="20"/>
          <w:color w:val="auto"/>
        </w:rPr>
      </w:pPr>
    </w:p>
    <w:p>
      <w:pPr>
        <w:ind w:right="140" w:firstLine="432"/>
        <w:spacing w:after="0" w:line="257" w:lineRule="auto"/>
        <w:rPr>
          <w:sz w:val="20"/>
          <w:szCs w:val="20"/>
          <w:color w:val="auto"/>
        </w:rPr>
      </w:pPr>
      <w:r>
        <w:rPr>
          <w:rFonts w:ascii="Arial" w:cs="Arial" w:eastAsia="Arial" w:hAnsi="Arial"/>
          <w:sz w:val="18"/>
          <w:szCs w:val="18"/>
          <w:color w:val="auto"/>
        </w:rPr>
        <w:t>We consider our business to be a single operating segment entity engaged in the development, manufacture and sale on a global basis of medical devices for vascular access, peripheral vascular disease, oncology and surgery. Our chief operating decision maker (CEO) evaluates the various global product portfolios on a net sales basis. Executives reporting to the CEO include those responsible for commercial operations, manufacturing operations, regulatory and quality and certain corporate functions. The CEO evaluates profitability, investment and cash flow metrics on a consolidated worldwide basis due to shared infrastructure and resources.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table below summarizes net sales by product category (in thousands of dollars):</w:t>
      </w:r>
    </w:p>
    <w:p>
      <w:pPr>
        <w:spacing w:after="0" w:line="248" w:lineRule="exact"/>
        <w:rPr>
          <w:sz w:val="20"/>
          <w:szCs w:val="20"/>
          <w:color w:val="auto"/>
        </w:rPr>
      </w:pPr>
    </w:p>
    <w:p>
      <w:pPr>
        <w:ind w:left="9640"/>
        <w:spacing w:after="0"/>
        <w:rPr>
          <w:sz w:val="20"/>
          <w:szCs w:val="20"/>
          <w:color w:val="auto"/>
        </w:rPr>
      </w:pPr>
      <w:r>
        <w:rPr>
          <w:rFonts w:ascii="Arial" w:cs="Arial" w:eastAsia="Arial" w:hAnsi="Arial"/>
          <w:sz w:val="14"/>
          <w:szCs w:val="14"/>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5734050</wp:posOffset>
            </wp:positionH>
            <wp:positionV relativeFrom="paragraph">
              <wp:posOffset>20955</wp:posOffset>
            </wp:positionV>
            <wp:extent cx="15176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9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color w:val="auto"/>
              </w:rPr>
              <w:t>Aug 31, 2015</w:t>
            </w:r>
          </w:p>
        </w:tc>
        <w:tc>
          <w:tcPr>
            <w:tcW w:w="160" w:type="dxa"/>
            <w:vAlign w:val="bottom"/>
          </w:tcPr>
          <w:p>
            <w:pPr>
              <w:spacing w:after="0"/>
              <w:rPr>
                <w:sz w:val="16"/>
                <w:szCs w:val="16"/>
                <w:color w:val="auto"/>
              </w:rPr>
            </w:pPr>
          </w:p>
        </w:tc>
        <w:tc>
          <w:tcPr>
            <w:tcW w:w="980" w:type="dxa"/>
            <w:vAlign w:val="bottom"/>
          </w:tcPr>
          <w:p>
            <w:pPr>
              <w:jc w:val="right"/>
              <w:ind w:right="93"/>
              <w:spacing w:after="0"/>
              <w:rPr>
                <w:sz w:val="20"/>
                <w:szCs w:val="20"/>
                <w:color w:val="auto"/>
              </w:rPr>
            </w:pPr>
            <w:r>
              <w:rPr>
                <w:rFonts w:ascii="Arial" w:cs="Arial" w:eastAsia="Arial" w:hAnsi="Arial"/>
                <w:sz w:val="14"/>
                <w:szCs w:val="14"/>
                <w:color w:val="auto"/>
                <w:w w:val="93"/>
              </w:rPr>
              <w:t>Aug 31, 2014</w:t>
            </w:r>
          </w:p>
        </w:tc>
      </w:tr>
      <w:tr>
        <w:trPr>
          <w:trHeight w:val="250"/>
        </w:trPr>
        <w:tc>
          <w:tcPr>
            <w:tcW w:w="90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9020" w:type="dxa"/>
            <w:vAlign w:val="bottom"/>
          </w:tcPr>
          <w:p>
            <w:pPr>
              <w:ind w:left="380"/>
              <w:spacing w:after="0"/>
              <w:rPr>
                <w:sz w:val="20"/>
                <w:szCs w:val="20"/>
                <w:color w:val="auto"/>
              </w:rPr>
            </w:pPr>
            <w:r>
              <w:rPr>
                <w:rFonts w:ascii="Arial" w:cs="Arial" w:eastAsia="Arial" w:hAnsi="Arial"/>
                <w:sz w:val="18"/>
                <w:szCs w:val="18"/>
                <w:color w:val="auto"/>
              </w:rPr>
              <w:t>Peripheral Vascular</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47,105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47,266</w:t>
            </w:r>
          </w:p>
        </w:tc>
      </w:tr>
      <w:tr>
        <w:trPr>
          <w:trHeight w:val="27"/>
        </w:trPr>
        <w:tc>
          <w:tcPr>
            <w:tcW w:w="9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Vascular Access</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24,646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26,512</w:t>
            </w:r>
          </w:p>
        </w:tc>
      </w:tr>
      <w:tr>
        <w:trPr>
          <w:trHeight w:val="243"/>
        </w:trPr>
        <w:tc>
          <w:tcPr>
            <w:tcW w:w="9020" w:type="dxa"/>
            <w:vAlign w:val="bottom"/>
          </w:tcPr>
          <w:p>
            <w:pPr>
              <w:ind w:left="380"/>
              <w:spacing w:after="0"/>
              <w:rPr>
                <w:sz w:val="20"/>
                <w:szCs w:val="20"/>
                <w:color w:val="auto"/>
              </w:rPr>
            </w:pPr>
            <w:r>
              <w:rPr>
                <w:rFonts w:ascii="Arial" w:cs="Arial" w:eastAsia="Arial" w:hAnsi="Arial"/>
                <w:sz w:val="18"/>
                <w:szCs w:val="18"/>
                <w:color w:val="auto"/>
              </w:rPr>
              <w:t>Oncology/Surgery</w:t>
            </w:r>
          </w:p>
        </w:tc>
        <w:tc>
          <w:tcPr>
            <w:tcW w:w="16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11,284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12,370</w:t>
            </w:r>
          </w:p>
        </w:tc>
      </w:tr>
      <w:tr>
        <w:trPr>
          <w:trHeight w:val="27"/>
        </w:trPr>
        <w:tc>
          <w:tcPr>
            <w:tcW w:w="9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9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Supply Agreement</w:t>
            </w: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668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1,183</w:t>
            </w:r>
          </w:p>
        </w:tc>
      </w:tr>
      <w:tr>
        <w:trPr>
          <w:trHeight w:val="237"/>
        </w:trPr>
        <w:tc>
          <w:tcPr>
            <w:tcW w:w="9020" w:type="dxa"/>
            <w:vAlign w:val="bottom"/>
          </w:tcPr>
          <w:p>
            <w:pPr>
              <w:ind w:left="72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83,703</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87,331</w:t>
            </w:r>
          </w:p>
        </w:tc>
      </w:tr>
      <w:tr>
        <w:trPr>
          <w:trHeight w:val="27"/>
        </w:trPr>
        <w:tc>
          <w:tcPr>
            <w:tcW w:w="90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9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122" w:right="239" w:bottom="1440" w:gutter="0" w:footer="0" w:header="0"/>
          <w:type w:val="continuous"/>
        </w:sectPr>
      </w:pPr>
    </w:p>
    <w:bookmarkStart w:id="14" w:name="page15"/>
    <w:bookmarkEnd w:id="1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table below presents net sales by geographic area based on external customer location (in thousands of dollars):</w:t>
      </w:r>
    </w:p>
    <w:p>
      <w:pPr>
        <w:spacing w:after="0" w:line="200" w:lineRule="exact"/>
        <w:rPr>
          <w:sz w:val="20"/>
          <w:szCs w:val="20"/>
          <w:color w:val="auto"/>
        </w:rPr>
      </w:pPr>
    </w:p>
    <w:p>
      <w:pPr>
        <w:spacing w:after="0" w:line="291" w:lineRule="exact"/>
        <w:rPr>
          <w:sz w:val="20"/>
          <w:szCs w:val="20"/>
          <w:color w:val="auto"/>
        </w:rPr>
      </w:pPr>
    </w:p>
    <w:p>
      <w:pPr>
        <w:ind w:left="9640"/>
        <w:spacing w:after="0"/>
        <w:rPr>
          <w:sz w:val="20"/>
          <w:szCs w:val="20"/>
          <w:color w:val="auto"/>
        </w:rPr>
      </w:pPr>
      <w:r>
        <w:rPr>
          <w:rFonts w:ascii="Arial" w:cs="Arial" w:eastAsia="Arial" w:hAnsi="Arial"/>
          <w:sz w:val="14"/>
          <w:szCs w:val="14"/>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5734050</wp:posOffset>
            </wp:positionH>
            <wp:positionV relativeFrom="paragraph">
              <wp:posOffset>20955</wp:posOffset>
            </wp:positionV>
            <wp:extent cx="15176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9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color w:val="auto"/>
              </w:rPr>
              <w:t>Aug 31, 2015</w:t>
            </w:r>
          </w:p>
        </w:tc>
        <w:tc>
          <w:tcPr>
            <w:tcW w:w="160" w:type="dxa"/>
            <w:vAlign w:val="bottom"/>
          </w:tcPr>
          <w:p>
            <w:pPr>
              <w:spacing w:after="0"/>
              <w:rPr>
                <w:sz w:val="16"/>
                <w:szCs w:val="16"/>
                <w:color w:val="auto"/>
              </w:rPr>
            </w:pPr>
          </w:p>
        </w:tc>
        <w:tc>
          <w:tcPr>
            <w:tcW w:w="980" w:type="dxa"/>
            <w:vAlign w:val="bottom"/>
          </w:tcPr>
          <w:p>
            <w:pPr>
              <w:jc w:val="right"/>
              <w:ind w:right="94"/>
              <w:spacing w:after="0"/>
              <w:rPr>
                <w:sz w:val="20"/>
                <w:szCs w:val="20"/>
                <w:color w:val="auto"/>
              </w:rPr>
            </w:pPr>
            <w:r>
              <w:rPr>
                <w:rFonts w:ascii="Arial" w:cs="Arial" w:eastAsia="Arial" w:hAnsi="Arial"/>
                <w:sz w:val="14"/>
                <w:szCs w:val="14"/>
                <w:color w:val="auto"/>
                <w:w w:val="93"/>
              </w:rPr>
              <w:t>Aug 31, 2014</w:t>
            </w:r>
          </w:p>
        </w:tc>
      </w:tr>
      <w:tr>
        <w:trPr>
          <w:trHeight w:val="250"/>
        </w:trPr>
        <w:tc>
          <w:tcPr>
            <w:tcW w:w="90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9020" w:type="dxa"/>
            <w:vAlign w:val="bottom"/>
          </w:tcPr>
          <w:p>
            <w:pPr>
              <w:ind w:left="380"/>
              <w:spacing w:after="0"/>
              <w:rPr>
                <w:sz w:val="20"/>
                <w:szCs w:val="20"/>
                <w:color w:val="auto"/>
              </w:rPr>
            </w:pPr>
            <w:r>
              <w:rPr>
                <w:rFonts w:ascii="Arial" w:cs="Arial" w:eastAsia="Arial" w:hAnsi="Arial"/>
                <w:sz w:val="18"/>
                <w:szCs w:val="18"/>
                <w:color w:val="auto"/>
              </w:rPr>
              <w:t>United States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68,369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68,559</w:t>
            </w:r>
          </w:p>
        </w:tc>
      </w:tr>
      <w:tr>
        <w:trPr>
          <w:trHeight w:val="27"/>
        </w:trPr>
        <w:tc>
          <w:tcPr>
            <w:tcW w:w="9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International</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14,666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17,589</w:t>
            </w:r>
          </w:p>
        </w:tc>
      </w:tr>
      <w:tr>
        <w:trPr>
          <w:trHeight w:val="243"/>
        </w:trPr>
        <w:tc>
          <w:tcPr>
            <w:tcW w:w="9020" w:type="dxa"/>
            <w:vAlign w:val="bottom"/>
          </w:tcPr>
          <w:p>
            <w:pPr>
              <w:ind w:left="380"/>
              <w:spacing w:after="0"/>
              <w:rPr>
                <w:sz w:val="20"/>
                <w:szCs w:val="20"/>
                <w:color w:val="auto"/>
              </w:rPr>
            </w:pPr>
            <w:r>
              <w:rPr>
                <w:rFonts w:ascii="Arial" w:cs="Arial" w:eastAsia="Arial" w:hAnsi="Arial"/>
                <w:sz w:val="18"/>
                <w:szCs w:val="18"/>
                <w:color w:val="auto"/>
              </w:rPr>
              <w:t>Supply Agreement</w:t>
            </w:r>
          </w:p>
        </w:tc>
        <w:tc>
          <w:tcPr>
            <w:tcW w:w="160" w:type="dxa"/>
            <w:vAlign w:val="bottom"/>
          </w:tcPr>
          <w:p>
            <w:pPr>
              <w:spacing w:after="0"/>
              <w:rPr>
                <w:sz w:val="21"/>
                <w:szCs w:val="21"/>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668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1,183</w:t>
            </w:r>
          </w:p>
        </w:tc>
      </w:tr>
      <w:tr>
        <w:trPr>
          <w:trHeight w:val="27"/>
        </w:trPr>
        <w:tc>
          <w:tcPr>
            <w:tcW w:w="90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90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83,703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87,331</w:t>
            </w:r>
          </w:p>
        </w:tc>
      </w:tr>
      <w:tr>
        <w:trPr>
          <w:trHeight w:val="20"/>
        </w:trPr>
        <w:tc>
          <w:tcPr>
            <w:tcW w:w="90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J – FAIR VALUE</w:t>
      </w:r>
    </w:p>
    <w:p>
      <w:pPr>
        <w:spacing w:after="0" w:line="121" w:lineRule="exact"/>
        <w:rPr>
          <w:sz w:val="20"/>
          <w:szCs w:val="20"/>
          <w:color w:val="auto"/>
        </w:rPr>
      </w:pPr>
    </w:p>
    <w:p>
      <w:pPr>
        <w:ind w:right="180" w:firstLine="405"/>
        <w:spacing w:after="0" w:line="302" w:lineRule="auto"/>
        <w:rPr>
          <w:sz w:val="20"/>
          <w:szCs w:val="20"/>
          <w:color w:val="auto"/>
        </w:rPr>
      </w:pPr>
      <w:r>
        <w:rPr>
          <w:rFonts w:ascii="Arial" w:cs="Arial" w:eastAsia="Arial" w:hAnsi="Arial"/>
          <w:sz w:val="16"/>
          <w:szCs w:val="16"/>
          <w:color w:val="auto"/>
        </w:rPr>
        <w:t>Our financial instruments include cash and cash equivalents, accounts receivable, marketable securities, accounts payable, an interest rate swap agreement and contingent consideration. The carrying amount of cash and cash equivalents, accounts receivable, and accounts payable approximates fair value due to the immediate or short-term maturities. The marketable securities and interest rate swap agreement have been recorded at their fair value based on a valuation received from an independent third party. The contingent consideration has been recorded at fair value using the income approach.</w:t>
      </w:r>
    </w:p>
    <w:p>
      <w:pPr>
        <w:spacing w:after="0" w:line="100" w:lineRule="exact"/>
        <w:rPr>
          <w:sz w:val="20"/>
          <w:szCs w:val="20"/>
          <w:color w:val="auto"/>
        </w:rPr>
      </w:pPr>
    </w:p>
    <w:p>
      <w:pPr>
        <w:ind w:right="180" w:firstLine="432"/>
        <w:spacing w:after="0" w:line="279" w:lineRule="auto"/>
        <w:rPr>
          <w:sz w:val="20"/>
          <w:szCs w:val="20"/>
          <w:color w:val="auto"/>
        </w:rPr>
      </w:pPr>
      <w:r>
        <w:rPr>
          <w:rFonts w:ascii="Arial" w:cs="Arial" w:eastAsia="Arial" w:hAnsi="Arial"/>
          <w:sz w:val="17"/>
          <w:szCs w:val="17"/>
          <w:color w:val="auto"/>
        </w:rPr>
        <w:t>Fair value is the exchange price that would be received for an asset or paid to transfer a liability (an exit price) in the principal or most advantageous market for the asset or liability in an orderly transaction between market participants on the measurement date. This policy establishes a fair value hierarchy which requires an entity to maximize the use of observable inputs and minimize the use of unobservable inputs when measuring fair value. The policy describes three levels of inputs that may be used to measure fair value which are provided in the table below.</w:t>
      </w:r>
    </w:p>
    <w:p>
      <w:pPr>
        <w:sectPr>
          <w:pgSz w:w="11900" w:h="16838" w:orient="portrait"/>
          <w:cols w:equalWidth="0" w:num="1">
            <w:col w:w="11420"/>
          </w:cols>
          <w:pgMar w:left="240" w:top="122" w:right="239" w:bottom="1440" w:gutter="0" w:footer="0" w:header="0"/>
        </w:sectPr>
      </w:pPr>
    </w:p>
    <w:p>
      <w:pPr>
        <w:spacing w:after="0" w:line="307" w:lineRule="exact"/>
        <w:rPr>
          <w:sz w:val="20"/>
          <w:szCs w:val="20"/>
          <w:color w:val="auto"/>
        </w:rPr>
      </w:pPr>
    </w:p>
    <w:p>
      <w:pPr>
        <w:ind w:left="40"/>
        <w:spacing w:after="0"/>
        <w:rPr>
          <w:sz w:val="20"/>
          <w:szCs w:val="20"/>
          <w:color w:val="auto"/>
        </w:rPr>
      </w:pPr>
      <w:r>
        <w:rPr>
          <w:rFonts w:ascii="Arial" w:cs="Arial" w:eastAsia="Arial" w:hAnsi="Arial"/>
          <w:sz w:val="16"/>
          <w:szCs w:val="16"/>
          <w:color w:val="auto"/>
        </w:rPr>
        <w:t>Level 1</w:t>
      </w:r>
    </w:p>
    <w:p>
      <w:pPr>
        <w:spacing w:after="0" w:line="20" w:lineRule="exact"/>
        <w:rPr>
          <w:sz w:val="20"/>
          <w:szCs w:val="20"/>
          <w:color w:val="auto"/>
        </w:rPr>
      </w:pPr>
      <w:r>
        <w:rPr>
          <w:sz w:val="20"/>
          <w:szCs w:val="20"/>
          <w:color w:val="auto"/>
        </w:rPr>
        <w:br w:type="column"/>
      </w:r>
    </w:p>
    <w:p>
      <w:pPr>
        <w:spacing w:after="0" w:line="28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Quoted prices in active markets for identical assets or liabilities. Level 1 assets include money market funds that are traded in an active exchange market.</w:t>
      </w:r>
    </w:p>
    <w:p>
      <w:pPr>
        <w:spacing w:after="0" w:line="143" w:lineRule="exact"/>
        <w:rPr>
          <w:sz w:val="20"/>
          <w:szCs w:val="20"/>
          <w:color w:val="auto"/>
        </w:rPr>
      </w:pPr>
    </w:p>
    <w:p>
      <w:pPr>
        <w:sectPr>
          <w:pgSz w:w="11900" w:h="16838" w:orient="portrait"/>
          <w:cols w:equalWidth="0" w:num="2">
            <w:col w:w="700" w:space="720"/>
            <w:col w:w="10000"/>
          </w:cols>
          <w:pgMar w:left="240" w:top="122" w:right="2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Level 2</w:t>
      </w:r>
    </w:p>
    <w:p>
      <w:pPr>
        <w:spacing w:after="0" w:line="20" w:lineRule="exact"/>
        <w:rPr>
          <w:sz w:val="20"/>
          <w:szCs w:val="20"/>
          <w:color w:val="auto"/>
        </w:rPr>
      </w:pPr>
      <w:r>
        <w:rPr>
          <w:sz w:val="20"/>
          <w:szCs w:val="20"/>
          <w:color w:val="auto"/>
        </w:rPr>
        <w:br w:type="column"/>
      </w:r>
    </w:p>
    <w:p>
      <w:pPr>
        <w:ind w:right="120"/>
        <w:spacing w:after="0" w:line="270" w:lineRule="auto"/>
        <w:rPr>
          <w:sz w:val="20"/>
          <w:szCs w:val="20"/>
          <w:color w:val="auto"/>
        </w:rPr>
      </w:pPr>
      <w:r>
        <w:rPr>
          <w:rFonts w:ascii="Arial" w:cs="Arial" w:eastAsia="Arial" w:hAnsi="Arial"/>
          <w:sz w:val="17"/>
          <w:szCs w:val="17"/>
          <w:color w:val="auto"/>
        </w:rPr>
        <w:t>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 When quoted market prices are unobservable, we obtain pricing information from an independent pricing vendor. The pricing vendor uses various pricing models for each asset class that are consistent with what other market participants would use. The inputs and assumptions to the model of the pricing vendor are derived from market observable sources including: benchmark yields, reported trades, broker/dealer quotes, issuer spreads, benchmark securities, bids, offers, and other market-related data. The pricing vendor considers all available market observable inputs in determining the evaluation for a security. Thus, certain securities may not be priced using quoted prices, but rather determined from market observable information. Included in Level 2 assets is our interest rate swap agreement which is valued using a mid-market valuation model.</w:t>
      </w:r>
    </w:p>
    <w:p>
      <w:pPr>
        <w:spacing w:after="0" w:line="155" w:lineRule="exact"/>
        <w:rPr>
          <w:sz w:val="20"/>
          <w:szCs w:val="20"/>
          <w:color w:val="auto"/>
        </w:rPr>
      </w:pPr>
    </w:p>
    <w:p>
      <w:pPr>
        <w:sectPr>
          <w:pgSz w:w="11900" w:h="16838" w:orient="portrait"/>
          <w:cols w:equalWidth="0" w:num="2">
            <w:col w:w="700" w:space="720"/>
            <w:col w:w="10000"/>
          </w:cols>
          <w:pgMar w:left="240" w:top="122" w:right="2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Level 3</w:t>
      </w:r>
    </w:p>
    <w:p>
      <w:pPr>
        <w:spacing w:after="0" w:line="20" w:lineRule="exact"/>
        <w:rPr>
          <w:sz w:val="20"/>
          <w:szCs w:val="20"/>
          <w:color w:val="auto"/>
        </w:rPr>
      </w:pPr>
      <w:r>
        <w:rPr>
          <w:sz w:val="20"/>
          <w:szCs w:val="20"/>
          <w:color w:val="auto"/>
        </w:rPr>
        <w:br w:type="column"/>
      </w:r>
    </w:p>
    <w:p>
      <w:pPr>
        <w:ind w:right="80"/>
        <w:spacing w:after="0" w:line="287" w:lineRule="auto"/>
        <w:rPr>
          <w:sz w:val="20"/>
          <w:szCs w:val="20"/>
          <w:color w:val="auto"/>
        </w:rPr>
      </w:pPr>
      <w:r>
        <w:rPr>
          <w:rFonts w:ascii="Arial" w:cs="Arial" w:eastAsia="Arial" w:hAnsi="Arial"/>
          <w:sz w:val="16"/>
          <w:szCs w:val="16"/>
          <w:color w:val="auto"/>
        </w:rPr>
        <w:t>Unobservable inputs that are supported by little or no market activity and are significant to the fair value of the assets or liabilities. Level 3 assets and liabilities include financial instruments whose value is determined using pricing models, discounted cash flow methodologies, or similar techniques, as well as instruments for which the determination of fair value requires significant management judgment or estimation. This category includes the auction rate securities where independent pricing information was not able to be obtained and the contingent consideration related to the acquisition of Vortex, Microsulis and Clinical Devices. Our investments in auction-rate securities were classified as Level 3 as quoted prices were unavailable since these auction rate securities issued by New York state and local government authorities failed auction. Due to limited market information, we utilized a discounted cash flow (“DCF”) model to derive an estimate of fair value for contingent considerations for all periods presented. The assumptions used in preparing the DCF model included estimates with respect to the amount and timing of future interest and principal payments, forward projections of the interest rate benchmarks, the probability of full repayment of the principal considering the credit quality and guarantees in place, and the rate of return required by investors to own such securities given the current liquidity risk associated with auction-rate securities.</w:t>
      </w:r>
    </w:p>
    <w:p>
      <w:pPr>
        <w:spacing w:after="0" w:line="200" w:lineRule="exact"/>
        <w:rPr>
          <w:sz w:val="20"/>
          <w:szCs w:val="20"/>
          <w:color w:val="auto"/>
        </w:rPr>
      </w:pPr>
    </w:p>
    <w:p>
      <w:pPr>
        <w:sectPr>
          <w:pgSz w:w="11900" w:h="16838" w:orient="portrait"/>
          <w:cols w:equalWidth="0" w:num="2">
            <w:col w:w="700" w:space="720"/>
            <w:col w:w="10000"/>
          </w:cols>
          <w:pgMar w:left="240" w:top="122" w:right="239" w:bottom="1440" w:gutter="0" w:footer="0" w:header="0"/>
          <w:type w:val="continuous"/>
        </w:sect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122" w:right="239" w:bottom="1440" w:gutter="0" w:footer="0" w:header="0"/>
          <w:type w:val="continuous"/>
        </w:sectPr>
      </w:pPr>
    </w:p>
    <w:bookmarkStart w:id="15" w:name="page16"/>
    <w:bookmarkEnd w:id="1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tables provide information by level for assets and liabilities that are measured at fair value on a recurring basis as of August 31, 2015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May 31, 2015 (in thousands of dollars):</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520" w:type="dxa"/>
            <w:vAlign w:val="bottom"/>
            <w:gridSpan w:val="6"/>
          </w:tcPr>
          <w:p>
            <w:pPr>
              <w:ind w:left="120"/>
              <w:spacing w:after="0"/>
              <w:rPr>
                <w:sz w:val="20"/>
                <w:szCs w:val="20"/>
                <w:color w:val="auto"/>
              </w:rPr>
            </w:pPr>
            <w:r>
              <w:rPr>
                <w:rFonts w:ascii="Arial" w:cs="Arial" w:eastAsia="Arial" w:hAnsi="Arial"/>
                <w:sz w:val="18"/>
                <w:szCs w:val="18"/>
                <w:color w:val="auto"/>
                <w:w w:val="93"/>
              </w:rPr>
              <w:t>Fair Value Measurements using</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700" w:type="dxa"/>
            <w:vAlign w:val="bottom"/>
            <w:gridSpan w:val="4"/>
          </w:tcPr>
          <w:p>
            <w:pPr>
              <w:jc w:val="center"/>
              <w:ind w:right="20"/>
              <w:spacing w:after="0"/>
              <w:rPr>
                <w:sz w:val="20"/>
                <w:szCs w:val="20"/>
                <w:color w:val="auto"/>
              </w:rPr>
            </w:pPr>
            <w:r>
              <w:rPr>
                <w:rFonts w:ascii="Arial" w:cs="Arial" w:eastAsia="Arial" w:hAnsi="Arial"/>
                <w:sz w:val="18"/>
                <w:szCs w:val="18"/>
                <w:color w:val="auto"/>
                <w:w w:val="89"/>
              </w:rPr>
              <w:t>inputs considered as:</w:t>
            </w:r>
          </w:p>
        </w:tc>
        <w:tc>
          <w:tcPr>
            <w:tcW w:w="4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vMerge w:val="restart"/>
          </w:tcPr>
          <w:p>
            <w:pPr>
              <w:jc w:val="right"/>
              <w:ind w:right="130"/>
              <w:spacing w:after="0"/>
              <w:rPr>
                <w:sz w:val="20"/>
                <w:szCs w:val="20"/>
                <w:color w:val="auto"/>
              </w:rPr>
            </w:pPr>
            <w:r>
              <w:rPr>
                <w:rFonts w:ascii="Arial" w:cs="Arial" w:eastAsia="Arial" w:hAnsi="Arial"/>
                <w:sz w:val="18"/>
                <w:szCs w:val="18"/>
                <w:color w:val="auto"/>
                <w:w w:val="94"/>
              </w:rPr>
              <w:t>Fair Value at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7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780" w:type="dxa"/>
            <w:vAlign w:val="bottom"/>
          </w:tcPr>
          <w:p>
            <w:pPr>
              <w:spacing w:after="0"/>
              <w:rPr>
                <w:sz w:val="22"/>
                <w:szCs w:val="22"/>
                <w:color w:val="auto"/>
              </w:rPr>
            </w:pPr>
          </w:p>
        </w:tc>
        <w:tc>
          <w:tcPr>
            <w:tcW w:w="1100" w:type="dxa"/>
            <w:vAlign w:val="bottom"/>
          </w:tcPr>
          <w:p>
            <w:pPr>
              <w:jc w:val="right"/>
              <w:ind w:right="33"/>
              <w:spacing w:after="0"/>
              <w:rPr>
                <w:sz w:val="20"/>
                <w:szCs w:val="20"/>
                <w:color w:val="auto"/>
              </w:rPr>
            </w:pPr>
            <w:r>
              <w:rPr>
                <w:rFonts w:ascii="Arial" w:cs="Arial" w:eastAsia="Arial" w:hAnsi="Arial"/>
                <w:sz w:val="14"/>
                <w:szCs w:val="14"/>
                <w:color w:val="auto"/>
              </w:rPr>
              <w:t>Level 1</w:t>
            </w: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gridSpan w:val="2"/>
          </w:tcPr>
          <w:p>
            <w:pPr>
              <w:jc w:val="center"/>
              <w:ind w:right="440"/>
              <w:spacing w:after="0"/>
              <w:rPr>
                <w:sz w:val="20"/>
                <w:szCs w:val="20"/>
                <w:color w:val="auto"/>
              </w:rPr>
            </w:pPr>
            <w:r>
              <w:rPr>
                <w:rFonts w:ascii="Arial" w:cs="Arial" w:eastAsia="Arial" w:hAnsi="Arial"/>
                <w:sz w:val="14"/>
                <w:szCs w:val="14"/>
                <w:color w:val="auto"/>
                <w:w w:val="92"/>
              </w:rPr>
              <w:t>Level 2</w:t>
            </w:r>
          </w:p>
        </w:tc>
        <w:tc>
          <w:tcPr>
            <w:tcW w:w="400" w:type="dxa"/>
            <w:vAlign w:val="bottom"/>
          </w:tcPr>
          <w:p>
            <w:pPr>
              <w:spacing w:after="0"/>
              <w:rPr>
                <w:sz w:val="22"/>
                <w:szCs w:val="22"/>
                <w:color w:val="auto"/>
              </w:rPr>
            </w:pPr>
          </w:p>
        </w:tc>
        <w:tc>
          <w:tcPr>
            <w:tcW w:w="1180" w:type="dxa"/>
            <w:vAlign w:val="bottom"/>
            <w:gridSpan w:val="2"/>
          </w:tcPr>
          <w:p>
            <w:pPr>
              <w:ind w:left="120"/>
              <w:spacing w:after="0"/>
              <w:rPr>
                <w:sz w:val="20"/>
                <w:szCs w:val="20"/>
                <w:color w:val="auto"/>
              </w:rPr>
            </w:pPr>
            <w:r>
              <w:rPr>
                <w:rFonts w:ascii="Arial" w:cs="Arial" w:eastAsia="Arial" w:hAnsi="Arial"/>
                <w:sz w:val="14"/>
                <w:szCs w:val="14"/>
                <w:color w:val="auto"/>
              </w:rPr>
              <w:t>Level 3</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w w:val="96"/>
              </w:rPr>
              <w:t>August 31, 2015</w:t>
            </w:r>
          </w:p>
        </w:tc>
        <w:tc>
          <w:tcPr>
            <w:tcW w:w="0" w:type="dxa"/>
            <w:vAlign w:val="bottom"/>
          </w:tcPr>
          <w:p>
            <w:pPr>
              <w:spacing w:after="0"/>
              <w:rPr>
                <w:sz w:val="1"/>
                <w:szCs w:val="1"/>
                <w:color w:val="auto"/>
              </w:rPr>
            </w:pPr>
          </w:p>
        </w:tc>
      </w:tr>
      <w:tr>
        <w:trPr>
          <w:trHeight w:val="189"/>
        </w:trPr>
        <w:tc>
          <w:tcPr>
            <w:tcW w:w="5260" w:type="dxa"/>
            <w:vAlign w:val="bottom"/>
            <w:tcBorders>
              <w:top w:val="single" w:sz="8" w:color="CCEEFF"/>
            </w:tcBorders>
            <w:gridSpan w:val="4"/>
            <w:shd w:val="clear" w:color="auto" w:fill="CCEEFF"/>
          </w:tcPr>
          <w:p>
            <w:pPr>
              <w:ind w:left="40"/>
              <w:spacing w:after="0" w:line="189" w:lineRule="exact"/>
              <w:rPr>
                <w:sz w:val="20"/>
                <w:szCs w:val="20"/>
                <w:color w:val="auto"/>
              </w:rPr>
            </w:pPr>
            <w:r>
              <w:rPr>
                <w:rFonts w:ascii="Arial" w:cs="Arial" w:eastAsia="Arial" w:hAnsi="Arial"/>
                <w:sz w:val="18"/>
                <w:szCs w:val="18"/>
                <w:color w:val="auto"/>
              </w:rPr>
              <w:t>Financial Assets</w:t>
            </w:r>
          </w:p>
        </w:tc>
        <w:tc>
          <w:tcPr>
            <w:tcW w:w="110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40" w:type="dxa"/>
            <w:vAlign w:val="bottom"/>
            <w:tcBorders>
              <w:top w:val="single" w:sz="8" w:color="CCEEFF"/>
            </w:tcBorders>
            <w:shd w:val="clear" w:color="auto" w:fill="CCEEFF"/>
          </w:tcPr>
          <w:p>
            <w:pPr>
              <w:spacing w:after="0"/>
              <w:rPr>
                <w:sz w:val="5"/>
                <w:szCs w:val="5"/>
                <w:color w:val="auto"/>
              </w:rPr>
            </w:pPr>
          </w:p>
        </w:tc>
        <w:tc>
          <w:tcPr>
            <w:tcW w:w="1180" w:type="dxa"/>
            <w:vAlign w:val="bottom"/>
            <w:tcBorders>
              <w:top w:val="single" w:sz="8" w:color="auto"/>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3780" w:type="dxa"/>
            <w:vAlign w:val="bottom"/>
            <w:tcBorders>
              <w:top w:val="single" w:sz="8" w:color="CCEEFF"/>
            </w:tcBorders>
            <w:shd w:val="clear" w:color="auto" w:fill="CCEEFF"/>
          </w:tcPr>
          <w:p>
            <w:pPr>
              <w:spacing w:after="0"/>
              <w:rPr>
                <w:sz w:val="5"/>
                <w:szCs w:val="5"/>
                <w:color w:val="auto"/>
              </w:rPr>
            </w:pPr>
          </w:p>
        </w:tc>
        <w:tc>
          <w:tcPr>
            <w:tcW w:w="110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11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10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20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5260" w:type="dxa"/>
            <w:vAlign w:val="bottom"/>
            <w:gridSpan w:val="4"/>
          </w:tcPr>
          <w:p>
            <w:pPr>
              <w:ind w:left="40"/>
              <w:spacing w:after="0"/>
              <w:rPr>
                <w:sz w:val="20"/>
                <w:szCs w:val="20"/>
                <w:color w:val="auto"/>
              </w:rPr>
            </w:pPr>
            <w:r>
              <w:rPr>
                <w:rFonts w:ascii="Arial" w:cs="Arial" w:eastAsia="Arial" w:hAnsi="Arial"/>
                <w:sz w:val="18"/>
                <w:szCs w:val="18"/>
                <w:color w:val="auto"/>
              </w:rPr>
              <w:t>Marketable securities</w:t>
            </w:r>
          </w:p>
        </w:tc>
        <w:tc>
          <w:tcPr>
            <w:tcW w:w="1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7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22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U.S. government agency obligations</w:t>
            </w:r>
          </w:p>
        </w:tc>
        <w:tc>
          <w:tcPr>
            <w:tcW w:w="1100" w:type="dxa"/>
            <w:vAlign w:val="bottom"/>
            <w:tcBorders>
              <w:bottom w:val="single" w:sz="8" w:color="CCEEFF"/>
            </w:tcBorders>
            <w:shd w:val="clear" w:color="auto" w:fill="CCEEFF"/>
          </w:tcPr>
          <w:p>
            <w:pPr>
              <w:jc w:val="right"/>
              <w:ind w:right="893"/>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1,692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1,692</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5220" w:type="dxa"/>
            <w:vAlign w:val="bottom"/>
            <w:gridSpan w:val="3"/>
          </w:tcPr>
          <w:p>
            <w:pPr>
              <w:ind w:left="680"/>
              <w:spacing w:after="0"/>
              <w:rPr>
                <w:sz w:val="20"/>
                <w:szCs w:val="20"/>
                <w:color w:val="auto"/>
              </w:rPr>
            </w:pPr>
            <w:r>
              <w:rPr>
                <w:rFonts w:ascii="Arial" w:cs="Arial" w:eastAsia="Arial" w:hAnsi="Arial"/>
                <w:sz w:val="18"/>
                <w:szCs w:val="18"/>
                <w:color w:val="auto"/>
              </w:rPr>
              <w:t>Total</w:t>
            </w:r>
          </w:p>
        </w:tc>
        <w:tc>
          <w:tcPr>
            <w:tcW w:w="110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1,692</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1,692</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37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5220" w:type="dxa"/>
            <w:vAlign w:val="bottom"/>
            <w:tcBorders>
              <w:bottom w:val="single" w:sz="8" w:color="CCEEFF"/>
            </w:tcBorders>
            <w:gridSpan w:val="3"/>
            <w:shd w:val="clear" w:color="auto" w:fill="CCEEFF"/>
          </w:tcPr>
          <w:p>
            <w:pPr>
              <w:ind w:left="1100"/>
              <w:spacing w:after="0"/>
              <w:rPr>
                <w:sz w:val="20"/>
                <w:szCs w:val="20"/>
                <w:color w:val="auto"/>
              </w:rPr>
            </w:pPr>
            <w:r>
              <w:rPr>
                <w:rFonts w:ascii="Arial" w:cs="Arial" w:eastAsia="Arial" w:hAnsi="Arial"/>
                <w:sz w:val="18"/>
                <w:szCs w:val="18"/>
                <w:color w:val="auto"/>
              </w:rPr>
              <w:t>Total Financial Assets</w:t>
            </w:r>
          </w:p>
        </w:tc>
        <w:tc>
          <w:tcPr>
            <w:tcW w:w="1100" w:type="dxa"/>
            <w:vAlign w:val="bottom"/>
            <w:tcBorders>
              <w:bottom w:val="single" w:sz="8" w:color="CCEEFF"/>
            </w:tcBorders>
            <w:shd w:val="clear" w:color="auto" w:fill="CCEEFF"/>
          </w:tcPr>
          <w:p>
            <w:pPr>
              <w:jc w:val="right"/>
              <w:ind w:right="893"/>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1,692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1,692</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bottom w:val="single" w:sz="8" w:color="CCEEFF"/>
            </w:tcBorders>
            <w:gridSpan w:val="4"/>
            <w:vMerge w:val="restart"/>
          </w:tcPr>
          <w:p>
            <w:pPr>
              <w:ind w:left="40"/>
              <w:spacing w:after="0" w:line="196" w:lineRule="exact"/>
              <w:rPr>
                <w:sz w:val="20"/>
                <w:szCs w:val="20"/>
                <w:color w:val="auto"/>
              </w:rPr>
            </w:pPr>
            <w:r>
              <w:rPr>
                <w:rFonts w:ascii="Arial" w:cs="Arial" w:eastAsia="Arial" w:hAnsi="Arial"/>
                <w:sz w:val="18"/>
                <w:szCs w:val="18"/>
                <w:color w:val="auto"/>
              </w:rPr>
              <w:t>Financial Liabilities</w:t>
            </w: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260" w:type="dxa"/>
            <w:vAlign w:val="bottom"/>
            <w:gridSpan w:val="4"/>
            <w:vMerge w:val="continue"/>
          </w:tcPr>
          <w:p>
            <w:pPr>
              <w:spacing w:after="0"/>
              <w:rPr>
                <w:sz w:val="13"/>
                <w:szCs w:val="13"/>
                <w:color w:val="auto"/>
              </w:rPr>
            </w:pPr>
          </w:p>
        </w:tc>
        <w:tc>
          <w:tcPr>
            <w:tcW w:w="1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180" w:type="dxa"/>
            <w:vAlign w:val="bottom"/>
            <w:tcBorders>
              <w:top w:val="single" w:sz="8" w:color="auto"/>
            </w:tcBorders>
          </w:tcPr>
          <w:p>
            <w:pPr>
              <w:spacing w:after="0"/>
              <w:rPr>
                <w:sz w:val="6"/>
                <w:szCs w:val="6"/>
                <w:color w:val="auto"/>
              </w:rPr>
            </w:pPr>
          </w:p>
        </w:tc>
        <w:tc>
          <w:tcPr>
            <w:tcW w:w="260" w:type="dxa"/>
            <w:vAlign w:val="bottom"/>
            <w:tcBorders>
              <w:top w:val="single" w:sz="8" w:color="auto"/>
            </w:tcBorders>
          </w:tcPr>
          <w:p>
            <w:pPr>
              <w:spacing w:after="0"/>
              <w:rPr>
                <w:sz w:val="6"/>
                <w:szCs w:val="6"/>
                <w:color w:val="auto"/>
              </w:rPr>
            </w:pPr>
          </w:p>
        </w:tc>
        <w:tc>
          <w:tcPr>
            <w:tcW w:w="3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Interest rate swap agreements</w:t>
            </w:r>
          </w:p>
        </w:tc>
        <w:tc>
          <w:tcPr>
            <w:tcW w:w="1100" w:type="dxa"/>
            <w:vAlign w:val="bottom"/>
            <w:tcBorders>
              <w:bottom w:val="single" w:sz="8" w:color="CCEEFF"/>
            </w:tcBorders>
            <w:shd w:val="clear" w:color="auto" w:fill="CCEEFF"/>
          </w:tcPr>
          <w:p>
            <w:pPr>
              <w:jc w:val="right"/>
              <w:ind w:right="893"/>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43"/>
        </w:trPr>
        <w:tc>
          <w:tcPr>
            <w:tcW w:w="5260" w:type="dxa"/>
            <w:vAlign w:val="bottom"/>
            <w:gridSpan w:val="4"/>
          </w:tcPr>
          <w:p>
            <w:pPr>
              <w:ind w:left="40"/>
              <w:spacing w:after="0"/>
              <w:rPr>
                <w:sz w:val="20"/>
                <w:szCs w:val="20"/>
                <w:color w:val="auto"/>
              </w:rPr>
            </w:pPr>
            <w:r>
              <w:rPr>
                <w:rFonts w:ascii="Arial" w:cs="Arial" w:eastAsia="Arial" w:hAnsi="Arial"/>
                <w:sz w:val="18"/>
                <w:szCs w:val="18"/>
                <w:color w:val="auto"/>
              </w:rPr>
              <w:t>Contingent liability for acquisition earn out</w:t>
            </w:r>
          </w:p>
        </w:tc>
        <w:tc>
          <w:tcPr>
            <w:tcW w:w="1100" w:type="dxa"/>
            <w:vAlign w:val="bottom"/>
          </w:tcPr>
          <w:p>
            <w:pPr>
              <w:spacing w:after="0"/>
              <w:rPr>
                <w:sz w:val="21"/>
                <w:szCs w:val="21"/>
                <w:color w:val="auto"/>
              </w:rPr>
            </w:pPr>
          </w:p>
        </w:tc>
        <w:tc>
          <w:tcPr>
            <w:tcW w:w="420" w:type="dxa"/>
            <w:vAlign w:val="bottom"/>
          </w:tcPr>
          <w:p>
            <w:pPr>
              <w:ind w:lef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45,688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45,688</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37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5220" w:type="dxa"/>
            <w:vAlign w:val="bottom"/>
            <w:tcBorders>
              <w:bottom w:val="single" w:sz="8" w:color="CCEEFF"/>
            </w:tcBorders>
            <w:gridSpan w:val="3"/>
            <w:shd w:val="clear" w:color="auto" w:fill="CCEEFF"/>
          </w:tcPr>
          <w:p>
            <w:pPr>
              <w:ind w:left="1100"/>
              <w:spacing w:after="0"/>
              <w:rPr>
                <w:sz w:val="20"/>
                <w:szCs w:val="20"/>
                <w:color w:val="auto"/>
              </w:rPr>
            </w:pPr>
            <w:r>
              <w:rPr>
                <w:rFonts w:ascii="Arial" w:cs="Arial" w:eastAsia="Arial" w:hAnsi="Arial"/>
                <w:sz w:val="18"/>
                <w:szCs w:val="18"/>
                <w:color w:val="auto"/>
              </w:rPr>
              <w:t>Total Financial Liabilities</w:t>
            </w:r>
          </w:p>
        </w:tc>
        <w:tc>
          <w:tcPr>
            <w:tcW w:w="1100" w:type="dxa"/>
            <w:vAlign w:val="bottom"/>
            <w:tcBorders>
              <w:bottom w:val="single" w:sz="8" w:color="CCEEFF"/>
            </w:tcBorders>
            <w:shd w:val="clear" w:color="auto" w:fill="CCEEFF"/>
          </w:tcPr>
          <w:p>
            <w:pPr>
              <w:jc w:val="right"/>
              <w:ind w:right="893"/>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187</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45,688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45,875</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7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3"/>
        </w:trPr>
        <w:tc>
          <w:tcPr>
            <w:tcW w:w="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520" w:type="dxa"/>
            <w:vAlign w:val="bottom"/>
            <w:gridSpan w:val="6"/>
          </w:tcPr>
          <w:p>
            <w:pPr>
              <w:ind w:left="120"/>
              <w:spacing w:after="0"/>
              <w:rPr>
                <w:sz w:val="20"/>
                <w:szCs w:val="20"/>
                <w:color w:val="auto"/>
              </w:rPr>
            </w:pPr>
            <w:r>
              <w:rPr>
                <w:rFonts w:ascii="Arial" w:cs="Arial" w:eastAsia="Arial" w:hAnsi="Arial"/>
                <w:sz w:val="18"/>
                <w:szCs w:val="18"/>
                <w:color w:val="auto"/>
                <w:w w:val="93"/>
              </w:rPr>
              <w:t>Fair Value Measurements using</w:t>
            </w: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2"/>
            <w:vMerge w:val="restart"/>
          </w:tcPr>
          <w:p>
            <w:pPr>
              <w:ind w:left="40"/>
              <w:spacing w:after="0"/>
              <w:rPr>
                <w:sz w:val="20"/>
                <w:szCs w:val="20"/>
                <w:color w:val="auto"/>
              </w:rPr>
            </w:pPr>
            <w:r>
              <w:rPr>
                <w:rFonts w:ascii="Arial" w:cs="Arial" w:eastAsia="Arial" w:hAnsi="Arial"/>
                <w:sz w:val="18"/>
                <w:szCs w:val="18"/>
                <w:color w:val="auto"/>
                <w:w w:val="92"/>
              </w:rPr>
              <w:t>Fair Value at May</w:t>
            </w:r>
          </w:p>
        </w:tc>
        <w:tc>
          <w:tcPr>
            <w:tcW w:w="0" w:type="dxa"/>
            <w:vAlign w:val="bottom"/>
          </w:tcPr>
          <w:p>
            <w:pPr>
              <w:spacing w:after="0"/>
              <w:rPr>
                <w:sz w:val="1"/>
                <w:szCs w:val="1"/>
                <w:color w:val="auto"/>
              </w:rPr>
            </w:pPr>
          </w:p>
        </w:tc>
      </w:tr>
      <w:tr>
        <w:trPr>
          <w:trHeight w:val="68"/>
        </w:trPr>
        <w:tc>
          <w:tcPr>
            <w:tcW w:w="40" w:type="dxa"/>
            <w:vAlign w:val="bottom"/>
          </w:tcPr>
          <w:p>
            <w:pPr>
              <w:spacing w:after="0"/>
              <w:rPr>
                <w:sz w:val="5"/>
                <w:szCs w:val="5"/>
                <w:color w:val="auto"/>
              </w:rPr>
            </w:pPr>
          </w:p>
        </w:tc>
        <w:tc>
          <w:tcPr>
            <w:tcW w:w="1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3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1700" w:type="dxa"/>
            <w:vAlign w:val="bottom"/>
            <w:gridSpan w:val="4"/>
            <w:vMerge w:val="restart"/>
          </w:tcPr>
          <w:p>
            <w:pPr>
              <w:jc w:val="center"/>
              <w:ind w:right="20"/>
              <w:spacing w:after="0"/>
              <w:rPr>
                <w:sz w:val="20"/>
                <w:szCs w:val="20"/>
                <w:color w:val="auto"/>
              </w:rPr>
            </w:pPr>
            <w:r>
              <w:rPr>
                <w:rFonts w:ascii="Arial" w:cs="Arial" w:eastAsia="Arial" w:hAnsi="Arial"/>
                <w:sz w:val="18"/>
                <w:szCs w:val="18"/>
                <w:color w:val="auto"/>
                <w:w w:val="89"/>
              </w:rPr>
              <w:t>inputs considered as:</w:t>
            </w:r>
          </w:p>
        </w:tc>
        <w:tc>
          <w:tcPr>
            <w:tcW w:w="4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700" w:type="dxa"/>
            <w:vAlign w:val="bottom"/>
            <w:gridSpan w:val="4"/>
            <w:vMerge w:val="continue"/>
          </w:tcPr>
          <w:p>
            <w:pPr>
              <w:spacing w:after="0"/>
              <w:rPr>
                <w:sz w:val="14"/>
                <w:szCs w:val="14"/>
                <w:color w:val="auto"/>
              </w:rPr>
            </w:pPr>
          </w:p>
        </w:tc>
        <w:tc>
          <w:tcPr>
            <w:tcW w:w="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vMerge w:val="restart"/>
          </w:tcPr>
          <w:p>
            <w:pPr>
              <w:jc w:val="right"/>
              <w:ind w:right="470"/>
              <w:spacing w:after="0" w:line="190"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7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780" w:type="dxa"/>
            <w:vAlign w:val="bottom"/>
          </w:tcPr>
          <w:p>
            <w:pPr>
              <w:spacing w:after="0"/>
              <w:rPr>
                <w:sz w:val="22"/>
                <w:szCs w:val="22"/>
                <w:color w:val="auto"/>
              </w:rPr>
            </w:pPr>
          </w:p>
        </w:tc>
        <w:tc>
          <w:tcPr>
            <w:tcW w:w="1100" w:type="dxa"/>
            <w:vAlign w:val="bottom"/>
          </w:tcPr>
          <w:p>
            <w:pPr>
              <w:jc w:val="right"/>
              <w:ind w:right="33"/>
              <w:spacing w:after="0"/>
              <w:rPr>
                <w:sz w:val="20"/>
                <w:szCs w:val="20"/>
                <w:color w:val="auto"/>
              </w:rPr>
            </w:pPr>
            <w:r>
              <w:rPr>
                <w:rFonts w:ascii="Arial" w:cs="Arial" w:eastAsia="Arial" w:hAnsi="Arial"/>
                <w:sz w:val="14"/>
                <w:szCs w:val="14"/>
                <w:color w:val="auto"/>
              </w:rPr>
              <w:t>Level 1</w:t>
            </w: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gridSpan w:val="2"/>
          </w:tcPr>
          <w:p>
            <w:pPr>
              <w:jc w:val="center"/>
              <w:ind w:right="440"/>
              <w:spacing w:after="0"/>
              <w:rPr>
                <w:sz w:val="20"/>
                <w:szCs w:val="20"/>
                <w:color w:val="auto"/>
              </w:rPr>
            </w:pPr>
            <w:r>
              <w:rPr>
                <w:rFonts w:ascii="Arial" w:cs="Arial" w:eastAsia="Arial" w:hAnsi="Arial"/>
                <w:sz w:val="14"/>
                <w:szCs w:val="14"/>
                <w:color w:val="auto"/>
                <w:w w:val="92"/>
              </w:rPr>
              <w:t>Level 2</w:t>
            </w:r>
          </w:p>
        </w:tc>
        <w:tc>
          <w:tcPr>
            <w:tcW w:w="400" w:type="dxa"/>
            <w:vAlign w:val="bottom"/>
          </w:tcPr>
          <w:p>
            <w:pPr>
              <w:spacing w:after="0"/>
              <w:rPr>
                <w:sz w:val="22"/>
                <w:szCs w:val="22"/>
                <w:color w:val="auto"/>
              </w:rPr>
            </w:pPr>
          </w:p>
        </w:tc>
        <w:tc>
          <w:tcPr>
            <w:tcW w:w="1180" w:type="dxa"/>
            <w:vAlign w:val="bottom"/>
            <w:gridSpan w:val="2"/>
          </w:tcPr>
          <w:p>
            <w:pPr>
              <w:ind w:left="120"/>
              <w:spacing w:after="0"/>
              <w:rPr>
                <w:sz w:val="20"/>
                <w:szCs w:val="20"/>
                <w:color w:val="auto"/>
              </w:rPr>
            </w:pPr>
            <w:r>
              <w:rPr>
                <w:rFonts w:ascii="Arial" w:cs="Arial" w:eastAsia="Arial" w:hAnsi="Arial"/>
                <w:sz w:val="14"/>
                <w:szCs w:val="14"/>
                <w:color w:val="auto"/>
              </w:rPr>
              <w:t>Level 3</w:t>
            </w:r>
          </w:p>
        </w:tc>
        <w:tc>
          <w:tcPr>
            <w:tcW w:w="160" w:type="dxa"/>
            <w:vAlign w:val="bottom"/>
          </w:tcPr>
          <w:p>
            <w:pPr>
              <w:spacing w:after="0"/>
              <w:rPr>
                <w:sz w:val="22"/>
                <w:szCs w:val="22"/>
                <w:color w:val="auto"/>
              </w:rPr>
            </w:pPr>
          </w:p>
        </w:tc>
        <w:tc>
          <w:tcPr>
            <w:tcW w:w="1200" w:type="dxa"/>
            <w:vAlign w:val="bottom"/>
          </w:tcPr>
          <w:p>
            <w:pPr>
              <w:jc w:val="right"/>
              <w:ind w:right="410"/>
              <w:spacing w:after="0"/>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189"/>
        </w:trPr>
        <w:tc>
          <w:tcPr>
            <w:tcW w:w="5260" w:type="dxa"/>
            <w:vAlign w:val="bottom"/>
            <w:gridSpan w:val="4"/>
          </w:tcPr>
          <w:p>
            <w:pPr>
              <w:ind w:left="40"/>
              <w:spacing w:after="0" w:line="189" w:lineRule="exact"/>
              <w:rPr>
                <w:sz w:val="20"/>
                <w:szCs w:val="20"/>
                <w:color w:val="auto"/>
              </w:rPr>
            </w:pPr>
            <w:r>
              <w:rPr>
                <w:rFonts w:ascii="Arial" w:cs="Arial" w:eastAsia="Arial" w:hAnsi="Arial"/>
                <w:sz w:val="18"/>
                <w:szCs w:val="18"/>
                <w:color w:val="auto"/>
              </w:rPr>
              <w:t>Financial Assets</w:t>
            </w:r>
          </w:p>
        </w:tc>
        <w:tc>
          <w:tcPr>
            <w:tcW w:w="110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1180" w:type="dxa"/>
            <w:vAlign w:val="bottom"/>
            <w:tcBorders>
              <w:top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3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Cash equivalents</w:t>
            </w:r>
          </w:p>
        </w:tc>
        <w:tc>
          <w:tcPr>
            <w:tcW w:w="1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220" w:type="dxa"/>
            <w:vAlign w:val="bottom"/>
            <w:gridSpan w:val="3"/>
          </w:tcPr>
          <w:p>
            <w:pPr>
              <w:ind w:left="340"/>
              <w:spacing w:after="0"/>
              <w:rPr>
                <w:sz w:val="20"/>
                <w:szCs w:val="20"/>
                <w:color w:val="auto"/>
              </w:rPr>
            </w:pPr>
            <w:r>
              <w:rPr>
                <w:rFonts w:ascii="Arial" w:cs="Arial" w:eastAsia="Arial" w:hAnsi="Arial"/>
                <w:sz w:val="18"/>
                <w:szCs w:val="18"/>
                <w:color w:val="auto"/>
              </w:rPr>
              <w:t>Money market funds</w:t>
            </w:r>
          </w:p>
        </w:tc>
        <w:tc>
          <w:tcPr>
            <w:tcW w:w="1100" w:type="dxa"/>
            <w:vAlign w:val="bottom"/>
          </w:tcPr>
          <w:p>
            <w:pPr>
              <w:jc w:val="right"/>
              <w:ind w:right="893"/>
              <w:spacing w:after="0"/>
              <w:rPr>
                <w:sz w:val="20"/>
                <w:szCs w:val="20"/>
                <w:color w:val="auto"/>
              </w:rPr>
            </w:pPr>
            <w:r>
              <w:rPr>
                <w:rFonts w:ascii="Arial" w:cs="Arial" w:eastAsia="Arial" w:hAnsi="Arial"/>
                <w:sz w:val="18"/>
                <w:szCs w:val="18"/>
                <w:color w:val="auto"/>
                <w:w w:val="99"/>
              </w:rPr>
              <w:t>$</w:t>
            </w:r>
          </w:p>
        </w:tc>
        <w:tc>
          <w:tcPr>
            <w:tcW w:w="420" w:type="dxa"/>
            <w:vAlign w:val="bottom"/>
          </w:tcPr>
          <w:p>
            <w:pPr>
              <w:ind w:left="12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37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5220" w:type="dxa"/>
            <w:vAlign w:val="bottom"/>
            <w:tcBorders>
              <w:bottom w:val="single" w:sz="8" w:color="CCEEFF"/>
            </w:tcBorders>
            <w:gridSpan w:val="3"/>
            <w:shd w:val="clear" w:color="auto" w:fill="CCEEFF"/>
          </w:tcPr>
          <w:p>
            <w:pPr>
              <w:ind w:left="680"/>
              <w:spacing w:after="0"/>
              <w:rPr>
                <w:sz w:val="20"/>
                <w:szCs w:val="20"/>
                <w:color w:val="auto"/>
              </w:rPr>
            </w:pPr>
            <w:r>
              <w:rPr>
                <w:rFonts w:ascii="Arial" w:cs="Arial" w:eastAsia="Arial" w:hAnsi="Arial"/>
                <w:sz w:val="18"/>
                <w:szCs w:val="18"/>
                <w:color w:val="auto"/>
              </w:rPr>
              <w:t>Total</w:t>
            </w:r>
          </w:p>
        </w:tc>
        <w:tc>
          <w:tcPr>
            <w:tcW w:w="1100" w:type="dxa"/>
            <w:vAlign w:val="bottom"/>
            <w:tcBorders>
              <w:bottom w:val="single" w:sz="8" w:color="CCEEFF"/>
            </w:tcBorders>
            <w:shd w:val="clear" w:color="auto" w:fill="CCEEFF"/>
          </w:tcPr>
          <w:p>
            <w:pPr>
              <w:jc w:val="right"/>
              <w:ind w:right="893"/>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260" w:type="dxa"/>
            <w:vAlign w:val="bottom"/>
            <w:gridSpan w:val="4"/>
          </w:tcPr>
          <w:p>
            <w:pPr>
              <w:ind w:left="40"/>
              <w:spacing w:after="0"/>
              <w:rPr>
                <w:sz w:val="20"/>
                <w:szCs w:val="20"/>
                <w:color w:val="auto"/>
              </w:rPr>
            </w:pPr>
            <w:r>
              <w:rPr>
                <w:rFonts w:ascii="Arial" w:cs="Arial" w:eastAsia="Arial" w:hAnsi="Arial"/>
                <w:sz w:val="18"/>
                <w:szCs w:val="18"/>
                <w:color w:val="auto"/>
              </w:rPr>
              <w:t>Marketable securities</w:t>
            </w:r>
          </w:p>
        </w:tc>
        <w:tc>
          <w:tcPr>
            <w:tcW w:w="11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60" w:type="dxa"/>
            <w:vAlign w:val="bottom"/>
          </w:tcPr>
          <w:p>
            <w:pPr>
              <w:spacing w:after="0"/>
              <w:rPr>
                <w:sz w:val="3"/>
                <w:szCs w:val="3"/>
                <w:color w:val="auto"/>
              </w:rPr>
            </w:pPr>
          </w:p>
        </w:tc>
        <w:tc>
          <w:tcPr>
            <w:tcW w:w="3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22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U.S. government agency obligations</w:t>
            </w:r>
          </w:p>
        </w:tc>
        <w:tc>
          <w:tcPr>
            <w:tcW w:w="1100" w:type="dxa"/>
            <w:vAlign w:val="bottom"/>
            <w:tcBorders>
              <w:bottom w:val="single" w:sz="8" w:color="CCEEFF"/>
            </w:tcBorders>
            <w:shd w:val="clear" w:color="auto" w:fill="CCEEFF"/>
          </w:tcPr>
          <w:p>
            <w:pPr>
              <w:jc w:val="right"/>
              <w:ind w:right="893"/>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1,689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1,689</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5220" w:type="dxa"/>
            <w:vAlign w:val="bottom"/>
            <w:gridSpan w:val="3"/>
          </w:tcPr>
          <w:p>
            <w:pPr>
              <w:ind w:left="680"/>
              <w:spacing w:after="0"/>
              <w:rPr>
                <w:sz w:val="20"/>
                <w:szCs w:val="20"/>
                <w:color w:val="auto"/>
              </w:rPr>
            </w:pPr>
            <w:r>
              <w:rPr>
                <w:rFonts w:ascii="Arial" w:cs="Arial" w:eastAsia="Arial" w:hAnsi="Arial"/>
                <w:sz w:val="18"/>
                <w:szCs w:val="18"/>
                <w:color w:val="auto"/>
              </w:rPr>
              <w:t>Total</w:t>
            </w:r>
          </w:p>
        </w:tc>
        <w:tc>
          <w:tcPr>
            <w:tcW w:w="110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1,689</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1,689</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37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5220" w:type="dxa"/>
            <w:vAlign w:val="bottom"/>
            <w:tcBorders>
              <w:bottom w:val="single" w:sz="8" w:color="CCEEFF"/>
            </w:tcBorders>
            <w:gridSpan w:val="3"/>
            <w:shd w:val="clear" w:color="auto" w:fill="CCEEFF"/>
          </w:tcPr>
          <w:p>
            <w:pPr>
              <w:ind w:left="1100"/>
              <w:spacing w:after="0"/>
              <w:rPr>
                <w:sz w:val="20"/>
                <w:szCs w:val="20"/>
                <w:color w:val="auto"/>
              </w:rPr>
            </w:pPr>
            <w:r>
              <w:rPr>
                <w:rFonts w:ascii="Arial" w:cs="Arial" w:eastAsia="Arial" w:hAnsi="Arial"/>
                <w:sz w:val="18"/>
                <w:szCs w:val="18"/>
                <w:color w:val="auto"/>
              </w:rPr>
              <w:t>Total Financial Assets</w:t>
            </w:r>
          </w:p>
        </w:tc>
        <w:tc>
          <w:tcPr>
            <w:tcW w:w="1100" w:type="dxa"/>
            <w:vAlign w:val="bottom"/>
            <w:tcBorders>
              <w:bottom w:val="single" w:sz="8" w:color="CCEEFF"/>
            </w:tcBorders>
            <w:shd w:val="clear" w:color="auto" w:fill="CCEEFF"/>
          </w:tcPr>
          <w:p>
            <w:pPr>
              <w:jc w:val="right"/>
              <w:ind w:right="893"/>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1,689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1,689</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bottom w:val="single" w:sz="8" w:color="CCEEFF"/>
            </w:tcBorders>
            <w:gridSpan w:val="4"/>
            <w:vMerge w:val="restart"/>
          </w:tcPr>
          <w:p>
            <w:pPr>
              <w:ind w:left="40"/>
              <w:spacing w:after="0" w:line="196" w:lineRule="exact"/>
              <w:rPr>
                <w:sz w:val="20"/>
                <w:szCs w:val="20"/>
                <w:color w:val="auto"/>
              </w:rPr>
            </w:pPr>
            <w:r>
              <w:rPr>
                <w:rFonts w:ascii="Arial" w:cs="Arial" w:eastAsia="Arial" w:hAnsi="Arial"/>
                <w:sz w:val="18"/>
                <w:szCs w:val="18"/>
                <w:color w:val="auto"/>
              </w:rPr>
              <w:t>Financial Liabilities</w:t>
            </w: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260" w:type="dxa"/>
            <w:vAlign w:val="bottom"/>
            <w:gridSpan w:val="4"/>
            <w:vMerge w:val="continue"/>
          </w:tcPr>
          <w:p>
            <w:pPr>
              <w:spacing w:after="0"/>
              <w:rPr>
                <w:sz w:val="13"/>
                <w:szCs w:val="13"/>
                <w:color w:val="auto"/>
              </w:rPr>
            </w:pPr>
          </w:p>
        </w:tc>
        <w:tc>
          <w:tcPr>
            <w:tcW w:w="1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180" w:type="dxa"/>
            <w:vAlign w:val="bottom"/>
            <w:tcBorders>
              <w:top w:val="single" w:sz="8" w:color="auto"/>
            </w:tcBorders>
          </w:tcPr>
          <w:p>
            <w:pPr>
              <w:spacing w:after="0"/>
              <w:rPr>
                <w:sz w:val="6"/>
                <w:szCs w:val="6"/>
                <w:color w:val="auto"/>
              </w:rPr>
            </w:pPr>
          </w:p>
        </w:tc>
        <w:tc>
          <w:tcPr>
            <w:tcW w:w="260" w:type="dxa"/>
            <w:vAlign w:val="bottom"/>
            <w:tcBorders>
              <w:top w:val="single" w:sz="8" w:color="auto"/>
            </w:tcBorders>
          </w:tcPr>
          <w:p>
            <w:pPr>
              <w:spacing w:after="0"/>
              <w:rPr>
                <w:sz w:val="6"/>
                <w:szCs w:val="6"/>
                <w:color w:val="auto"/>
              </w:rPr>
            </w:pPr>
          </w:p>
        </w:tc>
        <w:tc>
          <w:tcPr>
            <w:tcW w:w="3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Interest rate swap agreements</w:t>
            </w:r>
          </w:p>
        </w:tc>
        <w:tc>
          <w:tcPr>
            <w:tcW w:w="1100" w:type="dxa"/>
            <w:vAlign w:val="bottom"/>
            <w:tcBorders>
              <w:bottom w:val="single" w:sz="8" w:color="CCEEFF"/>
            </w:tcBorders>
            <w:shd w:val="clear" w:color="auto" w:fill="CCEEFF"/>
          </w:tcPr>
          <w:p>
            <w:pPr>
              <w:jc w:val="right"/>
              <w:ind w:right="893"/>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43"/>
        </w:trPr>
        <w:tc>
          <w:tcPr>
            <w:tcW w:w="5260" w:type="dxa"/>
            <w:vAlign w:val="bottom"/>
            <w:gridSpan w:val="4"/>
          </w:tcPr>
          <w:p>
            <w:pPr>
              <w:ind w:left="40"/>
              <w:spacing w:after="0"/>
              <w:rPr>
                <w:sz w:val="20"/>
                <w:szCs w:val="20"/>
                <w:color w:val="auto"/>
              </w:rPr>
            </w:pPr>
            <w:r>
              <w:rPr>
                <w:rFonts w:ascii="Arial" w:cs="Arial" w:eastAsia="Arial" w:hAnsi="Arial"/>
                <w:sz w:val="18"/>
                <w:szCs w:val="18"/>
                <w:color w:val="auto"/>
              </w:rPr>
              <w:t>Contingent liability for acquisition earn out</w:t>
            </w:r>
          </w:p>
        </w:tc>
        <w:tc>
          <w:tcPr>
            <w:tcW w:w="1100" w:type="dxa"/>
            <w:vAlign w:val="bottom"/>
          </w:tcPr>
          <w:p>
            <w:pPr>
              <w:spacing w:after="0"/>
              <w:rPr>
                <w:sz w:val="21"/>
                <w:szCs w:val="21"/>
                <w:color w:val="auto"/>
              </w:rPr>
            </w:pPr>
          </w:p>
        </w:tc>
        <w:tc>
          <w:tcPr>
            <w:tcW w:w="420" w:type="dxa"/>
            <w:vAlign w:val="bottom"/>
          </w:tcPr>
          <w:p>
            <w:pPr>
              <w:ind w:lef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47,384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47,384</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37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5220" w:type="dxa"/>
            <w:vAlign w:val="bottom"/>
            <w:tcBorders>
              <w:bottom w:val="single" w:sz="8" w:color="CCEEFF"/>
            </w:tcBorders>
            <w:gridSpan w:val="3"/>
            <w:shd w:val="clear" w:color="auto" w:fill="CCEEFF"/>
          </w:tcPr>
          <w:p>
            <w:pPr>
              <w:ind w:left="1100"/>
              <w:spacing w:after="0"/>
              <w:rPr>
                <w:sz w:val="20"/>
                <w:szCs w:val="20"/>
                <w:color w:val="auto"/>
              </w:rPr>
            </w:pPr>
            <w:r>
              <w:rPr>
                <w:rFonts w:ascii="Arial" w:cs="Arial" w:eastAsia="Arial" w:hAnsi="Arial"/>
                <w:sz w:val="18"/>
                <w:szCs w:val="18"/>
                <w:color w:val="auto"/>
              </w:rPr>
              <w:t>Total Financial Liabilities</w:t>
            </w:r>
          </w:p>
        </w:tc>
        <w:tc>
          <w:tcPr>
            <w:tcW w:w="1100" w:type="dxa"/>
            <w:vAlign w:val="bottom"/>
            <w:tcBorders>
              <w:bottom w:val="single" w:sz="8" w:color="CCEEFF"/>
            </w:tcBorders>
            <w:shd w:val="clear" w:color="auto" w:fill="CCEEFF"/>
          </w:tcPr>
          <w:p>
            <w:pPr>
              <w:jc w:val="right"/>
              <w:ind w:right="893"/>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257</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47,384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47,641</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7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There were no transfers in and out of Level 1, 2 and 3 measurements for the three months ended August 31, 2015 and 2014.</w:t>
      </w:r>
    </w:p>
    <w:p>
      <w:pPr>
        <w:spacing w:after="0" w:line="225" w:lineRule="exact"/>
        <w:rPr>
          <w:sz w:val="20"/>
          <w:szCs w:val="20"/>
          <w:color w:val="auto"/>
        </w:rPr>
      </w:pPr>
    </w:p>
    <w:p>
      <w:pPr>
        <w:ind w:right="440" w:firstLine="432"/>
        <w:spacing w:after="0" w:line="277" w:lineRule="auto"/>
        <w:rPr>
          <w:sz w:val="20"/>
          <w:szCs w:val="20"/>
          <w:color w:val="auto"/>
        </w:rPr>
      </w:pPr>
      <w:r>
        <w:rPr>
          <w:rFonts w:ascii="Arial" w:cs="Arial" w:eastAsia="Arial" w:hAnsi="Arial"/>
          <w:sz w:val="18"/>
          <w:szCs w:val="18"/>
          <w:color w:val="auto"/>
        </w:rPr>
        <w:t>The table below presents the changes in fair value components of Level 3 instruments in the three months ended August 31, 2015 (in thousands of dollars):</w:t>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tcPr>
          <w:p>
            <w:pPr>
              <w:jc w:val="center"/>
              <w:ind w:right="132"/>
              <w:spacing w:after="0"/>
              <w:rPr>
                <w:sz w:val="20"/>
                <w:szCs w:val="20"/>
                <w:color w:val="auto"/>
              </w:rPr>
            </w:pPr>
            <w:r>
              <w:rPr>
                <w:rFonts w:ascii="Arial" w:cs="Arial" w:eastAsia="Arial" w:hAnsi="Arial"/>
                <w:sz w:val="14"/>
                <w:szCs w:val="14"/>
                <w:color w:val="auto"/>
                <w:w w:val="92"/>
              </w:rPr>
              <w:t>Financial Assets</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tcPr>
          <w:p>
            <w:pPr>
              <w:jc w:val="center"/>
              <w:ind w:right="152"/>
              <w:spacing w:after="0"/>
              <w:rPr>
                <w:sz w:val="20"/>
                <w:szCs w:val="20"/>
                <w:color w:val="auto"/>
              </w:rPr>
            </w:pPr>
            <w:r>
              <w:rPr>
                <w:rFonts w:ascii="Arial" w:cs="Arial" w:eastAsia="Arial" w:hAnsi="Arial"/>
                <w:sz w:val="14"/>
                <w:szCs w:val="14"/>
                <w:color w:val="auto"/>
                <w:w w:val="98"/>
              </w:rPr>
              <w:t>Financial Liabilities</w:t>
            </w:r>
          </w:p>
        </w:tc>
      </w:tr>
      <w:tr>
        <w:trPr>
          <w:trHeight w:val="228"/>
        </w:trPr>
        <w:tc>
          <w:tcPr>
            <w:tcW w:w="6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8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Fair Value Measurements</w:t>
            </w:r>
          </w:p>
        </w:tc>
        <w:tc>
          <w:tcPr>
            <w:tcW w:w="240" w:type="dxa"/>
            <w:vAlign w:val="bottom"/>
          </w:tcPr>
          <w:p>
            <w:pPr>
              <w:spacing w:after="0"/>
              <w:rPr>
                <w:sz w:val="19"/>
                <w:szCs w:val="19"/>
                <w:color w:val="auto"/>
              </w:rPr>
            </w:pPr>
          </w:p>
        </w:tc>
        <w:tc>
          <w:tcPr>
            <w:tcW w:w="2280" w:type="dxa"/>
            <w:vAlign w:val="bottom"/>
          </w:tcPr>
          <w:p>
            <w:pPr>
              <w:jc w:val="center"/>
              <w:ind w:right="152"/>
              <w:spacing w:after="0"/>
              <w:rPr>
                <w:sz w:val="20"/>
                <w:szCs w:val="20"/>
                <w:color w:val="auto"/>
              </w:rPr>
            </w:pPr>
            <w:r>
              <w:rPr>
                <w:rFonts w:ascii="Arial" w:cs="Arial" w:eastAsia="Arial" w:hAnsi="Arial"/>
                <w:sz w:val="18"/>
                <w:szCs w:val="18"/>
                <w:color w:val="auto"/>
                <w:w w:val="89"/>
              </w:rPr>
              <w:t>Fair Value Measurements</w:t>
            </w:r>
          </w:p>
        </w:tc>
      </w:tr>
      <w:tr>
        <w:trPr>
          <w:trHeight w:val="216"/>
        </w:trPr>
        <w:tc>
          <w:tcPr>
            <w:tcW w:w="6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80" w:type="dxa"/>
            <w:vAlign w:val="bottom"/>
            <w:gridSpan w:val="2"/>
          </w:tcPr>
          <w:p>
            <w:pPr>
              <w:jc w:val="center"/>
              <w:ind w:right="320"/>
              <w:spacing w:after="0"/>
              <w:rPr>
                <w:sz w:val="20"/>
                <w:szCs w:val="20"/>
                <w:color w:val="auto"/>
              </w:rPr>
            </w:pPr>
            <w:r>
              <w:rPr>
                <w:rFonts w:ascii="Arial" w:cs="Arial" w:eastAsia="Arial" w:hAnsi="Arial"/>
                <w:sz w:val="18"/>
                <w:szCs w:val="18"/>
                <w:color w:val="auto"/>
                <w:w w:val="93"/>
              </w:rPr>
              <w:t>Using Significant</w:t>
            </w:r>
          </w:p>
        </w:tc>
        <w:tc>
          <w:tcPr>
            <w:tcW w:w="240" w:type="dxa"/>
            <w:vAlign w:val="bottom"/>
          </w:tcPr>
          <w:p>
            <w:pPr>
              <w:spacing w:after="0"/>
              <w:rPr>
                <w:sz w:val="18"/>
                <w:szCs w:val="18"/>
                <w:color w:val="auto"/>
              </w:rPr>
            </w:pPr>
          </w:p>
        </w:tc>
        <w:tc>
          <w:tcPr>
            <w:tcW w:w="2280" w:type="dxa"/>
            <w:vAlign w:val="bottom"/>
          </w:tcPr>
          <w:p>
            <w:pPr>
              <w:jc w:val="center"/>
              <w:ind w:right="132"/>
              <w:spacing w:after="0"/>
              <w:rPr>
                <w:sz w:val="20"/>
                <w:szCs w:val="20"/>
                <w:color w:val="auto"/>
              </w:rPr>
            </w:pPr>
            <w:r>
              <w:rPr>
                <w:rFonts w:ascii="Arial" w:cs="Arial" w:eastAsia="Arial" w:hAnsi="Arial"/>
                <w:sz w:val="18"/>
                <w:szCs w:val="18"/>
                <w:color w:val="auto"/>
                <w:w w:val="93"/>
              </w:rPr>
              <w:t>Using Significant</w:t>
            </w:r>
          </w:p>
        </w:tc>
      </w:tr>
      <w:tr>
        <w:trPr>
          <w:trHeight w:val="216"/>
        </w:trPr>
        <w:tc>
          <w:tcPr>
            <w:tcW w:w="6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8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Unobservable Inputs</w:t>
            </w:r>
          </w:p>
        </w:tc>
        <w:tc>
          <w:tcPr>
            <w:tcW w:w="240" w:type="dxa"/>
            <w:vAlign w:val="bottom"/>
          </w:tcPr>
          <w:p>
            <w:pPr>
              <w:spacing w:after="0"/>
              <w:rPr>
                <w:sz w:val="18"/>
                <w:szCs w:val="18"/>
                <w:color w:val="auto"/>
              </w:rPr>
            </w:pPr>
          </w:p>
        </w:tc>
        <w:tc>
          <w:tcPr>
            <w:tcW w:w="2280" w:type="dxa"/>
            <w:vAlign w:val="bottom"/>
          </w:tcPr>
          <w:p>
            <w:pPr>
              <w:jc w:val="center"/>
              <w:ind w:right="132"/>
              <w:spacing w:after="0"/>
              <w:rPr>
                <w:sz w:val="20"/>
                <w:szCs w:val="20"/>
                <w:color w:val="auto"/>
              </w:rPr>
            </w:pPr>
            <w:r>
              <w:rPr>
                <w:rFonts w:ascii="Arial" w:cs="Arial" w:eastAsia="Arial" w:hAnsi="Arial"/>
                <w:sz w:val="18"/>
                <w:szCs w:val="18"/>
                <w:color w:val="auto"/>
                <w:w w:val="90"/>
              </w:rPr>
              <w:t>Unobservable Inputs</w:t>
            </w:r>
          </w:p>
        </w:tc>
      </w:tr>
      <w:tr>
        <w:trPr>
          <w:trHeight w:val="230"/>
        </w:trPr>
        <w:tc>
          <w:tcPr>
            <w:tcW w:w="6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80" w:type="dxa"/>
            <w:vAlign w:val="bottom"/>
            <w:gridSpan w:val="2"/>
          </w:tcPr>
          <w:p>
            <w:pPr>
              <w:jc w:val="center"/>
              <w:ind w:right="320"/>
              <w:spacing w:after="0"/>
              <w:rPr>
                <w:sz w:val="20"/>
                <w:szCs w:val="20"/>
                <w:color w:val="auto"/>
              </w:rPr>
            </w:pPr>
            <w:r>
              <w:rPr>
                <w:rFonts w:ascii="Arial" w:cs="Arial" w:eastAsia="Arial" w:hAnsi="Arial"/>
                <w:sz w:val="18"/>
                <w:szCs w:val="18"/>
                <w:color w:val="auto"/>
                <w:w w:val="94"/>
              </w:rPr>
              <w:t>(Level 3)</w:t>
            </w:r>
          </w:p>
        </w:tc>
        <w:tc>
          <w:tcPr>
            <w:tcW w:w="240" w:type="dxa"/>
            <w:vAlign w:val="bottom"/>
          </w:tcPr>
          <w:p>
            <w:pPr>
              <w:spacing w:after="0"/>
              <w:rPr>
                <w:sz w:val="20"/>
                <w:szCs w:val="20"/>
                <w:color w:val="auto"/>
              </w:rPr>
            </w:pPr>
          </w:p>
        </w:tc>
        <w:tc>
          <w:tcPr>
            <w:tcW w:w="2280" w:type="dxa"/>
            <w:vAlign w:val="bottom"/>
          </w:tcPr>
          <w:p>
            <w:pPr>
              <w:jc w:val="center"/>
              <w:ind w:right="132"/>
              <w:spacing w:after="0"/>
              <w:rPr>
                <w:sz w:val="20"/>
                <w:szCs w:val="20"/>
                <w:color w:val="auto"/>
              </w:rPr>
            </w:pPr>
            <w:r>
              <w:rPr>
                <w:rFonts w:ascii="Arial" w:cs="Arial" w:eastAsia="Arial" w:hAnsi="Arial"/>
                <w:sz w:val="18"/>
                <w:szCs w:val="18"/>
                <w:color w:val="auto"/>
                <w:w w:val="94"/>
              </w:rPr>
              <w:t>(Level 3)</w:t>
            </w:r>
          </w:p>
        </w:tc>
      </w:tr>
      <w:tr>
        <w:trPr>
          <w:trHeight w:val="27"/>
        </w:trPr>
        <w:tc>
          <w:tcPr>
            <w:tcW w:w="6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70"/>
        </w:trPr>
        <w:tc>
          <w:tcPr>
            <w:tcW w:w="62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280" w:type="dxa"/>
            <w:vAlign w:val="bottom"/>
            <w:shd w:val="clear" w:color="auto" w:fill="CCEEFF"/>
          </w:tcPr>
          <w:p>
            <w:pPr>
              <w:spacing w:after="0"/>
              <w:rPr>
                <w:sz w:val="23"/>
                <w:szCs w:val="23"/>
                <w:color w:val="auto"/>
              </w:rPr>
            </w:pP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Balance, May 31, 2015</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2280" w:type="dxa"/>
            <w:vAlign w:val="bottom"/>
          </w:tcPr>
          <w:p>
            <w:pPr>
              <w:jc w:val="right"/>
              <w:ind w:right="12"/>
              <w:spacing w:after="0"/>
              <w:rPr>
                <w:sz w:val="20"/>
                <w:szCs w:val="20"/>
                <w:color w:val="auto"/>
              </w:rPr>
            </w:pPr>
            <w:r>
              <w:rPr>
                <w:rFonts w:ascii="Arial" w:cs="Arial" w:eastAsia="Arial" w:hAnsi="Arial"/>
                <w:sz w:val="18"/>
                <w:szCs w:val="18"/>
                <w:color w:val="auto"/>
              </w:rPr>
              <w:t>1,689</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2280" w:type="dxa"/>
            <w:vAlign w:val="bottom"/>
          </w:tcPr>
          <w:p>
            <w:pPr>
              <w:jc w:val="right"/>
              <w:ind w:right="12"/>
              <w:spacing w:after="0"/>
              <w:rPr>
                <w:sz w:val="20"/>
                <w:szCs w:val="20"/>
                <w:color w:val="auto"/>
              </w:rPr>
            </w:pPr>
            <w:r>
              <w:rPr>
                <w:rFonts w:ascii="Arial" w:cs="Arial" w:eastAsia="Arial" w:hAnsi="Arial"/>
                <w:sz w:val="18"/>
                <w:szCs w:val="18"/>
                <w:color w:val="auto"/>
              </w:rPr>
              <w:t>47,384</w:t>
            </w:r>
          </w:p>
        </w:tc>
      </w:tr>
      <w:tr>
        <w:trPr>
          <w:trHeight w:val="27"/>
        </w:trPr>
        <w:tc>
          <w:tcPr>
            <w:tcW w:w="6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 in present value of contingent consideration (1)</w:t>
            </w:r>
          </w:p>
        </w:tc>
        <w:tc>
          <w:tcPr>
            <w:tcW w:w="240" w:type="dxa"/>
            <w:vAlign w:val="bottom"/>
            <w:tcBorders>
              <w:bottom w:val="single" w:sz="8" w:color="CCEEFF"/>
            </w:tcBorders>
            <w:shd w:val="clear" w:color="auto" w:fill="CCEEFF"/>
          </w:tcPr>
          <w:p>
            <w:pPr>
              <w:spacing w:after="0"/>
              <w:rPr>
                <w:sz w:val="21"/>
                <w:szCs w:val="21"/>
                <w:color w:val="auto"/>
              </w:rPr>
            </w:pPr>
          </w:p>
        </w:tc>
        <w:tc>
          <w:tcPr>
            <w:tcW w:w="2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355</w:t>
            </w:r>
          </w:p>
        </w:tc>
      </w:tr>
      <w:tr>
        <w:trPr>
          <w:trHeight w:val="243"/>
        </w:trPr>
        <w:tc>
          <w:tcPr>
            <w:tcW w:w="6280" w:type="dxa"/>
            <w:vAlign w:val="bottom"/>
          </w:tcPr>
          <w:p>
            <w:pPr>
              <w:ind w:left="380"/>
              <w:spacing w:after="0"/>
              <w:rPr>
                <w:sz w:val="20"/>
                <w:szCs w:val="20"/>
                <w:color w:val="auto"/>
              </w:rPr>
            </w:pPr>
            <w:r>
              <w:rPr>
                <w:rFonts w:ascii="Arial" w:cs="Arial" w:eastAsia="Arial" w:hAnsi="Arial"/>
                <w:sz w:val="18"/>
                <w:szCs w:val="18"/>
                <w:color w:val="auto"/>
              </w:rPr>
              <w:t>Currency (gain) loss from remeasurement</w:t>
            </w:r>
          </w:p>
        </w:tc>
        <w:tc>
          <w:tcPr>
            <w:tcW w:w="240" w:type="dxa"/>
            <w:vAlign w:val="bottom"/>
          </w:tcPr>
          <w:p>
            <w:pPr>
              <w:spacing w:after="0"/>
              <w:rPr>
                <w:sz w:val="21"/>
                <w:szCs w:val="21"/>
                <w:color w:val="auto"/>
              </w:rPr>
            </w:pPr>
          </w:p>
        </w:tc>
        <w:tc>
          <w:tcPr>
            <w:tcW w:w="2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2280" w:type="dxa"/>
            <w:vAlign w:val="bottom"/>
          </w:tcPr>
          <w:p>
            <w:pPr>
              <w:jc w:val="right"/>
              <w:ind w:right="12"/>
              <w:spacing w:after="0"/>
              <w:rPr>
                <w:sz w:val="20"/>
                <w:szCs w:val="20"/>
                <w:color w:val="auto"/>
              </w:rPr>
            </w:pPr>
            <w:r>
              <w:rPr>
                <w:rFonts w:ascii="Arial" w:cs="Arial" w:eastAsia="Arial" w:hAnsi="Arial"/>
                <w:sz w:val="18"/>
                <w:szCs w:val="18"/>
                <w:color w:val="auto"/>
              </w:rPr>
              <w:t>49</w:t>
            </w:r>
          </w:p>
        </w:tc>
      </w:tr>
      <w:tr>
        <w:trPr>
          <w:trHeight w:val="27"/>
        </w:trPr>
        <w:tc>
          <w:tcPr>
            <w:tcW w:w="6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Included in other comprehensive income (loss)</w:t>
            </w:r>
          </w:p>
        </w:tc>
        <w:tc>
          <w:tcPr>
            <w:tcW w:w="24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6280" w:type="dxa"/>
            <w:vAlign w:val="bottom"/>
          </w:tcPr>
          <w:p>
            <w:pPr>
              <w:ind w:left="360"/>
              <w:spacing w:after="0"/>
              <w:rPr>
                <w:sz w:val="20"/>
                <w:szCs w:val="20"/>
                <w:color w:val="auto"/>
              </w:rPr>
            </w:pPr>
            <w:r>
              <w:rPr>
                <w:rFonts w:ascii="Arial" w:cs="Arial" w:eastAsia="Arial" w:hAnsi="Arial"/>
                <w:sz w:val="18"/>
                <w:szCs w:val="18"/>
                <w:color w:val="auto"/>
              </w:rPr>
              <w:t>Contingent consideration payments</w:t>
            </w:r>
          </w:p>
        </w:tc>
        <w:tc>
          <w:tcPr>
            <w:tcW w:w="240" w:type="dxa"/>
            <w:vAlign w:val="bottom"/>
          </w:tcPr>
          <w:p>
            <w:pPr>
              <w:spacing w:after="0"/>
              <w:rPr>
                <w:sz w:val="21"/>
                <w:szCs w:val="21"/>
                <w:color w:val="auto"/>
              </w:rPr>
            </w:pPr>
          </w:p>
        </w:tc>
        <w:tc>
          <w:tcPr>
            <w:tcW w:w="2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rPr>
              <w:t>(2,100)</w:t>
            </w:r>
          </w:p>
        </w:tc>
      </w:tr>
      <w:tr>
        <w:trPr>
          <w:trHeight w:val="27"/>
        </w:trPr>
        <w:tc>
          <w:tcPr>
            <w:tcW w:w="62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r>
      <w:tr>
        <w:trPr>
          <w:trHeight w:val="269"/>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August 31, 2015</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1,692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45,688</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2"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122" w:right="239" w:bottom="1440" w:gutter="0" w:footer="0" w:header="0"/>
          <w:type w:val="continuous"/>
        </w:sectPr>
      </w:pPr>
    </w:p>
    <w:bookmarkStart w:id="16" w:name="page17"/>
    <w:bookmarkEnd w:id="1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ind w:right="20" w:firstLine="8"/>
        <w:spacing w:after="0" w:line="277" w:lineRule="auto"/>
        <w:tabs>
          <w:tab w:leader="none" w:pos="255"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 in present value of contingent consideration is included in earnings and comprised of changes in estimated earn out payments based on projections of company performance and the amortization of the present value discount.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Contingent Liabilities for Acquisition Earn Outs</w:t>
      </w:r>
    </w:p>
    <w:p>
      <w:pPr>
        <w:spacing w:after="0" w:line="121" w:lineRule="exact"/>
        <w:rPr>
          <w:sz w:val="20"/>
          <w:szCs w:val="20"/>
          <w:color w:val="auto"/>
        </w:rPr>
      </w:pPr>
    </w:p>
    <w:p>
      <w:pPr>
        <w:ind w:right="60" w:firstLine="432"/>
        <w:spacing w:after="0" w:line="272" w:lineRule="auto"/>
        <w:rPr>
          <w:sz w:val="20"/>
          <w:szCs w:val="20"/>
          <w:color w:val="auto"/>
        </w:rPr>
      </w:pPr>
      <w:r>
        <w:rPr>
          <w:rFonts w:ascii="Arial" w:cs="Arial" w:eastAsia="Arial" w:hAnsi="Arial"/>
          <w:sz w:val="17"/>
          <w:szCs w:val="17"/>
          <w:color w:val="auto"/>
        </w:rPr>
        <w:t>Certain of our business combinations involve the potential for the payment of future contingent consideration upon the achievement of certain product development milestones or various other performance conditions. Payment of the additional consideration is generally contingent on the acquired company reaching certain performance milestones, including attaining specified revenue levels or product development targets. Contingent consideration is recorded at the estimated fair value of the contingent payments on the acquisition date. The fair value of the contingent consideration is remeasured at the estimated fair value at each reporting period with the change in fair value recognized as income or expense within change in fair value of contingent consideration in the consolidated statements of income. We measure the initial liability and remeasure the liability on a recurring basis using Level 3 inputs as defined under authoritative guidance for fair value measurements.</w:t>
      </w:r>
    </w:p>
    <w:p>
      <w:pPr>
        <w:spacing w:after="0" w:line="178" w:lineRule="exact"/>
        <w:rPr>
          <w:sz w:val="20"/>
          <w:szCs w:val="20"/>
          <w:color w:val="auto"/>
        </w:rPr>
      </w:pPr>
    </w:p>
    <w:p>
      <w:pPr>
        <w:ind w:right="160" w:firstLine="432"/>
        <w:spacing w:after="0" w:line="259" w:lineRule="auto"/>
        <w:rPr>
          <w:sz w:val="20"/>
          <w:szCs w:val="20"/>
          <w:color w:val="auto"/>
        </w:rPr>
      </w:pPr>
      <w:r>
        <w:rPr>
          <w:rFonts w:ascii="Arial" w:cs="Arial" w:eastAsia="Arial" w:hAnsi="Arial"/>
          <w:sz w:val="18"/>
          <w:szCs w:val="18"/>
          <w:color w:val="auto"/>
        </w:rPr>
        <w:t>The fair value of our liability for contingent consideration is determined using a discounted cash flow model applied to projected net sales, using probabilities of achieving projected net sales and projected payment dates. Projected net sales are based on our internal projections and extensive analysis of the target market and the sales potential. Increases or decreases in any valuation inputs in isolation may result in a significantly lower or higher fair value measurement in the future.</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recurring Level 3 fair value measurements of the contingent consideration liabilities include the following significant unobservable inputs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August 31, 2015 (in thousands of dollars):</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ind w:right="170"/>
              <w:spacing w:after="0"/>
              <w:rPr>
                <w:sz w:val="20"/>
                <w:szCs w:val="20"/>
                <w:color w:val="auto"/>
              </w:rPr>
            </w:pPr>
            <w:r>
              <w:rPr>
                <w:rFonts w:ascii="Arial" w:cs="Arial" w:eastAsia="Arial" w:hAnsi="Arial"/>
                <w:sz w:val="18"/>
                <w:szCs w:val="18"/>
                <w:b w:val="1"/>
                <w:bCs w:val="1"/>
                <w:color w:val="auto"/>
                <w:w w:val="98"/>
              </w:rPr>
              <w:t>Fair value at</w:t>
            </w:r>
          </w:p>
        </w:tc>
        <w:tc>
          <w:tcPr>
            <w:tcW w:w="120" w:type="dxa"/>
            <w:vAlign w:val="bottom"/>
          </w:tcPr>
          <w:p>
            <w:pPr>
              <w:spacing w:after="0"/>
              <w:rPr>
                <w:sz w:val="20"/>
                <w:szCs w:val="20"/>
                <w:color w:val="auto"/>
              </w:rPr>
            </w:pPr>
          </w:p>
        </w:tc>
        <w:tc>
          <w:tcPr>
            <w:tcW w:w="21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Valuation</w:t>
            </w:r>
          </w:p>
        </w:tc>
        <w:tc>
          <w:tcPr>
            <w:tcW w:w="3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vMerge w:val="restart"/>
          </w:tcPr>
          <w:p>
            <w:pPr>
              <w:jc w:val="right"/>
              <w:ind w:right="170"/>
              <w:spacing w:after="0"/>
              <w:rPr>
                <w:sz w:val="20"/>
                <w:szCs w:val="20"/>
                <w:color w:val="auto"/>
              </w:rPr>
            </w:pPr>
            <w:r>
              <w:rPr>
                <w:rFonts w:ascii="Arial" w:cs="Arial" w:eastAsia="Arial" w:hAnsi="Arial"/>
                <w:sz w:val="18"/>
                <w:szCs w:val="18"/>
                <w:b w:val="1"/>
                <w:bCs w:val="1"/>
                <w:color w:val="auto"/>
                <w:w w:val="94"/>
              </w:rPr>
              <w:t>Aug 31, 2015</w:t>
            </w:r>
          </w:p>
        </w:tc>
        <w:tc>
          <w:tcPr>
            <w:tcW w:w="120" w:type="dxa"/>
            <w:vAlign w:val="bottom"/>
          </w:tcPr>
          <w:p>
            <w:pPr>
              <w:spacing w:after="0"/>
              <w:rPr>
                <w:sz w:val="2"/>
                <w:szCs w:val="2"/>
                <w:color w:val="auto"/>
              </w:rPr>
            </w:pPr>
          </w:p>
        </w:tc>
        <w:tc>
          <w:tcPr>
            <w:tcW w:w="20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8"/>
              </w:rPr>
              <w:t>Technique</w:t>
            </w:r>
          </w:p>
        </w:tc>
        <w:tc>
          <w:tcPr>
            <w:tcW w:w="120" w:type="dxa"/>
            <w:vAlign w:val="bottom"/>
            <w:vMerge w:val="restart"/>
          </w:tcPr>
          <w:p>
            <w:pPr>
              <w:spacing w:after="0"/>
              <w:rPr>
                <w:sz w:val="2"/>
                <w:szCs w:val="2"/>
                <w:color w:val="auto"/>
              </w:rPr>
            </w:pPr>
          </w:p>
        </w:tc>
        <w:tc>
          <w:tcPr>
            <w:tcW w:w="3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8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vMerge w:val="continue"/>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040" w:type="dxa"/>
            <w:vAlign w:val="bottom"/>
            <w:tcBorders>
              <w:bottom w:val="single" w:sz="8" w:color="auto"/>
            </w:tcBorders>
            <w:vMerge w:val="continue"/>
          </w:tcPr>
          <w:p>
            <w:pPr>
              <w:spacing w:after="0"/>
              <w:rPr>
                <w:sz w:val="21"/>
                <w:szCs w:val="21"/>
                <w:color w:val="auto"/>
              </w:rPr>
            </w:pPr>
          </w:p>
        </w:tc>
        <w:tc>
          <w:tcPr>
            <w:tcW w:w="120" w:type="dxa"/>
            <w:vAlign w:val="bottom"/>
            <w:tcBorders>
              <w:bottom w:val="single" w:sz="8" w:color="CCEEFF"/>
            </w:tcBorders>
            <w:vMerge w:val="continue"/>
          </w:tcPr>
          <w:p>
            <w:pPr>
              <w:spacing w:after="0"/>
              <w:rPr>
                <w:sz w:val="21"/>
                <w:szCs w:val="21"/>
                <w:color w:val="auto"/>
              </w:rPr>
            </w:pPr>
          </w:p>
        </w:tc>
        <w:tc>
          <w:tcPr>
            <w:tcW w:w="3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Unobservable Input</w:t>
            </w:r>
          </w:p>
        </w:tc>
        <w:tc>
          <w:tcPr>
            <w:tcW w:w="120" w:type="dxa"/>
            <w:vAlign w:val="bottom"/>
            <w:tcBorders>
              <w:bottom w:val="single" w:sz="8" w:color="CCEEFF"/>
            </w:tcBorders>
          </w:tcPr>
          <w:p>
            <w:pPr>
              <w:spacing w:after="0"/>
              <w:rPr>
                <w:sz w:val="21"/>
                <w:szCs w:val="21"/>
                <w:color w:val="auto"/>
              </w:rPr>
            </w:pPr>
          </w:p>
        </w:tc>
        <w:tc>
          <w:tcPr>
            <w:tcW w:w="124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Range</w:t>
            </w:r>
          </w:p>
        </w:tc>
        <w:tc>
          <w:tcPr>
            <w:tcW w:w="0" w:type="dxa"/>
            <w:vAlign w:val="bottom"/>
          </w:tcPr>
          <w:p>
            <w:pPr>
              <w:spacing w:after="0"/>
              <w:rPr>
                <w:sz w:val="1"/>
                <w:szCs w:val="1"/>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 based payments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43,039</w:t>
            </w:r>
          </w:p>
        </w:tc>
        <w:tc>
          <w:tcPr>
            <w:tcW w:w="12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Discounted cash flow</w:t>
            </w:r>
          </w:p>
        </w:tc>
        <w:tc>
          <w:tcPr>
            <w:tcW w:w="35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Discount rate</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4%</w:t>
            </w:r>
          </w:p>
        </w:tc>
        <w:tc>
          <w:tcPr>
            <w:tcW w:w="0" w:type="dxa"/>
            <w:vAlign w:val="bottom"/>
          </w:tcPr>
          <w:p>
            <w:pPr>
              <w:spacing w:after="0"/>
              <w:rPr>
                <w:sz w:val="1"/>
                <w:szCs w:val="1"/>
                <w:color w:val="auto"/>
              </w:rPr>
            </w:pPr>
          </w:p>
        </w:tc>
      </w:tr>
      <w:tr>
        <w:trPr>
          <w:trHeight w:val="243"/>
        </w:trPr>
        <w:tc>
          <w:tcPr>
            <w:tcW w:w="28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52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Probability of achieving sales</w:t>
            </w: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75-100%</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5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Projected fiscal year of payment</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2016 - 2022</w:t>
            </w:r>
          </w:p>
        </w:tc>
        <w:tc>
          <w:tcPr>
            <w:tcW w:w="0" w:type="dxa"/>
            <w:vAlign w:val="bottom"/>
          </w:tcPr>
          <w:p>
            <w:pPr>
              <w:spacing w:after="0"/>
              <w:rPr>
                <w:sz w:val="1"/>
                <w:szCs w:val="1"/>
                <w:color w:val="auto"/>
              </w:rPr>
            </w:pPr>
          </w:p>
        </w:tc>
      </w:tr>
      <w:tr>
        <w:trPr>
          <w:trHeight w:val="243"/>
        </w:trPr>
        <w:tc>
          <w:tcPr>
            <w:tcW w:w="2880" w:type="dxa"/>
            <w:vAlign w:val="bottom"/>
          </w:tcPr>
          <w:p>
            <w:pPr>
              <w:ind w:left="40"/>
              <w:spacing w:after="0"/>
              <w:rPr>
                <w:sz w:val="20"/>
                <w:szCs w:val="20"/>
                <w:color w:val="auto"/>
              </w:rPr>
            </w:pPr>
            <w:r>
              <w:rPr>
                <w:rFonts w:ascii="Arial" w:cs="Arial" w:eastAsia="Arial" w:hAnsi="Arial"/>
                <w:sz w:val="18"/>
                <w:szCs w:val="18"/>
                <w:color w:val="auto"/>
              </w:rPr>
              <w:t>Milestone based payments</w:t>
            </w:r>
          </w:p>
        </w:tc>
        <w:tc>
          <w:tcPr>
            <w:tcW w:w="18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2,649</w:t>
            </w:r>
          </w:p>
        </w:tc>
        <w:tc>
          <w:tcPr>
            <w:tcW w:w="120" w:type="dxa"/>
            <w:vAlign w:val="bottom"/>
          </w:tcPr>
          <w:p>
            <w:pPr>
              <w:spacing w:after="0"/>
              <w:rPr>
                <w:sz w:val="21"/>
                <w:szCs w:val="21"/>
                <w:color w:val="auto"/>
              </w:rPr>
            </w:pPr>
          </w:p>
        </w:tc>
        <w:tc>
          <w:tcPr>
            <w:tcW w:w="2160" w:type="dxa"/>
            <w:vAlign w:val="bottom"/>
            <w:gridSpan w:val="2"/>
          </w:tcPr>
          <w:p>
            <w:pPr>
              <w:ind w:left="20"/>
              <w:spacing w:after="0"/>
              <w:rPr>
                <w:sz w:val="20"/>
                <w:szCs w:val="20"/>
                <w:color w:val="auto"/>
              </w:rPr>
            </w:pPr>
            <w:r>
              <w:rPr>
                <w:rFonts w:ascii="Arial" w:cs="Arial" w:eastAsia="Arial" w:hAnsi="Arial"/>
                <w:sz w:val="18"/>
                <w:szCs w:val="18"/>
                <w:color w:val="auto"/>
              </w:rPr>
              <w:t>Discounted cash flow</w:t>
            </w:r>
          </w:p>
        </w:tc>
        <w:tc>
          <w:tcPr>
            <w:tcW w:w="352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Discount rate</w:t>
            </w:r>
          </w:p>
        </w:tc>
        <w:tc>
          <w:tcPr>
            <w:tcW w:w="1240" w:type="dxa"/>
            <w:vAlign w:val="bottom"/>
          </w:tcPr>
          <w:p>
            <w:pPr>
              <w:jc w:val="center"/>
              <w:spacing w:after="0"/>
              <w:rPr>
                <w:sz w:val="20"/>
                <w:szCs w:val="20"/>
                <w:color w:val="auto"/>
              </w:rPr>
            </w:pPr>
            <w:r>
              <w:rPr>
                <w:rFonts w:ascii="Arial" w:cs="Arial" w:eastAsia="Arial" w:hAnsi="Arial"/>
                <w:sz w:val="18"/>
                <w:szCs w:val="18"/>
                <w:color w:val="auto"/>
                <w:w w:val="88"/>
              </w:rPr>
              <w:t>16%</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5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Probability of achieving milestone</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75-100%</w:t>
            </w:r>
          </w:p>
        </w:tc>
        <w:tc>
          <w:tcPr>
            <w:tcW w:w="0" w:type="dxa"/>
            <w:vAlign w:val="bottom"/>
          </w:tcPr>
          <w:p>
            <w:pPr>
              <w:spacing w:after="0"/>
              <w:rPr>
                <w:sz w:val="1"/>
                <w:szCs w:val="1"/>
                <w:color w:val="auto"/>
              </w:rPr>
            </w:pPr>
          </w:p>
        </w:tc>
      </w:tr>
      <w:tr>
        <w:trPr>
          <w:trHeight w:val="243"/>
        </w:trPr>
        <w:tc>
          <w:tcPr>
            <w:tcW w:w="28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52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Projected fiscal year of payment</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2017</w:t>
            </w:r>
          </w:p>
        </w:tc>
        <w:tc>
          <w:tcPr>
            <w:tcW w:w="0" w:type="dxa"/>
            <w:vAlign w:val="bottom"/>
          </w:tcPr>
          <w:p>
            <w:pPr>
              <w:spacing w:after="0"/>
              <w:rPr>
                <w:sz w:val="1"/>
                <w:szCs w:val="1"/>
                <w:color w:val="auto"/>
              </w:rPr>
            </w:pPr>
          </w:p>
        </w:tc>
      </w:tr>
      <w:tr>
        <w:trPr>
          <w:trHeight w:val="27"/>
        </w:trPr>
        <w:tc>
          <w:tcPr>
            <w:tcW w:w="28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45,688</w:t>
            </w:r>
          </w:p>
        </w:tc>
        <w:tc>
          <w:tcPr>
            <w:tcW w:w="120" w:type="dxa"/>
            <w:vAlign w:val="bottom"/>
            <w:tcBorders>
              <w:bottom w:val="single" w:sz="8" w:color="CCEEFF"/>
            </w:tcBorders>
            <w:shd w:val="clear" w:color="auto" w:fill="CCEEFF"/>
          </w:tcPr>
          <w:p>
            <w:pPr>
              <w:spacing w:after="0"/>
              <w:rPr>
                <w:sz w:val="22"/>
                <w:szCs w:val="22"/>
                <w:color w:val="auto"/>
              </w:rPr>
            </w:pPr>
          </w:p>
        </w:tc>
        <w:tc>
          <w:tcPr>
            <w:tcW w:w="2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0" w:firstLine="432"/>
        <w:spacing w:after="0" w:line="264" w:lineRule="auto"/>
        <w:rPr>
          <w:sz w:val="20"/>
          <w:szCs w:val="20"/>
          <w:color w:val="auto"/>
        </w:rPr>
      </w:pPr>
      <w:r>
        <w:rPr>
          <w:rFonts w:ascii="Arial" w:cs="Arial" w:eastAsia="Arial" w:hAnsi="Arial"/>
          <w:sz w:val="18"/>
          <w:szCs w:val="18"/>
          <w:color w:val="auto"/>
        </w:rPr>
        <w:t>At August 31, 2015, the estimated potential amount of undiscounted future contingent consideration that we expect to pay as a result of all completed acquisitions is approximately $52.0 million. The milestones, including sales projections, associated with the contingent consideration must be reached in future periods ranging from fiscal years 2016 to 2023 in order for the associated consideration to be paid.</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K – MARKETABLE SECURITIES</w:t>
      </w:r>
    </w:p>
    <w:p>
      <w:pPr>
        <w:spacing w:after="0" w:line="121" w:lineRule="exact"/>
        <w:rPr>
          <w:sz w:val="20"/>
          <w:szCs w:val="20"/>
          <w:color w:val="auto"/>
        </w:rPr>
      </w:pPr>
    </w:p>
    <w:p>
      <w:pPr>
        <w:ind w:right="100" w:firstLine="432"/>
        <w:spacing w:after="0" w:line="270" w:lineRule="auto"/>
        <w:rPr>
          <w:sz w:val="20"/>
          <w:szCs w:val="20"/>
          <w:color w:val="auto"/>
        </w:rPr>
      </w:pPr>
      <w:r>
        <w:rPr>
          <w:rFonts w:ascii="Arial" w:cs="Arial" w:eastAsia="Arial" w:hAnsi="Arial"/>
          <w:sz w:val="17"/>
          <w:szCs w:val="17"/>
          <w:color w:val="auto"/>
        </w:rPr>
        <w:t>Marketable securities, which are principally government agency bonds, auction rate investments and corporate commercial paper, are classified as “available-for-sale securities” and are reported at fair value, with unrealized gains and losses excluded from operations and reported as accumulated other comprehensive income (loss), net of the related tax effects, in stockholders’ equity. Cost is determined using the specific identification method. We hold investments in auction rate securities in order to generate higher than typical money market rate investment returns. Auction rate securities typically are high credit quality, generally achieved with municipal bond insurance. Credit risks are eased by the historical track record of bond insurers, which back a majority of this market. Sell orders for any security traded through an auction process could exceed bids and, in such cases, the auction fails and we may be unable to liquidate our position in the securities in the near term. As of August 31, 2015 and May 31, 2015, we had $1.7 million and $1.7 million, respectively, in investments in two auction rate securities issued by New York state and local government authorities that failed auctions. The authorities are current in their interest payments on the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2" w:right="239" w:bottom="1440" w:gutter="0" w:footer="0" w:header="0"/>
        </w:sectPr>
      </w:pPr>
    </w:p>
    <w:bookmarkStart w:id="17" w:name="page18"/>
    <w:bookmarkEnd w:id="1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August 31, 2015 and May 31, 2015, marketable securities consisted of the following (in thousands of dollars):</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8"/>
                <w:szCs w:val="18"/>
                <w:color w:val="auto"/>
                <w:w w:val="87"/>
              </w:rPr>
              <w:t>Gross</w:t>
            </w:r>
          </w:p>
        </w:tc>
        <w:tc>
          <w:tcPr>
            <w:tcW w:w="16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8"/>
                <w:szCs w:val="18"/>
                <w:color w:val="auto"/>
                <w:w w:val="87"/>
              </w:rPr>
              <w:t>Gross</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6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Amortized</w:t>
            </w:r>
          </w:p>
        </w:tc>
        <w:tc>
          <w:tcPr>
            <w:tcW w:w="18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Unrealized</w:t>
            </w:r>
          </w:p>
        </w:tc>
        <w:tc>
          <w:tcPr>
            <w:tcW w:w="16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Unrealized</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51"/>
        </w:trPr>
        <w:tc>
          <w:tcPr>
            <w:tcW w:w="6520" w:type="dxa"/>
            <w:vAlign w:val="bottom"/>
          </w:tcPr>
          <w:p>
            <w:pPr>
              <w:ind w:left="40"/>
              <w:spacing w:after="0"/>
              <w:rPr>
                <w:sz w:val="20"/>
                <w:szCs w:val="20"/>
                <w:color w:val="auto"/>
              </w:rPr>
            </w:pPr>
            <w:r>
              <w:rPr>
                <w:rFonts w:ascii="Arial" w:cs="Arial" w:eastAsia="Arial" w:hAnsi="Arial"/>
                <w:sz w:val="18"/>
                <w:szCs w:val="18"/>
                <w:color w:val="auto"/>
              </w:rPr>
              <w:t>As of August 31, 2015</w:t>
            </w:r>
          </w:p>
        </w:tc>
        <w:tc>
          <w:tcPr>
            <w:tcW w:w="160" w:type="dxa"/>
            <w:vAlign w:val="bottom"/>
          </w:tcPr>
          <w:p>
            <w:pPr>
              <w:spacing w:after="0"/>
              <w:rPr>
                <w:sz w:val="21"/>
                <w:szCs w:val="21"/>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color w:val="auto"/>
                <w:w w:val="84"/>
              </w:rPr>
              <w:t>cost</w:t>
            </w:r>
          </w:p>
        </w:tc>
        <w:tc>
          <w:tcPr>
            <w:tcW w:w="180" w:type="dxa"/>
            <w:vAlign w:val="bottom"/>
          </w:tcPr>
          <w:p>
            <w:pPr>
              <w:spacing w:after="0"/>
              <w:rPr>
                <w:sz w:val="21"/>
                <w:szCs w:val="21"/>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Gains</w:t>
            </w:r>
          </w:p>
        </w:tc>
        <w:tc>
          <w:tcPr>
            <w:tcW w:w="160" w:type="dxa"/>
            <w:vAlign w:val="bottom"/>
          </w:tcPr>
          <w:p>
            <w:pPr>
              <w:spacing w:after="0"/>
              <w:rPr>
                <w:sz w:val="21"/>
                <w:szCs w:val="21"/>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color w:val="auto"/>
                <w:w w:val="84"/>
              </w:rPr>
              <w:t>Losses</w:t>
            </w:r>
          </w:p>
        </w:tc>
        <w:tc>
          <w:tcPr>
            <w:tcW w:w="140" w:type="dxa"/>
            <w:vAlign w:val="bottom"/>
          </w:tcPr>
          <w:p>
            <w:pPr>
              <w:spacing w:after="0"/>
              <w:rPr>
                <w:sz w:val="21"/>
                <w:szCs w:val="21"/>
                <w:color w:val="auto"/>
              </w:rPr>
            </w:pPr>
          </w:p>
        </w:tc>
        <w:tc>
          <w:tcPr>
            <w:tcW w:w="760" w:type="dxa"/>
            <w:vAlign w:val="bottom"/>
          </w:tcPr>
          <w:p>
            <w:pPr>
              <w:jc w:val="right"/>
              <w:ind w:right="76"/>
              <w:spacing w:after="0"/>
              <w:rPr>
                <w:sz w:val="20"/>
                <w:szCs w:val="20"/>
                <w:color w:val="auto"/>
              </w:rPr>
            </w:pPr>
            <w:r>
              <w:rPr>
                <w:rFonts w:ascii="Arial" w:cs="Arial" w:eastAsia="Arial" w:hAnsi="Arial"/>
                <w:sz w:val="14"/>
                <w:szCs w:val="14"/>
                <w:color w:val="auto"/>
                <w:w w:val="90"/>
              </w:rPr>
              <w:t>Fair Value</w:t>
            </w:r>
          </w:p>
        </w:tc>
      </w:tr>
      <w:tr>
        <w:trPr>
          <w:trHeight w:val="250"/>
        </w:trPr>
        <w:tc>
          <w:tcPr>
            <w:tcW w:w="65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Available-for-sale securities</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U.S. government agency obligations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1,825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(133)</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6"/>
              <w:spacing w:after="0"/>
              <w:rPr>
                <w:sz w:val="20"/>
                <w:szCs w:val="20"/>
                <w:color w:val="auto"/>
              </w:rPr>
            </w:pPr>
            <w:r>
              <w:rPr>
                <w:rFonts w:ascii="Arial" w:cs="Arial" w:eastAsia="Arial" w:hAnsi="Arial"/>
                <w:sz w:val="18"/>
                <w:szCs w:val="18"/>
                <w:color w:val="auto"/>
              </w:rPr>
              <w:t>1,692</w:t>
            </w:r>
          </w:p>
        </w:tc>
      </w:tr>
      <w:tr>
        <w:trPr>
          <w:trHeight w:val="27"/>
        </w:trPr>
        <w:tc>
          <w:tcPr>
            <w:tcW w:w="65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69"/>
        </w:trPr>
        <w:tc>
          <w:tcPr>
            <w:tcW w:w="65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1,825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1,692</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r>
        <w:trPr>
          <w:trHeight w:val="601"/>
        </w:trPr>
        <w:tc>
          <w:tcPr>
            <w:tcW w:w="6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8"/>
                <w:szCs w:val="18"/>
                <w:color w:val="auto"/>
                <w:w w:val="87"/>
              </w:rPr>
              <w:t>Gross</w:t>
            </w:r>
          </w:p>
        </w:tc>
        <w:tc>
          <w:tcPr>
            <w:tcW w:w="160" w:type="dxa"/>
            <w:vAlign w:val="bottom"/>
          </w:tcPr>
          <w:p>
            <w:pPr>
              <w:spacing w:after="0"/>
              <w:rPr>
                <w:sz w:val="24"/>
                <w:szCs w:val="2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8"/>
                <w:szCs w:val="18"/>
                <w:color w:val="auto"/>
                <w:w w:val="87"/>
              </w:rPr>
              <w:t>Gross</w:t>
            </w: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16"/>
        </w:trPr>
        <w:tc>
          <w:tcPr>
            <w:tcW w:w="6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Amortized</w:t>
            </w:r>
          </w:p>
        </w:tc>
        <w:tc>
          <w:tcPr>
            <w:tcW w:w="18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Unrealized</w:t>
            </w:r>
          </w:p>
        </w:tc>
        <w:tc>
          <w:tcPr>
            <w:tcW w:w="16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Unrealized</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51"/>
        </w:trPr>
        <w:tc>
          <w:tcPr>
            <w:tcW w:w="6520" w:type="dxa"/>
            <w:vAlign w:val="bottom"/>
          </w:tcPr>
          <w:p>
            <w:pPr>
              <w:ind w:left="40"/>
              <w:spacing w:after="0"/>
              <w:rPr>
                <w:sz w:val="20"/>
                <w:szCs w:val="20"/>
                <w:color w:val="auto"/>
              </w:rPr>
            </w:pPr>
            <w:r>
              <w:rPr>
                <w:rFonts w:ascii="Arial" w:cs="Arial" w:eastAsia="Arial" w:hAnsi="Arial"/>
                <w:sz w:val="18"/>
                <w:szCs w:val="18"/>
                <w:color w:val="auto"/>
              </w:rPr>
              <w:t>As of May 31, 2015</w:t>
            </w:r>
          </w:p>
        </w:tc>
        <w:tc>
          <w:tcPr>
            <w:tcW w:w="160" w:type="dxa"/>
            <w:vAlign w:val="bottom"/>
          </w:tcPr>
          <w:p>
            <w:pPr>
              <w:spacing w:after="0"/>
              <w:rPr>
                <w:sz w:val="21"/>
                <w:szCs w:val="21"/>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color w:val="auto"/>
                <w:w w:val="84"/>
              </w:rPr>
              <w:t>cost</w:t>
            </w:r>
          </w:p>
        </w:tc>
        <w:tc>
          <w:tcPr>
            <w:tcW w:w="180" w:type="dxa"/>
            <w:vAlign w:val="bottom"/>
          </w:tcPr>
          <w:p>
            <w:pPr>
              <w:spacing w:after="0"/>
              <w:rPr>
                <w:sz w:val="21"/>
                <w:szCs w:val="21"/>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Gains</w:t>
            </w:r>
          </w:p>
        </w:tc>
        <w:tc>
          <w:tcPr>
            <w:tcW w:w="160" w:type="dxa"/>
            <w:vAlign w:val="bottom"/>
          </w:tcPr>
          <w:p>
            <w:pPr>
              <w:spacing w:after="0"/>
              <w:rPr>
                <w:sz w:val="21"/>
                <w:szCs w:val="21"/>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color w:val="auto"/>
                <w:w w:val="84"/>
              </w:rPr>
              <w:t>Losses</w:t>
            </w:r>
          </w:p>
        </w:tc>
        <w:tc>
          <w:tcPr>
            <w:tcW w:w="140" w:type="dxa"/>
            <w:vAlign w:val="bottom"/>
          </w:tcPr>
          <w:p>
            <w:pPr>
              <w:spacing w:after="0"/>
              <w:rPr>
                <w:sz w:val="21"/>
                <w:szCs w:val="21"/>
                <w:color w:val="auto"/>
              </w:rPr>
            </w:pPr>
          </w:p>
        </w:tc>
        <w:tc>
          <w:tcPr>
            <w:tcW w:w="760" w:type="dxa"/>
            <w:vAlign w:val="bottom"/>
          </w:tcPr>
          <w:p>
            <w:pPr>
              <w:jc w:val="right"/>
              <w:ind w:right="76"/>
              <w:spacing w:after="0"/>
              <w:rPr>
                <w:sz w:val="20"/>
                <w:szCs w:val="20"/>
                <w:color w:val="auto"/>
              </w:rPr>
            </w:pPr>
            <w:r>
              <w:rPr>
                <w:rFonts w:ascii="Arial" w:cs="Arial" w:eastAsia="Arial" w:hAnsi="Arial"/>
                <w:sz w:val="14"/>
                <w:szCs w:val="14"/>
                <w:color w:val="auto"/>
                <w:w w:val="90"/>
              </w:rPr>
              <w:t>Fair Value</w:t>
            </w:r>
          </w:p>
        </w:tc>
      </w:tr>
      <w:tr>
        <w:trPr>
          <w:trHeight w:val="250"/>
        </w:trPr>
        <w:tc>
          <w:tcPr>
            <w:tcW w:w="65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Available-for-sale securities</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U.S. government agency obligations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1,825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6"/>
              <w:spacing w:after="0"/>
              <w:rPr>
                <w:sz w:val="20"/>
                <w:szCs w:val="20"/>
                <w:color w:val="auto"/>
              </w:rPr>
            </w:pPr>
            <w:r>
              <w:rPr>
                <w:rFonts w:ascii="Arial" w:cs="Arial" w:eastAsia="Arial" w:hAnsi="Arial"/>
                <w:sz w:val="18"/>
                <w:szCs w:val="18"/>
                <w:color w:val="auto"/>
              </w:rPr>
              <w:t>1,689</w:t>
            </w:r>
          </w:p>
        </w:tc>
      </w:tr>
      <w:tr>
        <w:trPr>
          <w:trHeight w:val="27"/>
        </w:trPr>
        <w:tc>
          <w:tcPr>
            <w:tcW w:w="65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69"/>
        </w:trPr>
        <w:tc>
          <w:tcPr>
            <w:tcW w:w="65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1,825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1,689</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L – COMMITMENTS AND CONTINGENCIES</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Legal Proceedings</w:t>
      </w:r>
    </w:p>
    <w:p>
      <w:pPr>
        <w:spacing w:after="0" w:line="109" w:lineRule="exact"/>
        <w:rPr>
          <w:sz w:val="20"/>
          <w:szCs w:val="20"/>
          <w:color w:val="auto"/>
        </w:rPr>
      </w:pPr>
    </w:p>
    <w:p>
      <w:pPr>
        <w:ind w:right="140" w:firstLine="648"/>
        <w:spacing w:after="0" w:line="302" w:lineRule="auto"/>
        <w:rPr>
          <w:sz w:val="20"/>
          <w:szCs w:val="20"/>
          <w:color w:val="auto"/>
        </w:rPr>
      </w:pPr>
      <w:r>
        <w:rPr>
          <w:rFonts w:ascii="Arial" w:cs="Arial" w:eastAsia="Arial" w:hAnsi="Arial"/>
          <w:sz w:val="16"/>
          <w:szCs w:val="16"/>
          <w:color w:val="auto"/>
        </w:rPr>
        <w:t>The Company is involved in various legal proceedings, including commercial, intellectual property, product liability, regulatory and environmental matters of a nature considered normal for its business. The Company accrues for amounts related to these matters if it is probable that a liability has been incurred, and an amount can be reasonably estimated. The Company discloses such matters when there is at least a reasonable possibility that a material loss may have been incurred. However, the Company cannot predict the outcome of any litigation or the potential for future litigation.</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AngioDynamics v. biolitec</w:t>
      </w:r>
    </w:p>
    <w:p>
      <w:pPr>
        <w:spacing w:after="0" w:line="117" w:lineRule="exact"/>
        <w:rPr>
          <w:sz w:val="20"/>
          <w:szCs w:val="20"/>
          <w:color w:val="auto"/>
        </w:rPr>
      </w:pPr>
    </w:p>
    <w:p>
      <w:pPr>
        <w:ind w:right="40" w:firstLine="878"/>
        <w:spacing w:after="0" w:line="272" w:lineRule="auto"/>
        <w:rPr>
          <w:sz w:val="20"/>
          <w:szCs w:val="20"/>
          <w:color w:val="auto"/>
        </w:rPr>
      </w:pPr>
      <w:r>
        <w:rPr>
          <w:rFonts w:ascii="Arial" w:cs="Arial" w:eastAsia="Arial" w:hAnsi="Arial"/>
          <w:sz w:val="17"/>
          <w:szCs w:val="17"/>
          <w:color w:val="auto"/>
        </w:rPr>
        <w:t>On January 2, 2008, we commenced an action in the United States District Court for the Northern District of New York entitled AngioDynamics, Inc. v. biolitec, Inc. In this action, we sought judgment against biolitec for defense and indemnification in two lawsuits which we previously settled. Our claims arise out of a Supply and Distribution Agreement (“SDA”) entered into with biolitec on April 1, 2002. On September 27, 2011, the U.S. District Court granted key portions of our motion for summary judgment in our legal case against biolitec. The Court also dismissed biolitec’s counterclaims against us. The court denied one portion of our summary judgment motion, which sought to recover additional costs from biolitec, leaving this for adjudication at trial. On November 8, 2012, the Court granted partial judgment to us in the amount of $23.2 million. Biolitec appealed this judgment. On August 23, 2013, the U.S. Court of Appeals for the Second Circuit dismissed biolitec’s appeal.</w:t>
      </w:r>
    </w:p>
    <w:p>
      <w:pPr>
        <w:spacing w:after="0" w:line="70" w:lineRule="exact"/>
        <w:rPr>
          <w:sz w:val="20"/>
          <w:szCs w:val="20"/>
          <w:color w:val="auto"/>
        </w:rPr>
      </w:pPr>
    </w:p>
    <w:p>
      <w:pPr>
        <w:ind w:right="40" w:firstLine="878"/>
        <w:spacing w:after="0" w:line="253" w:lineRule="auto"/>
        <w:rPr>
          <w:sz w:val="20"/>
          <w:szCs w:val="20"/>
          <w:color w:val="auto"/>
        </w:rPr>
      </w:pPr>
      <w:r>
        <w:rPr>
          <w:rFonts w:ascii="Arial" w:cs="Arial" w:eastAsia="Arial" w:hAnsi="Arial"/>
          <w:sz w:val="18"/>
          <w:szCs w:val="18"/>
          <w:color w:val="auto"/>
        </w:rPr>
        <w:t>In October 2009, we commenced an action in the United States District Court for the District of Massachusetts entitled AngioDynamics, Inc. v. biolitec AG and Wolfgang Neuberger. The Complaint in this action was amended in March 2010. This action seeks to recover against biolitec, Inc.’s parent entities and CEO for tortiously interfering with biolitec, Inc.’s contractual obligation to defend and indemnify us, and also seeks to pierce the corporate veil of biolitec, Inc. and to invalidate certain alleged fraudulent transfers in order to hold biolitec, Inc.’s parent entities jointly and severally liable for the alleged breach of the SDA. On September 13, 2012, the Massachusetts Court granted our request for a preliminary injunction prohibiting the downstream merger of biolitec AG with its Austrian subsidiary. On April 1, 2013, the U.S. Court of Appeals for the First Circuit affirmed the preliminary injunction. On January 14, 2014, the District Court entered judgment in our favor as to liability. On March 18, 2014, the District Court entered judgment in our favor against Biolitec AG, Biomed Technology Holdings, Ltd., and Wolfgang Neuberger, jointly and severally, in the amount of $74.9 million. On March 11, 2015, the U.S. Court of Appeals for the First Circuit affirmed the judgment. The defendants have petitioned to the U.S. Supreme Court for a writ of certiorari. The petition is still pending.</w:t>
      </w:r>
    </w:p>
    <w:p>
      <w:pPr>
        <w:spacing w:after="0" w:line="87" w:lineRule="exact"/>
        <w:rPr>
          <w:sz w:val="20"/>
          <w:szCs w:val="20"/>
          <w:color w:val="auto"/>
        </w:rPr>
      </w:pPr>
    </w:p>
    <w:p>
      <w:pPr>
        <w:ind w:right="40" w:firstLine="878"/>
        <w:spacing w:after="0" w:line="259" w:lineRule="auto"/>
        <w:rPr>
          <w:sz w:val="20"/>
          <w:szCs w:val="20"/>
          <w:color w:val="auto"/>
        </w:rPr>
      </w:pPr>
      <w:r>
        <w:rPr>
          <w:rFonts w:ascii="Arial" w:cs="Arial" w:eastAsia="Arial" w:hAnsi="Arial"/>
          <w:sz w:val="18"/>
          <w:szCs w:val="18"/>
          <w:color w:val="auto"/>
        </w:rPr>
        <w:t>On November 13, 2014, the U.S. District Court for the District of Massachusetts issued summonses to four Biolitec entities - Biolitec U.S., Inc., Biolitec Holding U.S., Inc., Biolitec Medical Devices, Inc., and CeramOptec Industries, Inc. - pursuant to Massachusetts trustee process. We sought to use this process to attach the assets of these entities in order to satisfy our judgment. The trustee process was automatically stayed when the four Biolitec entities filed Chapter 7 petitions in the U.S. Bankruptcy Court for the District of Delaware.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2" w:right="239" w:bottom="1440" w:gutter="0" w:footer="0" w:header="0"/>
        </w:sectPr>
      </w:pPr>
    </w:p>
    <w:bookmarkStart w:id="18" w:name="page19"/>
    <w:bookmarkEnd w:id="1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80" w:firstLine="878"/>
        <w:spacing w:after="0" w:line="276" w:lineRule="auto"/>
        <w:rPr>
          <w:sz w:val="20"/>
          <w:szCs w:val="20"/>
          <w:color w:val="auto"/>
        </w:rPr>
      </w:pPr>
      <w:r>
        <w:rPr>
          <w:rFonts w:ascii="Arial" w:cs="Arial" w:eastAsia="Arial" w:hAnsi="Arial"/>
          <w:sz w:val="17"/>
          <w:szCs w:val="17"/>
          <w:color w:val="auto"/>
        </w:rPr>
        <w:t>On August 29, 2013, we became co-plaintiffs in an adversary proceeding in the United States Bankruptcy Court for the District of New Jersey entitled Cyganowski, Trustee, et al. v. Biolitec U.S., Inc., et al. In this action, we assert claims of conversion, unjust enrichment, tortious interference, and unfair competition against various biolitec entities for alleged violation of Bankruptcy Court settlement and sale orders under which we acquired certain assets of Biolitec, Inc. On September 3, 2013, we, along with our co-plaintiff, obtained a temporary restraining order against the defendants in this action. On January 22, 2015, the Bankruptcy Court entered a permanent injunction on our behalf for an additional two years.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 Bard, Inc. v. AngioDynamics, Inc.</w:t>
      </w:r>
    </w:p>
    <w:p>
      <w:pPr>
        <w:spacing w:after="0" w:line="117" w:lineRule="exact"/>
        <w:rPr>
          <w:sz w:val="20"/>
          <w:szCs w:val="20"/>
          <w:color w:val="auto"/>
        </w:rPr>
      </w:pPr>
    </w:p>
    <w:p>
      <w:pPr>
        <w:ind w:right="20" w:firstLine="878"/>
        <w:spacing w:after="0" w:line="270" w:lineRule="auto"/>
        <w:rPr>
          <w:sz w:val="20"/>
          <w:szCs w:val="20"/>
          <w:color w:val="auto"/>
        </w:rPr>
      </w:pPr>
      <w:r>
        <w:rPr>
          <w:rFonts w:ascii="Arial" w:cs="Arial" w:eastAsia="Arial" w:hAnsi="Arial"/>
          <w:sz w:val="17"/>
          <w:szCs w:val="17"/>
          <w:color w:val="auto"/>
        </w:rPr>
        <w:t>On January 11, 2012, C.R. Bard, Inc. filed a suit in the United States District Court of Utah claiming certain of our implantable port products infringe on three U.S. patents held by Bard (the "Utah Action"). Bard is seeking unspecified damages and other relief. The Court denied Bard’s motion for pre-trial consolidation with separate actions it filed on the same day against Medical Components, Inc. and Smiths Medical ASD, Inc., but had asked for supplemental briefing on the issue of whether to conduct a common Markman hearing. Meanwhile, we filed petitions for reexamination in the US Patent and Trademark Office ("PTO") which seek to invalidate all three patents asserted in the litigation. Our petitions have been granted and 40 of 41 patent claims have been and remain rejected. The Patent Office has issued a Final Rejection of all the claims subject to reexamination and Bard has filed appeals. The parties have completed briefing on the appeals and oral argument was held on June 18, 2015. The parties are awaiting decision by the Board of Appeals and Interferences. The case has been stayed pending final resolution of the PTO process. The Company believes these claims are without merit and intends to defend them vigorously. The Company has not recorded an expense related to the outcome of this litigation because it is not yet possible to determine if a potential loss is probable nor reasonably estimable.</w:t>
      </w:r>
    </w:p>
    <w:p>
      <w:pPr>
        <w:spacing w:after="0" w:line="124" w:lineRule="exact"/>
        <w:rPr>
          <w:sz w:val="20"/>
          <w:szCs w:val="20"/>
          <w:color w:val="auto"/>
        </w:rPr>
      </w:pPr>
    </w:p>
    <w:p>
      <w:pPr>
        <w:ind w:right="100" w:firstLine="864"/>
        <w:spacing w:after="0" w:line="270" w:lineRule="auto"/>
        <w:rPr>
          <w:sz w:val="20"/>
          <w:szCs w:val="20"/>
          <w:color w:val="auto"/>
        </w:rPr>
      </w:pPr>
      <w:r>
        <w:rPr>
          <w:rFonts w:ascii="Arial" w:cs="Arial" w:eastAsia="Arial" w:hAnsi="Arial"/>
          <w:sz w:val="17"/>
          <w:szCs w:val="17"/>
          <w:color w:val="auto"/>
        </w:rPr>
        <w:t>On March 10, 2015, C.R. Bard, Inc. and Bard Peripheral Vascular, Inc. filed suit in the United States District Court for the District of Delaware claiming certain of the Company’s implantable port products infringe three Bard patents (the “Delaware Action). Bard is seeking unspecified damages and other relief; and the patents asserted in the Delaware Action are different than those asserted in the Utah Action. On June 1,2015, the Company filed two motions in response to Bard’s Complaint - - one seeks transfer to the District of Utah where the Utah Action is currently pending, and the other seeks dismissal of the entire complaint on grounds that none of the claims in the asserted patents is directed to patent eligible subject matter under Section 101 of the Patent Statute and in light of recent authority from the U. S. Supreme Court. Briefing is complete on both motions (except Bard has requested permission to file a Sur-Reply on the dismissal motion) and the parties are awaiting decision by the Delaware Court. The Company believes these claims are without merit and intends to defend them vigorously. The Company has not recorded an expense related to the outcome of this litigation because it is not yet possible to determine if a potential loss is probable nor reasonably estimable.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LC Beads</w:t>
      </w:r>
    </w:p>
    <w:p>
      <w:pPr>
        <w:spacing w:after="0" w:line="22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In June 2014 we received a subpoena from the U.S. Department of Justice (the “DOJ”) requesting documents in relation to a criminal and civil investigation the DOJ is conducting regarding BTG International, Inc.’s LC Bead® product beginning in 2003. RITA Medical Systems and AngioDynamics, Inc., after its acquisition of RITA, was the exclusive distributor of LC Beads in the United States from 2006 through December 31, 2011. We are cooperating fully with this investigation and at this time are unable to predict its scope, duration or outcome.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EVLT</w:t>
      </w:r>
    </w:p>
    <w:p>
      <w:pPr>
        <w:spacing w:after="0" w:line="225" w:lineRule="exact"/>
        <w:rPr>
          <w:sz w:val="20"/>
          <w:szCs w:val="20"/>
          <w:color w:val="auto"/>
        </w:rPr>
      </w:pPr>
    </w:p>
    <w:p>
      <w:pPr>
        <w:ind w:right="340" w:firstLine="648"/>
        <w:spacing w:after="0" w:line="264" w:lineRule="auto"/>
        <w:rPr>
          <w:sz w:val="20"/>
          <w:szCs w:val="20"/>
          <w:color w:val="auto"/>
        </w:rPr>
      </w:pPr>
      <w:r>
        <w:rPr>
          <w:rFonts w:ascii="Arial" w:cs="Arial" w:eastAsia="Arial" w:hAnsi="Arial"/>
          <w:sz w:val="18"/>
          <w:szCs w:val="18"/>
          <w:color w:val="auto"/>
        </w:rPr>
        <w:t>In April 2015 we received a subpoena from the DOJ requesting documents in relation to a criminal and civil investigation the DOJ is conducting regarding purported promotion of certain of AngioDynamics’ VenaCure EVLT products for un-cleared indications. We are cooperating fully with this investigation and at this time are unable to predict its scope, duration or outcome.</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M – RECENTLY ISSUED ACCOUNTING PRONOUNCEMENTS</w:t>
      </w:r>
    </w:p>
    <w:p>
      <w:pPr>
        <w:spacing w:after="0" w:line="121"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In May 2014, the Financial Accounting Standards Board ("FASB") issued ASU No. 2014-09, "Revenue from Contracts with Customers" ("ASU 2014-09"). ASU 2014-09 provides a single, comprehensive accounting model for revenues arising from contracts with customers that supersedes most of the existing revenue recognition guidance, including industry-specific guidance. Under this model, revenue is recognized at an amount that an entity expects to be entitled to upon transferring control of goods or services to a customer, as opposed to when risks and rewards transfer to a customer under existing revenue recognition guidance. ASU 2014-09 is effective for the Company beginning in its fiscal year 2018, and may be applied retrospectively to all prior periods presented or through a cumulative adjustment to the opening retained earnings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2" w:right="239" w:bottom="1440" w:gutter="0" w:footer="0" w:header="0"/>
        </w:sectPr>
      </w:pPr>
    </w:p>
    <w:bookmarkStart w:id="19" w:name="page20"/>
    <w:bookmarkEnd w:id="1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balance in the year of adoption. The Company is currently in the process of evaluation the impact of ASU 2014-09 on its consolidated financial statements.</w:t>
      </w:r>
    </w:p>
    <w:p>
      <w:pPr>
        <w:spacing w:after="0" w:line="248"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In June 2014, the FASB issued an ASU that clarified that entities should treat performance targets that can be met after the requisite service period of a share-based payment award as performance conditions that affect vesting. Therefore, an entity would not record compensation expense related to an award for which transfer to the employee is contingent on the entity’s satisfaction of a performance target until it becomes probable that the performance target is met. This ASU is effective for the Company in its first quarter beginning after January 1, 2016 and is not expected to have a material impact on the Company’s consolidated financial statements.</w:t>
      </w:r>
    </w:p>
    <w:p>
      <w:pPr>
        <w:spacing w:after="0" w:line="188"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In April 2015, the FASB issued ASC Update No. 2015-03, Interest-Imputation of Interest (Subtopic 835-30): Simplifying the Presentation of Debt Issuance Costs. Update No. 2015-03 requires debt issuance costs related to a recognized debt liability to be presented in the balance sheet as a direct deduction from the carrying amount of that debt liability, consistent with debt discounts. Update No. 2015-03 is effective for annual reporting periods beginning after December 15, 2015 and interim periods within those reporting periods. Early adoption is permitted for financial statements that have not been previously issued. The adoption of Update No. 2015-03 will require us to reclassify our debt issuance costs from deferred charges to direct deductions of our debt liabilities. This update is not expected to impact the results of our operations.</w:t>
      </w:r>
    </w:p>
    <w:p>
      <w:pPr>
        <w:spacing w:after="0" w:line="260"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In July 2015, the FASB issued ASC Update No. 2015-11, Inventory (Topic 330): Simplifying the Measurement of Inventory. Update No. 2015-11 more closely aligns the measurement of inventory in U.S. GAAP with the measurement of inventory in International Financial Reporting Standards by requiring companies using the first-in, first-out and average costs methods to measure inventory using the lower of cost and net realizable value, where net realizable value is the estimated selling prices in the ordinary course of business, less reasonably predictable costs of completion, disposal, and transportation. Update No. 2015-11 is effective for annual reporting periods beginning after December 15, 2016 and interim periods within those fiscal years. Update No. 2015-11 should be applied prospectively with earlier application permitted as of the beginning of an interim or annual reporting period. The adoption of Update No. 2015-11 is not expected to have a material impact on our financial position or results of operations.</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N – RESTRUCTURING</w:t>
      </w:r>
    </w:p>
    <w:p>
      <w:pPr>
        <w:spacing w:after="0" w:line="121"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During the three months ended August 31, 2014 we initiated a restructuring of finance, research and development, and sales and marketing organizations to improve our profitability. As part of the restructuring, we recorded $1.1 million of severance and restructuring expense, which is included in “Acquisition, restructuring and other items, net” in the statements of income. The amount of restructuring expense incurred during the quarter ended August 31, 2015 was immaterial.</w:t>
      </w:r>
    </w:p>
    <w:p>
      <w:pPr>
        <w:spacing w:after="0" w:line="200" w:lineRule="exact"/>
        <w:rPr>
          <w:sz w:val="20"/>
          <w:szCs w:val="20"/>
          <w:color w:val="auto"/>
        </w:rPr>
      </w:pPr>
    </w:p>
    <w:p>
      <w:pPr>
        <w:spacing w:after="0" w:line="3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121" w:right="259" w:bottom="1440" w:gutter="0" w:footer="0" w:header="0"/>
        </w:sectPr>
      </w:pPr>
    </w:p>
    <w:bookmarkStart w:id="20" w:name="page21"/>
    <w:bookmarkEnd w:id="2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48" w:lineRule="exact"/>
        <w:rPr>
          <w:sz w:val="20"/>
          <w:szCs w:val="20"/>
          <w:color w:val="auto"/>
        </w:rPr>
      </w:pPr>
    </w:p>
    <w:p>
      <w:pPr>
        <w:ind w:right="300" w:firstLine="432"/>
        <w:spacing w:after="0" w:line="277" w:lineRule="auto"/>
        <w:rPr>
          <w:sz w:val="20"/>
          <w:szCs w:val="20"/>
          <w:color w:val="auto"/>
        </w:rPr>
      </w:pPr>
      <w:r>
        <w:rPr>
          <w:rFonts w:ascii="Arial" w:cs="Arial" w:eastAsia="Arial" w:hAnsi="Arial"/>
          <w:sz w:val="18"/>
          <w:szCs w:val="18"/>
          <w:color w:val="auto"/>
        </w:rPr>
        <w:t>The following information should be read together with the consolidated condensed financial statements and the notes thereto and other information included elsewhere in this quarterly report on Form 10-Q.</w:t>
      </w:r>
    </w:p>
    <w:p>
      <w:pPr>
        <w:spacing w:after="0" w:line="27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117" w:lineRule="exact"/>
        <w:rPr>
          <w:sz w:val="20"/>
          <w:szCs w:val="20"/>
          <w:color w:val="auto"/>
        </w:rPr>
      </w:pPr>
    </w:p>
    <w:p>
      <w:pPr>
        <w:ind w:right="40" w:firstLine="432"/>
        <w:spacing w:after="0" w:line="269" w:lineRule="auto"/>
        <w:rPr>
          <w:sz w:val="20"/>
          <w:szCs w:val="20"/>
          <w:color w:val="auto"/>
        </w:rPr>
      </w:pPr>
      <w:r>
        <w:rPr>
          <w:rFonts w:ascii="Arial" w:cs="Arial" w:eastAsia="Arial" w:hAnsi="Arial"/>
          <w:sz w:val="17"/>
          <w:szCs w:val="17"/>
          <w:color w:val="auto"/>
        </w:rPr>
        <w:t>This quarterly report on Form 10-Q, including the sections entitled “Management’s Discussion and Analysis of Financial Condition and Results of Operations,” contains forward-looking statements within the meaning of the Private Securities Litigation Reform Act of 1995. All statements regarding AngioDynamics’ expected future financial position, results of operations, cash flows, business strategy, budgets, projected costs, capital expenditures, products, competitive positions, growth opportunities, plans and objectives of management for future operations, as well as statements that include the words such as “expects,” “reaffirms,” “intends,” “anticipates,” “plans,” “believes,” “seeks,” “estimates,” or variations of such words and similar expressions, are forward-looking statements. These forward looking statements are not guarantees of future performance and are subject to risks and uncertainties. Investors are cautioned that actual events or results may differ from our expectations. Factors that may affect our actual results achieved include, without limitation, our ability to develop existing and new products, future actions by FDA or other regulatory agencies, results of pending or future clinical trials, the results of ongoing litigation, overall economic conditions, general market conditions, market acceptance, foreign currency exchange rate fluctuations, the effects on pricing from group purchasing organizations and competition, as well as our ability to integrate purchased businesses. Other risks and uncertainties include, but are not limited to, the factors described from time to time in our reports filed with the SEC.</w:t>
      </w:r>
    </w:p>
    <w:p>
      <w:pPr>
        <w:spacing w:after="0" w:line="183"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Although we believe that the assumptions underlying the forward-looking statements contained herein are reasonable, any of the assumptions could be inaccurate and, therefore, there can be no assurance that the forward-looking statements included in this quarterly report on Form 10-Q will prove to be accurate. In light of the significant uncertainties inherent in the forward-looking statements included herein, the inclusion of such information should not be regarded as a representation by us or any other person that our objectives and plans will be achieved. Any forward-looking statements are made pursuant to the Private Securities Litigation Reform Act of 1995 and, as such, speak only as of the date made. AngioDynamics disclaims any obligation to update the forward-looking statements. Investors are cautioned not to place undue reliance on these forward-looking statements which speak only as of the date stated, or if no date is stated, as of the date of this document.</w:t>
      </w:r>
    </w:p>
    <w:p>
      <w:pPr>
        <w:spacing w:after="0" w:line="17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ind w:right="60" w:firstLine="432"/>
        <w:spacing w:after="0" w:line="312" w:lineRule="auto"/>
        <w:rPr>
          <w:sz w:val="20"/>
          <w:szCs w:val="20"/>
          <w:color w:val="auto"/>
        </w:rPr>
      </w:pPr>
      <w:r>
        <w:rPr>
          <w:rFonts w:ascii="Arial" w:cs="Arial" w:eastAsia="Arial" w:hAnsi="Arial"/>
          <w:sz w:val="16"/>
          <w:szCs w:val="16"/>
          <w:color w:val="auto"/>
        </w:rPr>
        <w:t>We design, manufacture and sell a wide range of medical, surgical and diagnostic devices used by professional healthcare providers for vascular access, for the treatment of peripheral vascular disease and for use in oncology and surgical settings. Our devices are generally used in minimally invasive, image-guided procedures. Most of our products are intended to be used once and then discarded, or they may be temporarily implanted for short- or long-term use.</w:t>
      </w:r>
    </w:p>
    <w:p>
      <w:pPr>
        <w:spacing w:after="0" w:line="147" w:lineRule="exact"/>
        <w:rPr>
          <w:sz w:val="20"/>
          <w:szCs w:val="20"/>
          <w:color w:val="auto"/>
        </w:rPr>
      </w:pPr>
    </w:p>
    <w:p>
      <w:pPr>
        <w:ind w:right="160" w:firstLine="432"/>
        <w:spacing w:after="0" w:line="276" w:lineRule="auto"/>
        <w:rPr>
          <w:sz w:val="20"/>
          <w:szCs w:val="20"/>
          <w:color w:val="auto"/>
        </w:rPr>
      </w:pPr>
      <w:r>
        <w:rPr>
          <w:rFonts w:ascii="Arial" w:cs="Arial" w:eastAsia="Arial" w:hAnsi="Arial"/>
          <w:sz w:val="17"/>
          <w:szCs w:val="17"/>
          <w:color w:val="auto"/>
        </w:rPr>
        <w:t>Our sales and profitability growth depends, in part, on the introduction of new and innovative products, together with ongoing enhancements to our existing products. Expansions to our product offerings are created through internal product development, technology licensing and strategic alliances. In recent years we have acquired or developed, and launched several new products, including the AngioVac cannula and circuit, the BioFlo family of products, and the Acculis microwave system, which are all expected to be growth drivers of our business. We recognize the importance of, and intend to continue to make investments in, research and development activities and business development opportunities.</w:t>
      </w:r>
    </w:p>
    <w:p>
      <w:pPr>
        <w:spacing w:after="0" w:line="173" w:lineRule="exact"/>
        <w:rPr>
          <w:sz w:val="20"/>
          <w:szCs w:val="20"/>
          <w:color w:val="auto"/>
        </w:rPr>
      </w:pPr>
    </w:p>
    <w:p>
      <w:pPr>
        <w:ind w:right="380" w:firstLine="432"/>
        <w:spacing w:after="0" w:line="264" w:lineRule="auto"/>
        <w:rPr>
          <w:sz w:val="20"/>
          <w:szCs w:val="20"/>
          <w:color w:val="auto"/>
        </w:rPr>
      </w:pPr>
      <w:r>
        <w:rPr>
          <w:rFonts w:ascii="Arial" w:cs="Arial" w:eastAsia="Arial" w:hAnsi="Arial"/>
          <w:sz w:val="18"/>
          <w:szCs w:val="18"/>
          <w:color w:val="auto"/>
        </w:rPr>
        <w:t>We sell our products in the United States through a direct sales force and outside the U.S. through a combination of direct sales and distributor relationships. We expect our international business to grow in both sales and profit through geographic expansion, market penetration, and increasing our direct presence.</w:t>
      </w:r>
    </w:p>
    <w:p>
      <w:pPr>
        <w:spacing w:after="0" w:line="181" w:lineRule="exact"/>
        <w:rPr>
          <w:sz w:val="20"/>
          <w:szCs w:val="20"/>
          <w:color w:val="auto"/>
        </w:rPr>
      </w:pPr>
    </w:p>
    <w:p>
      <w:pPr>
        <w:ind w:right="40" w:firstLine="405"/>
        <w:spacing w:after="0" w:line="302" w:lineRule="auto"/>
        <w:rPr>
          <w:sz w:val="20"/>
          <w:szCs w:val="20"/>
          <w:color w:val="auto"/>
        </w:rPr>
      </w:pPr>
      <w:r>
        <w:rPr>
          <w:rFonts w:ascii="Arial" w:cs="Arial" w:eastAsia="Arial" w:hAnsi="Arial"/>
          <w:sz w:val="16"/>
          <w:szCs w:val="16"/>
          <w:color w:val="auto"/>
        </w:rPr>
        <w:t>Our ability to further increase our profitability will depend in part on improving gross profit and operating margins. A portion of improved gross margin we expect to deliver through the acquisition, development and sale of innovative products, such as those mentioned above. Additionally, we have an active a company-wide Operational Excellence Program designed to create manufacturing efficiencies and drive improved business performance. Further, we anticipate being able to manage increases in our operating expenses at a rate slower than our sales growth to provide further operating margin expansion.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Events</w:t>
      </w:r>
    </w:p>
    <w:p>
      <w:pPr>
        <w:spacing w:after="0" w:line="266" w:lineRule="exact"/>
        <w:rPr>
          <w:sz w:val="20"/>
          <w:szCs w:val="20"/>
          <w:color w:val="auto"/>
        </w:rPr>
      </w:pPr>
    </w:p>
    <w:p>
      <w:pPr>
        <w:ind w:right="220" w:firstLine="432"/>
        <w:spacing w:after="0" w:line="259" w:lineRule="auto"/>
        <w:rPr>
          <w:sz w:val="20"/>
          <w:szCs w:val="20"/>
          <w:color w:val="auto"/>
        </w:rPr>
      </w:pPr>
      <w:r>
        <w:rPr>
          <w:rFonts w:ascii="Arial" w:cs="Arial" w:eastAsia="Arial" w:hAnsi="Arial"/>
          <w:sz w:val="18"/>
          <w:szCs w:val="18"/>
          <w:u w:val="single" w:color="auto"/>
          <w:color w:val="auto"/>
        </w:rPr>
        <w:t>EmboMedics, Inc.</w:t>
      </w:r>
      <w:r>
        <w:rPr>
          <w:rFonts w:ascii="Arial" w:cs="Arial" w:eastAsia="Arial" w:hAnsi="Arial"/>
          <w:sz w:val="18"/>
          <w:szCs w:val="18"/>
          <w:color w:val="auto"/>
        </w:rPr>
        <w:t xml:space="preserve"> - on March 2, 2015, the Company filed an 8-K stating that it executed a non-binding letter of intent to enter into a strategic relationship with privately-held EmboMedics Inc., which develops injectable and resorbable embolic microspheres. On April 9, 2015 the Company entered into a License, Distribution, Manufacturing and Purchase Option Agreement with EmboMedics Inc., subject to certain approvals by EmboMedics shareholders.</w:t>
      </w:r>
    </w:p>
    <w:p>
      <w:pPr>
        <w:spacing w:after="0" w:line="187"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Under the terms of the agreement, which has not been finalized, AngioDynamics receives an exclusive worldwide license to market and sell, upon regulatory clearances, EmboMedics’ microsphere technology. AngioDynamics will also control manufacturing of the products. Final terms of the agreement, including the form and amount of payments, have not yet been finalized, but the Company expects the terms to include a combination of milestone payments and equity investments, up to and including an option to acquire EmboMedics.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Use of Non-GAAP Measures</w:t>
      </w:r>
    </w:p>
    <w:p>
      <w:pPr>
        <w:spacing w:after="0" w:line="117" w:lineRule="exact"/>
        <w:rPr>
          <w:sz w:val="20"/>
          <w:szCs w:val="20"/>
          <w:color w:val="auto"/>
        </w:rPr>
      </w:pPr>
    </w:p>
    <w:p>
      <w:pPr>
        <w:ind w:firstLine="432"/>
        <w:spacing w:after="0" w:line="302" w:lineRule="auto"/>
        <w:rPr>
          <w:sz w:val="20"/>
          <w:szCs w:val="20"/>
          <w:color w:val="auto"/>
        </w:rPr>
      </w:pPr>
      <w:r>
        <w:rPr>
          <w:rFonts w:ascii="Arial" w:cs="Arial" w:eastAsia="Arial" w:hAnsi="Arial"/>
          <w:sz w:val="16"/>
          <w:szCs w:val="16"/>
          <w:color w:val="auto"/>
        </w:rPr>
        <w:t>Net sales “on a constant currency basis” is a non-GAAP measure. The company analyzes net sales on a constant currency basis to better measure the comparability of results between periods. Because changes in foreign currency exchange rates have a non-operating impact on net sales, the company believes that evaluating growth in net sales on a constant currency basis provides an additional and meaningful assessment of net sales to both management and the company’s investors. Constant currency growth rates are calculated by translating the prior year’s local currency sales by the current period’s exchange rate.</w:t>
      </w:r>
    </w:p>
    <w:p>
      <w:pPr>
        <w:spacing w:after="0" w:line="46" w:lineRule="exact"/>
        <w:rPr>
          <w:sz w:val="20"/>
          <w:szCs w:val="20"/>
          <w:color w:val="auto"/>
        </w:rPr>
      </w:pPr>
    </w:p>
    <w:p>
      <w:pPr>
        <w:ind w:right="180" w:firstLine="432"/>
        <w:spacing w:after="0" w:line="264" w:lineRule="auto"/>
        <w:rPr>
          <w:sz w:val="20"/>
          <w:szCs w:val="20"/>
          <w:color w:val="auto"/>
        </w:rPr>
      </w:pPr>
      <w:r>
        <w:rPr>
          <w:rFonts w:ascii="Arial" w:cs="Arial" w:eastAsia="Arial" w:hAnsi="Arial"/>
          <w:sz w:val="18"/>
          <w:szCs w:val="18"/>
          <w:color w:val="auto"/>
        </w:rPr>
        <w:t>Constant currency growth rates are not indicative of changes in corresponding cash flows. The limitation of these non-GAAP measures is that they do not reflect results on a standardized reporting basis. Non-GAAP measures are intended to supplement the applicable GAAP disclosures and should not be viewed as replacements of GAAP results.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Pronouncements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Information regarding new accounting pronouncements is included in Note M to our consolidated financial statements in this Quarterly Report on Form</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10-Q.</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Three Months ended August 31, 2015 and August 31, 2014</w:t>
      </w:r>
    </w:p>
    <w:p>
      <w:pPr>
        <w:spacing w:after="0" w:line="121" w:lineRule="exact"/>
        <w:rPr>
          <w:sz w:val="20"/>
          <w:szCs w:val="20"/>
          <w:color w:val="auto"/>
        </w:rPr>
      </w:pPr>
    </w:p>
    <w:p>
      <w:pPr>
        <w:ind w:right="640" w:firstLine="432"/>
        <w:spacing w:after="0" w:line="308" w:lineRule="auto"/>
        <w:rPr>
          <w:sz w:val="20"/>
          <w:szCs w:val="20"/>
          <w:color w:val="auto"/>
        </w:rPr>
      </w:pPr>
      <w:r>
        <w:rPr>
          <w:rFonts w:ascii="Arial" w:cs="Arial" w:eastAsia="Arial" w:hAnsi="Arial"/>
          <w:sz w:val="17"/>
          <w:szCs w:val="17"/>
          <w:color w:val="auto"/>
        </w:rPr>
        <w:t>For the three months ended August 31, 2015, we reported a net loss of $(0.8) million, or $(0.02) per diluted share, on net sales of $83.7 million, compared with a net income of $0.5 million, or $0.01 per share, on net sales of $87.3 million during the same quarter of the prior year.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sales -</w:t>
      </w:r>
      <w:r>
        <w:rPr>
          <w:rFonts w:ascii="Arial" w:cs="Arial" w:eastAsia="Arial" w:hAnsi="Arial"/>
          <w:sz w:val="18"/>
          <w:szCs w:val="18"/>
          <w:color w:val="auto"/>
        </w:rPr>
        <w:t xml:space="preserve"> Net sales are derived from the sale of our products and related freight charges, less discounts and returns.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Net sales for the three months ended August 31, 2015 and 2014:</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540" w:type="dxa"/>
            <w:vAlign w:val="bottom"/>
            <w:gridSpan w:val="3"/>
          </w:tcPr>
          <w:p>
            <w:pPr>
              <w:jc w:val="center"/>
              <w:spacing w:after="0"/>
              <w:rPr>
                <w:sz w:val="20"/>
                <w:szCs w:val="20"/>
                <w:color w:val="auto"/>
              </w:rPr>
            </w:pPr>
            <w:r>
              <w:rPr>
                <w:rFonts w:ascii="Arial" w:cs="Arial" w:eastAsia="Arial" w:hAnsi="Arial"/>
                <w:sz w:val="18"/>
                <w:szCs w:val="18"/>
                <w:color w:val="auto"/>
                <w:w w:val="87"/>
              </w:rPr>
              <w:t>Three months ended</w:t>
            </w:r>
          </w:p>
        </w:tc>
        <w:tc>
          <w:tcPr>
            <w:tcW w:w="126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7"/>
        </w:trPr>
        <w:tc>
          <w:tcPr>
            <w:tcW w:w="48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22"/>
        </w:trPr>
        <w:tc>
          <w:tcPr>
            <w:tcW w:w="4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60" w:type="dxa"/>
            <w:vAlign w:val="bottom"/>
          </w:tcPr>
          <w:p>
            <w:pPr>
              <w:jc w:val="center"/>
              <w:ind w:right="110"/>
              <w:spacing w:after="0"/>
              <w:rPr>
                <w:sz w:val="20"/>
                <w:szCs w:val="20"/>
                <w:color w:val="auto"/>
              </w:rPr>
            </w:pPr>
            <w:r>
              <w:rPr>
                <w:rFonts w:ascii="Arial" w:cs="Arial" w:eastAsia="Arial" w:hAnsi="Arial"/>
                <w:sz w:val="18"/>
                <w:szCs w:val="18"/>
                <w:color w:val="auto"/>
                <w:w w:val="90"/>
              </w:rPr>
              <w:t>Currency</w:t>
            </w:r>
          </w:p>
        </w:tc>
        <w:tc>
          <w:tcPr>
            <w:tcW w:w="1240" w:type="dxa"/>
            <w:vAlign w:val="bottom"/>
          </w:tcPr>
          <w:p>
            <w:pPr>
              <w:spacing w:after="0"/>
              <w:rPr>
                <w:sz w:val="19"/>
                <w:szCs w:val="19"/>
                <w:color w:val="auto"/>
              </w:rPr>
            </w:pPr>
          </w:p>
        </w:tc>
      </w:tr>
      <w:tr>
        <w:trPr>
          <w:trHeight w:val="216"/>
        </w:trPr>
        <w:tc>
          <w:tcPr>
            <w:tcW w:w="4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60" w:type="dxa"/>
            <w:vAlign w:val="bottom"/>
          </w:tcPr>
          <w:p>
            <w:pPr>
              <w:jc w:val="center"/>
              <w:ind w:right="110"/>
              <w:spacing w:after="0"/>
              <w:rPr>
                <w:sz w:val="20"/>
                <w:szCs w:val="20"/>
                <w:color w:val="auto"/>
              </w:rPr>
            </w:pPr>
            <w:r>
              <w:rPr>
                <w:rFonts w:ascii="Arial" w:cs="Arial" w:eastAsia="Arial" w:hAnsi="Arial"/>
                <w:sz w:val="18"/>
                <w:szCs w:val="18"/>
                <w:color w:val="auto"/>
                <w:w w:val="92"/>
              </w:rPr>
              <w:t>Impact (Pos)</w:t>
            </w:r>
          </w:p>
        </w:tc>
        <w:tc>
          <w:tcPr>
            <w:tcW w:w="1240" w:type="dxa"/>
            <w:vAlign w:val="bottom"/>
          </w:tcPr>
          <w:p>
            <w:pPr>
              <w:ind w:left="300"/>
              <w:spacing w:after="0"/>
              <w:rPr>
                <w:sz w:val="20"/>
                <w:szCs w:val="20"/>
                <w:color w:val="auto"/>
              </w:rPr>
            </w:pPr>
            <w:r>
              <w:rPr>
                <w:rFonts w:ascii="Arial" w:cs="Arial" w:eastAsia="Arial" w:hAnsi="Arial"/>
                <w:sz w:val="18"/>
                <w:szCs w:val="18"/>
                <w:color w:val="auto"/>
              </w:rPr>
              <w:t>Constant</w:t>
            </w:r>
          </w:p>
        </w:tc>
      </w:tr>
      <w:tr>
        <w:trPr>
          <w:trHeight w:val="251"/>
        </w:trPr>
        <w:tc>
          <w:tcPr>
            <w:tcW w:w="48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gridSpan w:val="2"/>
          </w:tcPr>
          <w:p>
            <w:pPr>
              <w:ind w:left="80"/>
              <w:spacing w:after="0"/>
              <w:rPr>
                <w:sz w:val="20"/>
                <w:szCs w:val="20"/>
                <w:color w:val="auto"/>
              </w:rPr>
            </w:pPr>
            <w:r>
              <w:rPr>
                <w:rFonts w:ascii="Arial" w:cs="Arial" w:eastAsia="Arial" w:hAnsi="Arial"/>
                <w:sz w:val="14"/>
                <w:szCs w:val="14"/>
                <w:color w:val="auto"/>
              </w:rPr>
              <w:t>Aug 31, 2015</w:t>
            </w:r>
          </w:p>
        </w:tc>
        <w:tc>
          <w:tcPr>
            <w:tcW w:w="180" w:type="dxa"/>
            <w:vAlign w:val="bottom"/>
          </w:tcPr>
          <w:p>
            <w:pPr>
              <w:spacing w:after="0"/>
              <w:rPr>
                <w:sz w:val="21"/>
                <w:szCs w:val="21"/>
                <w:color w:val="auto"/>
              </w:rPr>
            </w:pPr>
          </w:p>
        </w:tc>
        <w:tc>
          <w:tcPr>
            <w:tcW w:w="980" w:type="dxa"/>
            <w:vAlign w:val="bottom"/>
          </w:tcPr>
          <w:p>
            <w:pPr>
              <w:jc w:val="right"/>
              <w:ind w:right="52"/>
              <w:spacing w:after="0"/>
              <w:rPr>
                <w:sz w:val="20"/>
                <w:szCs w:val="20"/>
                <w:color w:val="auto"/>
              </w:rPr>
            </w:pPr>
            <w:r>
              <w:rPr>
                <w:rFonts w:ascii="Arial" w:cs="Arial" w:eastAsia="Arial" w:hAnsi="Arial"/>
                <w:sz w:val="14"/>
                <w:szCs w:val="14"/>
                <w:color w:val="auto"/>
                <w:w w:val="98"/>
              </w:rPr>
              <w:t>Aug 31, 2014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jc w:val="center"/>
              <w:ind w:right="110"/>
              <w:spacing w:after="0"/>
              <w:rPr>
                <w:sz w:val="20"/>
                <w:szCs w:val="20"/>
                <w:color w:val="auto"/>
              </w:rPr>
            </w:pPr>
            <w:r>
              <w:rPr>
                <w:rFonts w:ascii="Arial" w:cs="Arial" w:eastAsia="Arial" w:hAnsi="Arial"/>
                <w:sz w:val="18"/>
                <w:szCs w:val="18"/>
                <w:color w:val="auto"/>
                <w:w w:val="93"/>
              </w:rPr>
              <w:t>% Growth</w:t>
            </w:r>
          </w:p>
        </w:tc>
        <w:tc>
          <w:tcPr>
            <w:tcW w:w="1260" w:type="dxa"/>
            <w:vAlign w:val="bottom"/>
          </w:tcPr>
          <w:p>
            <w:pPr>
              <w:jc w:val="center"/>
              <w:ind w:right="110"/>
              <w:spacing w:after="0"/>
              <w:rPr>
                <w:sz w:val="20"/>
                <w:szCs w:val="20"/>
                <w:color w:val="auto"/>
              </w:rPr>
            </w:pPr>
            <w:r>
              <w:rPr>
                <w:rFonts w:ascii="Arial" w:cs="Arial" w:eastAsia="Arial" w:hAnsi="Arial"/>
                <w:sz w:val="18"/>
                <w:szCs w:val="18"/>
                <w:color w:val="auto"/>
                <w:w w:val="90"/>
              </w:rPr>
              <w:t>Neg</w:t>
            </w:r>
          </w:p>
        </w:tc>
        <w:tc>
          <w:tcPr>
            <w:tcW w:w="1240" w:type="dxa"/>
            <w:vAlign w:val="bottom"/>
          </w:tcPr>
          <w:p>
            <w:pPr>
              <w:ind w:left="280"/>
              <w:spacing w:after="0"/>
              <w:rPr>
                <w:sz w:val="20"/>
                <w:szCs w:val="20"/>
                <w:color w:val="auto"/>
              </w:rPr>
            </w:pPr>
            <w:r>
              <w:rPr>
                <w:rFonts w:ascii="Arial" w:cs="Arial" w:eastAsia="Arial" w:hAnsi="Arial"/>
                <w:sz w:val="18"/>
                <w:szCs w:val="18"/>
                <w:color w:val="auto"/>
              </w:rPr>
              <w:t>Currency</w:t>
            </w:r>
          </w:p>
        </w:tc>
      </w:tr>
      <w:tr>
        <w:trPr>
          <w:trHeight w:val="250"/>
        </w:trPr>
        <w:tc>
          <w:tcPr>
            <w:tcW w:w="48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 by Product Category</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800" w:type="dxa"/>
            <w:vAlign w:val="bottom"/>
          </w:tcPr>
          <w:p>
            <w:pPr>
              <w:ind w:left="360"/>
              <w:spacing w:after="0"/>
              <w:rPr>
                <w:sz w:val="20"/>
                <w:szCs w:val="20"/>
                <w:color w:val="auto"/>
              </w:rPr>
            </w:pPr>
            <w:r>
              <w:rPr>
                <w:rFonts w:ascii="Arial" w:cs="Arial" w:eastAsia="Arial" w:hAnsi="Arial"/>
                <w:sz w:val="18"/>
                <w:szCs w:val="18"/>
                <w:color w:val="auto"/>
              </w:rPr>
              <w:t>Peripheral Vascular</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47,105</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47,266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jc w:val="center"/>
              <w:ind w:right="110"/>
              <w:spacing w:after="0"/>
              <w:rPr>
                <w:sz w:val="20"/>
                <w:szCs w:val="20"/>
                <w:color w:val="auto"/>
              </w:rPr>
            </w:pPr>
            <w:r>
              <w:rPr>
                <w:rFonts w:ascii="Arial" w:cs="Arial" w:eastAsia="Arial" w:hAnsi="Arial"/>
                <w:sz w:val="18"/>
                <w:szCs w:val="18"/>
                <w:color w:val="auto"/>
                <w:w w:val="99"/>
              </w:rPr>
              <w:t>—%</w:t>
            </w:r>
          </w:p>
        </w:tc>
        <w:tc>
          <w:tcPr>
            <w:tcW w:w="126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4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Vascular Access</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24,646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26,512</w:t>
            </w:r>
          </w:p>
        </w:tc>
        <w:tc>
          <w:tcPr>
            <w:tcW w:w="1540" w:type="dxa"/>
            <w:vAlign w:val="bottom"/>
            <w:tcBorders>
              <w:bottom w:val="single" w:sz="8" w:color="CCEEFF"/>
            </w:tcBorders>
            <w:gridSpan w:val="3"/>
            <w:shd w:val="clear" w:color="auto" w:fill="CCEEFF"/>
          </w:tcPr>
          <w:p>
            <w:pPr>
              <w:jc w:val="center"/>
              <w:spacing w:after="0"/>
              <w:rPr>
                <w:sz w:val="20"/>
                <w:szCs w:val="20"/>
                <w:color w:val="auto"/>
              </w:rPr>
            </w:pPr>
            <w:r>
              <w:rPr>
                <w:rFonts w:ascii="Arial" w:cs="Arial" w:eastAsia="Arial" w:hAnsi="Arial"/>
                <w:sz w:val="18"/>
                <w:szCs w:val="18"/>
                <w:color w:val="auto"/>
                <w:w w:val="93"/>
              </w:rPr>
              <w:t>-7%</w:t>
            </w:r>
          </w:p>
        </w:tc>
        <w:tc>
          <w:tcPr>
            <w:tcW w:w="1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4800" w:type="dxa"/>
            <w:vAlign w:val="bottom"/>
          </w:tcPr>
          <w:p>
            <w:pPr>
              <w:ind w:left="360"/>
              <w:spacing w:after="0"/>
              <w:rPr>
                <w:sz w:val="20"/>
                <w:szCs w:val="20"/>
                <w:color w:val="auto"/>
              </w:rPr>
            </w:pPr>
            <w:r>
              <w:rPr>
                <w:rFonts w:ascii="Arial" w:cs="Arial" w:eastAsia="Arial" w:hAnsi="Arial"/>
                <w:sz w:val="18"/>
                <w:szCs w:val="18"/>
                <w:color w:val="auto"/>
              </w:rPr>
              <w:t>Oncology/Surgery</w:t>
            </w:r>
          </w:p>
        </w:tc>
        <w:tc>
          <w:tcPr>
            <w:tcW w:w="18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11,284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12,370</w:t>
            </w:r>
          </w:p>
        </w:tc>
        <w:tc>
          <w:tcPr>
            <w:tcW w:w="1540" w:type="dxa"/>
            <w:vAlign w:val="bottom"/>
            <w:gridSpan w:val="3"/>
          </w:tcPr>
          <w:p>
            <w:pPr>
              <w:jc w:val="center"/>
              <w:spacing w:after="0"/>
              <w:rPr>
                <w:sz w:val="20"/>
                <w:szCs w:val="20"/>
                <w:color w:val="auto"/>
              </w:rPr>
            </w:pPr>
            <w:r>
              <w:rPr>
                <w:rFonts w:ascii="Arial" w:cs="Arial" w:eastAsia="Arial" w:hAnsi="Arial"/>
                <w:sz w:val="18"/>
                <w:szCs w:val="18"/>
                <w:color w:val="auto"/>
                <w:w w:val="93"/>
              </w:rPr>
              <w:t>-9%</w:t>
            </w:r>
          </w:p>
        </w:tc>
        <w:tc>
          <w:tcPr>
            <w:tcW w:w="126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48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r>
      <w:tr>
        <w:trPr>
          <w:trHeight w:val="244"/>
        </w:trPr>
        <w:tc>
          <w:tcPr>
            <w:tcW w:w="480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Total Excluding Supply Agreement</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83,035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86,148</w:t>
            </w:r>
          </w:p>
        </w:tc>
        <w:tc>
          <w:tcPr>
            <w:tcW w:w="1540" w:type="dxa"/>
            <w:vAlign w:val="bottom"/>
            <w:tcBorders>
              <w:bottom w:val="single" w:sz="8" w:color="CCEEFF"/>
            </w:tcBorders>
            <w:gridSpan w:val="3"/>
            <w:shd w:val="clear" w:color="auto" w:fill="CCEEFF"/>
          </w:tcPr>
          <w:p>
            <w:pPr>
              <w:jc w:val="center"/>
              <w:spacing w:after="0"/>
              <w:rPr>
                <w:sz w:val="20"/>
                <w:szCs w:val="20"/>
                <w:color w:val="auto"/>
              </w:rPr>
            </w:pPr>
            <w:r>
              <w:rPr>
                <w:rFonts w:ascii="Arial" w:cs="Arial" w:eastAsia="Arial" w:hAnsi="Arial"/>
                <w:sz w:val="18"/>
                <w:szCs w:val="18"/>
                <w:color w:val="auto"/>
                <w:w w:val="93"/>
              </w:rPr>
              <w:t>-4%</w:t>
            </w:r>
          </w:p>
        </w:tc>
        <w:tc>
          <w:tcPr>
            <w:tcW w:w="1260" w:type="dxa"/>
            <w:vAlign w:val="bottom"/>
            <w:tcBorders>
              <w:bottom w:val="single" w:sz="8" w:color="CCEEFF"/>
            </w:tcBorders>
            <w:shd w:val="clear" w:color="auto" w:fill="CCEEFF"/>
          </w:tcPr>
          <w:p>
            <w:pPr>
              <w:jc w:val="center"/>
              <w:ind w:right="130"/>
              <w:spacing w:after="0"/>
              <w:rPr>
                <w:sz w:val="20"/>
                <w:szCs w:val="20"/>
                <w:color w:val="auto"/>
              </w:rPr>
            </w:pPr>
            <w:r>
              <w:rPr>
                <w:rFonts w:ascii="Arial" w:cs="Arial" w:eastAsia="Arial" w:hAnsi="Arial"/>
                <w:sz w:val="18"/>
                <w:szCs w:val="18"/>
                <w:color w:val="auto"/>
                <w:w w:val="92"/>
              </w:rPr>
              <w:t>1%</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-3%</w:t>
            </w:r>
          </w:p>
        </w:tc>
      </w:tr>
      <w:tr>
        <w:trPr>
          <w:trHeight w:val="243"/>
        </w:trPr>
        <w:tc>
          <w:tcPr>
            <w:tcW w:w="4800" w:type="dxa"/>
            <w:vAlign w:val="bottom"/>
          </w:tcPr>
          <w:p>
            <w:pPr>
              <w:ind w:left="360"/>
              <w:spacing w:after="0"/>
              <w:rPr>
                <w:sz w:val="20"/>
                <w:szCs w:val="20"/>
                <w:color w:val="auto"/>
              </w:rPr>
            </w:pPr>
            <w:r>
              <w:rPr>
                <w:rFonts w:ascii="Arial" w:cs="Arial" w:eastAsia="Arial" w:hAnsi="Arial"/>
                <w:sz w:val="18"/>
                <w:szCs w:val="18"/>
                <w:color w:val="auto"/>
              </w:rPr>
              <w:t>Supply Agreement</w:t>
            </w:r>
          </w:p>
        </w:tc>
        <w:tc>
          <w:tcPr>
            <w:tcW w:w="18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668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1,183</w:t>
            </w:r>
          </w:p>
        </w:tc>
        <w:tc>
          <w:tcPr>
            <w:tcW w:w="1540" w:type="dxa"/>
            <w:vAlign w:val="bottom"/>
            <w:gridSpan w:val="3"/>
          </w:tcPr>
          <w:p>
            <w:pPr>
              <w:jc w:val="center"/>
              <w:spacing w:after="0"/>
              <w:rPr>
                <w:sz w:val="20"/>
                <w:szCs w:val="20"/>
                <w:color w:val="auto"/>
              </w:rPr>
            </w:pPr>
            <w:r>
              <w:rPr>
                <w:rFonts w:ascii="Arial" w:cs="Arial" w:eastAsia="Arial" w:hAnsi="Arial"/>
                <w:sz w:val="18"/>
                <w:szCs w:val="18"/>
                <w:color w:val="auto"/>
                <w:w w:val="90"/>
              </w:rPr>
              <w:t>-44%</w:t>
            </w:r>
          </w:p>
        </w:tc>
        <w:tc>
          <w:tcPr>
            <w:tcW w:w="1260" w:type="dxa"/>
            <w:vAlign w:val="bottom"/>
          </w:tcPr>
          <w:p>
            <w:pPr>
              <w:jc w:val="center"/>
              <w:ind w:right="130"/>
              <w:spacing w:after="0"/>
              <w:rPr>
                <w:sz w:val="20"/>
                <w:szCs w:val="20"/>
                <w:color w:val="auto"/>
              </w:rPr>
            </w:pPr>
            <w:r>
              <w:rPr>
                <w:rFonts w:ascii="Arial" w:cs="Arial" w:eastAsia="Arial" w:hAnsi="Arial"/>
                <w:sz w:val="18"/>
                <w:szCs w:val="18"/>
                <w:color w:val="auto"/>
                <w:w w:val="92"/>
              </w:rPr>
              <w:t>0%</w:t>
            </w:r>
          </w:p>
        </w:tc>
        <w:tc>
          <w:tcPr>
            <w:tcW w:w="1240" w:type="dxa"/>
            <w:vAlign w:val="bottom"/>
          </w:tcPr>
          <w:p>
            <w:pPr>
              <w:jc w:val="center"/>
              <w:spacing w:after="0"/>
              <w:rPr>
                <w:sz w:val="20"/>
                <w:szCs w:val="20"/>
                <w:color w:val="auto"/>
              </w:rPr>
            </w:pPr>
            <w:r>
              <w:rPr>
                <w:rFonts w:ascii="Arial" w:cs="Arial" w:eastAsia="Arial" w:hAnsi="Arial"/>
                <w:sz w:val="18"/>
                <w:szCs w:val="18"/>
                <w:color w:val="auto"/>
                <w:w w:val="95"/>
              </w:rPr>
              <w:t>-44%</w:t>
            </w:r>
          </w:p>
        </w:tc>
      </w:tr>
      <w:tr>
        <w:trPr>
          <w:trHeight w:val="27"/>
        </w:trPr>
        <w:tc>
          <w:tcPr>
            <w:tcW w:w="48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r>
      <w:tr>
        <w:trPr>
          <w:trHeight w:val="257"/>
        </w:trPr>
        <w:tc>
          <w:tcPr>
            <w:tcW w:w="48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83,703</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87,331</w:t>
            </w:r>
          </w:p>
        </w:tc>
        <w:tc>
          <w:tcPr>
            <w:tcW w:w="15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3"/>
              </w:rPr>
              <w:t>-4%</w:t>
            </w:r>
          </w:p>
        </w:tc>
        <w:tc>
          <w:tcPr>
            <w:tcW w:w="1260" w:type="dxa"/>
            <w:vAlign w:val="bottom"/>
            <w:shd w:val="clear" w:color="auto" w:fill="CCEEFF"/>
          </w:tcPr>
          <w:p>
            <w:pPr>
              <w:jc w:val="center"/>
              <w:ind w:right="130"/>
              <w:spacing w:after="0"/>
              <w:rPr>
                <w:sz w:val="20"/>
                <w:szCs w:val="20"/>
                <w:color w:val="auto"/>
              </w:rPr>
            </w:pPr>
            <w:r>
              <w:rPr>
                <w:rFonts w:ascii="Arial" w:cs="Arial" w:eastAsia="Arial" w:hAnsi="Arial"/>
                <w:sz w:val="18"/>
                <w:szCs w:val="18"/>
                <w:color w:val="auto"/>
                <w:w w:val="92"/>
              </w:rPr>
              <w:t>1%</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-3%</w:t>
            </w: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r>
      <w:tr>
        <w:trPr>
          <w:trHeight w:val="311"/>
        </w:trPr>
        <w:tc>
          <w:tcPr>
            <w:tcW w:w="4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 by Geography</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4800" w:type="dxa"/>
            <w:vAlign w:val="bottom"/>
          </w:tcPr>
          <w:p>
            <w:pPr>
              <w:ind w:left="360"/>
              <w:spacing w:after="0"/>
              <w:rPr>
                <w:sz w:val="20"/>
                <w:szCs w:val="20"/>
                <w:color w:val="auto"/>
              </w:rPr>
            </w:pPr>
            <w:r>
              <w:rPr>
                <w:rFonts w:ascii="Arial" w:cs="Arial" w:eastAsia="Arial" w:hAnsi="Arial"/>
                <w:sz w:val="18"/>
                <w:szCs w:val="18"/>
                <w:color w:val="auto"/>
              </w:rPr>
              <w:t>United States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68,369</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68,559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jc w:val="center"/>
              <w:ind w:right="1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center"/>
              <w:ind w:right="130"/>
              <w:spacing w:after="0"/>
              <w:rPr>
                <w:sz w:val="20"/>
                <w:szCs w:val="20"/>
                <w:color w:val="auto"/>
              </w:rPr>
            </w:pPr>
            <w:r>
              <w:rPr>
                <w:rFonts w:ascii="Arial" w:cs="Arial" w:eastAsia="Arial" w:hAnsi="Arial"/>
                <w:sz w:val="18"/>
                <w:szCs w:val="18"/>
                <w:color w:val="auto"/>
                <w:w w:val="92"/>
              </w:rPr>
              <w:t>0%</w:t>
            </w:r>
          </w:p>
        </w:tc>
        <w:tc>
          <w:tcPr>
            <w:tcW w:w="1240" w:type="dxa"/>
            <w:vAlign w:val="bottom"/>
          </w:tcPr>
          <w:p>
            <w:pPr>
              <w:jc w:val="center"/>
              <w:spacing w:after="0"/>
              <w:rPr>
                <w:sz w:val="20"/>
                <w:szCs w:val="20"/>
                <w:color w:val="auto"/>
              </w:rPr>
            </w:pPr>
            <w:r>
              <w:rPr>
                <w:rFonts w:ascii="Arial" w:cs="Arial" w:eastAsia="Arial" w:hAnsi="Arial"/>
                <w:sz w:val="18"/>
                <w:szCs w:val="18"/>
                <w:color w:val="auto"/>
                <w:w w:val="92"/>
              </w:rPr>
              <w:t>0%</w:t>
            </w:r>
          </w:p>
        </w:tc>
      </w:tr>
      <w:tr>
        <w:trPr>
          <w:trHeight w:val="27"/>
        </w:trPr>
        <w:tc>
          <w:tcPr>
            <w:tcW w:w="4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International</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14,666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17,589</w:t>
            </w:r>
          </w:p>
        </w:tc>
        <w:tc>
          <w:tcPr>
            <w:tcW w:w="1540" w:type="dxa"/>
            <w:vAlign w:val="bottom"/>
            <w:tcBorders>
              <w:bottom w:val="single" w:sz="8" w:color="CCEEFF"/>
            </w:tcBorders>
            <w:gridSpan w:val="3"/>
            <w:shd w:val="clear" w:color="auto" w:fill="CCEEFF"/>
          </w:tcPr>
          <w:p>
            <w:pPr>
              <w:jc w:val="center"/>
              <w:spacing w:after="0"/>
              <w:rPr>
                <w:sz w:val="20"/>
                <w:szCs w:val="20"/>
                <w:color w:val="auto"/>
              </w:rPr>
            </w:pPr>
            <w:r>
              <w:rPr>
                <w:rFonts w:ascii="Arial" w:cs="Arial" w:eastAsia="Arial" w:hAnsi="Arial"/>
                <w:sz w:val="18"/>
                <w:szCs w:val="18"/>
                <w:color w:val="auto"/>
                <w:w w:val="90"/>
              </w:rPr>
              <w:t>-17%</w:t>
            </w:r>
          </w:p>
        </w:tc>
        <w:tc>
          <w:tcPr>
            <w:tcW w:w="1260" w:type="dxa"/>
            <w:vAlign w:val="bottom"/>
            <w:tcBorders>
              <w:bottom w:val="single" w:sz="8" w:color="CCEEFF"/>
            </w:tcBorders>
            <w:shd w:val="clear" w:color="auto" w:fill="CCEEFF"/>
          </w:tcPr>
          <w:p>
            <w:pPr>
              <w:jc w:val="center"/>
              <w:ind w:right="130"/>
              <w:spacing w:after="0"/>
              <w:rPr>
                <w:sz w:val="20"/>
                <w:szCs w:val="20"/>
                <w:color w:val="auto"/>
              </w:rPr>
            </w:pPr>
            <w:r>
              <w:rPr>
                <w:rFonts w:ascii="Arial" w:cs="Arial" w:eastAsia="Arial" w:hAnsi="Arial"/>
                <w:sz w:val="18"/>
                <w:szCs w:val="18"/>
                <w:color w:val="auto"/>
                <w:w w:val="92"/>
              </w:rPr>
              <w:t>6%</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-11%</w:t>
            </w:r>
          </w:p>
        </w:tc>
      </w:tr>
      <w:tr>
        <w:trPr>
          <w:trHeight w:val="243"/>
        </w:trPr>
        <w:tc>
          <w:tcPr>
            <w:tcW w:w="4800" w:type="dxa"/>
            <w:vAlign w:val="bottom"/>
          </w:tcPr>
          <w:p>
            <w:pPr>
              <w:ind w:left="360"/>
              <w:spacing w:after="0"/>
              <w:rPr>
                <w:sz w:val="20"/>
                <w:szCs w:val="20"/>
                <w:color w:val="auto"/>
              </w:rPr>
            </w:pPr>
            <w:r>
              <w:rPr>
                <w:rFonts w:ascii="Arial" w:cs="Arial" w:eastAsia="Arial" w:hAnsi="Arial"/>
                <w:sz w:val="18"/>
                <w:szCs w:val="18"/>
                <w:color w:val="auto"/>
              </w:rPr>
              <w:t>Supply Agreement</w:t>
            </w:r>
          </w:p>
        </w:tc>
        <w:tc>
          <w:tcPr>
            <w:tcW w:w="18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668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1,183</w:t>
            </w:r>
          </w:p>
        </w:tc>
        <w:tc>
          <w:tcPr>
            <w:tcW w:w="1540" w:type="dxa"/>
            <w:vAlign w:val="bottom"/>
            <w:gridSpan w:val="3"/>
          </w:tcPr>
          <w:p>
            <w:pPr>
              <w:jc w:val="center"/>
              <w:spacing w:after="0"/>
              <w:rPr>
                <w:sz w:val="20"/>
                <w:szCs w:val="20"/>
                <w:color w:val="auto"/>
              </w:rPr>
            </w:pPr>
            <w:r>
              <w:rPr>
                <w:rFonts w:ascii="Arial" w:cs="Arial" w:eastAsia="Arial" w:hAnsi="Arial"/>
                <w:sz w:val="18"/>
                <w:szCs w:val="18"/>
                <w:color w:val="auto"/>
                <w:w w:val="90"/>
              </w:rPr>
              <w:t>-44%</w:t>
            </w:r>
          </w:p>
        </w:tc>
        <w:tc>
          <w:tcPr>
            <w:tcW w:w="1260" w:type="dxa"/>
            <w:vAlign w:val="bottom"/>
          </w:tcPr>
          <w:p>
            <w:pPr>
              <w:jc w:val="center"/>
              <w:ind w:right="130"/>
              <w:spacing w:after="0"/>
              <w:rPr>
                <w:sz w:val="20"/>
                <w:szCs w:val="20"/>
                <w:color w:val="auto"/>
              </w:rPr>
            </w:pPr>
            <w:r>
              <w:rPr>
                <w:rFonts w:ascii="Arial" w:cs="Arial" w:eastAsia="Arial" w:hAnsi="Arial"/>
                <w:sz w:val="18"/>
                <w:szCs w:val="18"/>
                <w:color w:val="auto"/>
                <w:w w:val="92"/>
              </w:rPr>
              <w:t>0%</w:t>
            </w:r>
          </w:p>
        </w:tc>
        <w:tc>
          <w:tcPr>
            <w:tcW w:w="1240" w:type="dxa"/>
            <w:vAlign w:val="bottom"/>
          </w:tcPr>
          <w:p>
            <w:pPr>
              <w:jc w:val="center"/>
              <w:spacing w:after="0"/>
              <w:rPr>
                <w:sz w:val="20"/>
                <w:szCs w:val="20"/>
                <w:color w:val="auto"/>
              </w:rPr>
            </w:pPr>
            <w:r>
              <w:rPr>
                <w:rFonts w:ascii="Arial" w:cs="Arial" w:eastAsia="Arial" w:hAnsi="Arial"/>
                <w:sz w:val="18"/>
                <w:szCs w:val="18"/>
                <w:color w:val="auto"/>
                <w:w w:val="95"/>
              </w:rPr>
              <w:t>-44%</w:t>
            </w:r>
          </w:p>
        </w:tc>
      </w:tr>
      <w:tr>
        <w:trPr>
          <w:trHeight w:val="27"/>
        </w:trPr>
        <w:tc>
          <w:tcPr>
            <w:tcW w:w="48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r>
      <w:tr>
        <w:trPr>
          <w:trHeight w:val="257"/>
        </w:trPr>
        <w:tc>
          <w:tcPr>
            <w:tcW w:w="48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83,703</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87,331</w:t>
            </w:r>
          </w:p>
        </w:tc>
        <w:tc>
          <w:tcPr>
            <w:tcW w:w="15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3"/>
              </w:rPr>
              <w:t>-4%</w:t>
            </w:r>
          </w:p>
        </w:tc>
        <w:tc>
          <w:tcPr>
            <w:tcW w:w="1260" w:type="dxa"/>
            <w:vAlign w:val="bottom"/>
            <w:shd w:val="clear" w:color="auto" w:fill="CCEEFF"/>
          </w:tcPr>
          <w:p>
            <w:pPr>
              <w:jc w:val="center"/>
              <w:ind w:right="130"/>
              <w:spacing w:after="0"/>
              <w:rPr>
                <w:sz w:val="20"/>
                <w:szCs w:val="20"/>
                <w:color w:val="auto"/>
              </w:rPr>
            </w:pPr>
            <w:r>
              <w:rPr>
                <w:rFonts w:ascii="Arial" w:cs="Arial" w:eastAsia="Arial" w:hAnsi="Arial"/>
                <w:sz w:val="18"/>
                <w:szCs w:val="18"/>
                <w:color w:val="auto"/>
                <w:w w:val="92"/>
              </w:rPr>
              <w:t>1%</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-3%</w:t>
            </w: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For the three months ended August 31, 2015, net sales decreased $3.6 million to $83.7 million compared to the same period in the prior year. As shown in the table above, while consolidated net sales declined by 4%, excluding the planned reduction in sales under our supply agreement and a negative impact from fluctuations in currency exchange rates, our sales were down 3% year over year.</w:t>
      </w:r>
    </w:p>
    <w:p>
      <w:pPr>
        <w:spacing w:after="0" w:line="181" w:lineRule="exact"/>
        <w:rPr>
          <w:sz w:val="20"/>
          <w:szCs w:val="20"/>
          <w:color w:val="auto"/>
        </w:rPr>
      </w:pPr>
    </w:p>
    <w:p>
      <w:pPr>
        <w:ind w:right="160" w:firstLine="432"/>
        <w:spacing w:after="0" w:line="257" w:lineRule="auto"/>
        <w:rPr>
          <w:sz w:val="20"/>
          <w:szCs w:val="20"/>
          <w:color w:val="auto"/>
        </w:rPr>
      </w:pPr>
      <w:r>
        <w:rPr>
          <w:rFonts w:ascii="Arial" w:cs="Arial" w:eastAsia="Arial" w:hAnsi="Arial"/>
          <w:sz w:val="18"/>
          <w:szCs w:val="18"/>
          <w:color w:val="auto"/>
        </w:rPr>
        <w:t>From a product line perspective, Peripheral Vascular sales decreased $0.2 million primarily attributable to modest increases in venous and core products, offset by fluid management performance which was in part the result of currency movements. Vascular Access sales decreased $1.9 million due to reductions in our PICC sales, which were unfavorably impacted by the Morpheus voluntary recall and product discontinuance in the third quarter of fiscal 2015. Port sales also contributed to the decrease. Oncology/Surgery sales decreased $1.1 million primarily due to a reduction in NanoKnife capital sales as compared to the prior year period.</w:t>
      </w:r>
    </w:p>
    <w:p>
      <w:pPr>
        <w:spacing w:after="0" w:line="188" w:lineRule="exact"/>
        <w:rPr>
          <w:sz w:val="20"/>
          <w:szCs w:val="20"/>
          <w:color w:val="auto"/>
        </w:rPr>
      </w:pPr>
    </w:p>
    <w:p>
      <w:pPr>
        <w:jc w:val="both"/>
        <w:ind w:right="80" w:firstLine="432"/>
        <w:spacing w:after="0" w:line="259" w:lineRule="auto"/>
        <w:rPr>
          <w:sz w:val="20"/>
          <w:szCs w:val="20"/>
          <w:color w:val="auto"/>
        </w:rPr>
      </w:pPr>
      <w:r>
        <w:rPr>
          <w:rFonts w:ascii="Arial" w:cs="Arial" w:eastAsia="Arial" w:hAnsi="Arial"/>
          <w:sz w:val="18"/>
          <w:szCs w:val="18"/>
          <w:color w:val="auto"/>
        </w:rPr>
        <w:t>From a geographic perspective, U.S. sales decreased $0.2 million due to our venous line growth offset by the negative impact of the Morpheus product recall and discontinuance. International sales decreased 11% on a constant-currency basis, primarily attributable to declines in fluid management, venous and NanoKnife products. Our supply agreement arrangement, which we do not include in either the U.S. or International geographic sales, declined $0.5 million as we continue to wind down that relationship.</w:t>
      </w:r>
    </w:p>
    <w:p>
      <w:pPr>
        <w:spacing w:after="0" w:line="187"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Changes in sales were significantly impacted by unfavorable movement in currency exchange rates, particularly the euro, pound, and Canadian dollar, with the remainder of the change as compared to the prior year period driven by volume.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 Operating expenses, and Other income (expense)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0" w:type="dxa"/>
            <w:vAlign w:val="bottom"/>
            <w:gridSpan w:val="5"/>
          </w:tcPr>
          <w:p>
            <w:pPr>
              <w:spacing w:after="0"/>
              <w:rPr>
                <w:sz w:val="20"/>
                <w:szCs w:val="20"/>
                <w:color w:val="auto"/>
              </w:rPr>
            </w:pPr>
            <w:r>
              <w:rPr>
                <w:rFonts w:ascii="Arial" w:cs="Arial" w:eastAsia="Arial" w:hAnsi="Arial"/>
                <w:sz w:val="18"/>
                <w:szCs w:val="18"/>
                <w:color w:val="auto"/>
                <w:w w:val="95"/>
              </w:rPr>
              <w:t>Three months ended</w:t>
            </w:r>
          </w:p>
        </w:tc>
        <w:tc>
          <w:tcPr>
            <w:tcW w:w="1060" w:type="dxa"/>
            <w:vAlign w:val="bottom"/>
          </w:tcPr>
          <w:p>
            <w:pPr>
              <w:spacing w:after="0"/>
              <w:rPr>
                <w:sz w:val="20"/>
                <w:szCs w:val="20"/>
                <w:color w:val="auto"/>
              </w:rPr>
            </w:pPr>
          </w:p>
        </w:tc>
      </w:tr>
      <w:tr>
        <w:trPr>
          <w:trHeight w:val="27"/>
        </w:trPr>
        <w:tc>
          <w:tcPr>
            <w:tcW w:w="75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8"/>
        </w:trPr>
        <w:tc>
          <w:tcPr>
            <w:tcW w:w="75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w w:val="98"/>
              </w:rPr>
              <w:t>Aug 31, 2015</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w w:val="98"/>
              </w:rPr>
              <w:t>Aug 31, 2014</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color w:val="auto"/>
              </w:rPr>
              <w:t>% Change</w:t>
            </w:r>
          </w:p>
        </w:tc>
      </w:tr>
      <w:tr>
        <w:trPr>
          <w:trHeight w:val="243"/>
        </w:trPr>
        <w:tc>
          <w:tcPr>
            <w:tcW w:w="756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43.2</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45.8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-6 %</w:t>
            </w:r>
          </w:p>
        </w:tc>
      </w:tr>
      <w:tr>
        <w:trPr>
          <w:trHeight w:val="27"/>
        </w:trPr>
        <w:tc>
          <w:tcPr>
            <w:tcW w:w="7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 % of sales</w:t>
            </w: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7560" w:type="dxa"/>
            <w:vAlign w:val="bottom"/>
          </w:tcPr>
          <w:p>
            <w:pPr>
              <w:ind w:left="40"/>
              <w:spacing w:after="0"/>
              <w:rPr>
                <w:sz w:val="20"/>
                <w:szCs w:val="20"/>
                <w:color w:val="auto"/>
              </w:rPr>
            </w:pPr>
            <w:r>
              <w:rPr>
                <w:rFonts w:ascii="Arial" w:cs="Arial" w:eastAsia="Arial" w:hAnsi="Arial"/>
                <w:sz w:val="18"/>
                <w:szCs w:val="18"/>
                <w:color w:val="auto"/>
              </w:rPr>
              <w:t>Research and development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6.2</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-7 %</w:t>
            </w:r>
          </w:p>
        </w:tc>
      </w:tr>
      <w:tr>
        <w:trPr>
          <w:trHeight w:val="27"/>
        </w:trPr>
        <w:tc>
          <w:tcPr>
            <w:tcW w:w="7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of sales</w:t>
            </w: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7560" w:type="dxa"/>
            <w:vAlign w:val="bottom"/>
          </w:tcPr>
          <w:p>
            <w:pPr>
              <w:ind w:left="40"/>
              <w:spacing w:after="0"/>
              <w:rPr>
                <w:sz w:val="20"/>
                <w:szCs w:val="20"/>
                <w:color w:val="auto"/>
              </w:rPr>
            </w:pPr>
            <w:r>
              <w:rPr>
                <w:rFonts w:ascii="Arial" w:cs="Arial" w:eastAsia="Arial" w:hAnsi="Arial"/>
                <w:sz w:val="18"/>
                <w:szCs w:val="18"/>
                <w:color w:val="auto"/>
              </w:rPr>
              <w:t>Selling and marketing</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20.6</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20.1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2 %</w:t>
            </w:r>
          </w:p>
        </w:tc>
      </w:tr>
      <w:tr>
        <w:trPr>
          <w:trHeight w:val="27"/>
        </w:trPr>
        <w:tc>
          <w:tcPr>
            <w:tcW w:w="7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of sales</w:t>
            </w: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7560" w:type="dxa"/>
            <w:vAlign w:val="bottom"/>
          </w:tcPr>
          <w:p>
            <w:pPr>
              <w:ind w:left="40"/>
              <w:spacing w:after="0"/>
              <w:rPr>
                <w:sz w:val="20"/>
                <w:szCs w:val="20"/>
                <w:color w:val="auto"/>
              </w:rPr>
            </w:pPr>
            <w:r>
              <w:rPr>
                <w:rFonts w:ascii="Arial" w:cs="Arial" w:eastAsia="Arial" w:hAnsi="Arial"/>
                <w:sz w:val="18"/>
                <w:szCs w:val="18"/>
                <w:color w:val="auto"/>
              </w:rPr>
              <w:t>General and administrative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7.4</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1 %</w:t>
            </w:r>
          </w:p>
        </w:tc>
      </w:tr>
      <w:tr>
        <w:trPr>
          <w:trHeight w:val="27"/>
        </w:trPr>
        <w:tc>
          <w:tcPr>
            <w:tcW w:w="7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of sales</w:t>
            </w: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7560" w:type="dxa"/>
            <w:vAlign w:val="bottom"/>
          </w:tcPr>
          <w:p>
            <w:pPr>
              <w:ind w:left="40"/>
              <w:spacing w:after="0"/>
              <w:rPr>
                <w:sz w:val="20"/>
                <w:szCs w:val="20"/>
                <w:color w:val="auto"/>
              </w:rPr>
            </w:pPr>
            <w:r>
              <w:rPr>
                <w:rFonts w:ascii="Arial" w:cs="Arial" w:eastAsia="Arial" w:hAnsi="Arial"/>
                <w:sz w:val="18"/>
                <w:szCs w:val="18"/>
                <w:color w:val="auto"/>
              </w:rPr>
              <w:t>Medical device excise tax</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1.0</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0 %</w:t>
            </w:r>
          </w:p>
        </w:tc>
      </w:tr>
      <w:tr>
        <w:trPr>
          <w:trHeight w:val="27"/>
        </w:trPr>
        <w:tc>
          <w:tcPr>
            <w:tcW w:w="7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3"/>
        </w:trPr>
        <w:tc>
          <w:tcPr>
            <w:tcW w:w="7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 of sales</w:t>
            </w:r>
          </w:p>
        </w:tc>
        <w:tc>
          <w:tcPr>
            <w:tcW w:w="1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r>
      <w:tr>
        <w:trPr>
          <w:trHeight w:val="27"/>
        </w:trPr>
        <w:tc>
          <w:tcPr>
            <w:tcW w:w="75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u w:val="single" w:color="auto"/>
          <w:color w:val="auto"/>
        </w:rPr>
        <w:t>Gross profit</w:t>
      </w:r>
      <w:r>
        <w:rPr>
          <w:rFonts w:ascii="Arial" w:cs="Arial" w:eastAsia="Arial" w:hAnsi="Arial"/>
          <w:sz w:val="18"/>
          <w:szCs w:val="18"/>
          <w:color w:val="auto"/>
        </w:rPr>
        <w:t xml:space="preserve"> - Gross profit consists of net sales less the cost of goods sold, which includes the costs of materials, products purchased from third parties and sold by us, manufacturing personnel, royalties, freight, business insurance, depreciation of property and equipment and other manufacturing overhead. The decrease for the three months is attributable to reduction in sales and the result of currency exchange fluctuations which negatively impacted our sales with minimal reduction to our cost of sales. These headwinds were partially offset by product cost reductions generated by our active Operational Excellence Program.</w:t>
      </w:r>
    </w:p>
    <w:p>
      <w:pPr>
        <w:spacing w:after="0" w:line="188"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u w:val="single" w:color="auto"/>
          <w:color w:val="auto"/>
        </w:rPr>
        <w:t>Research and development expenses</w:t>
      </w:r>
      <w:r>
        <w:rPr>
          <w:rFonts w:ascii="Arial" w:cs="Arial" w:eastAsia="Arial" w:hAnsi="Arial"/>
          <w:sz w:val="18"/>
          <w:szCs w:val="18"/>
          <w:color w:val="auto"/>
        </w:rPr>
        <w:t xml:space="preserve"> - Research and development (“R&amp;D”) expenses include internal and external costs to develop new products, enhance existing products, validate new and enhanced products, manage clinical, regulatory and medical affairs and our intellectual property. The decrease in R&amp;D costs relates to savings generated by restructuring activities in fiscal 2015.</w:t>
      </w:r>
    </w:p>
    <w:p>
      <w:pPr>
        <w:spacing w:after="0" w:line="181"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u w:val="single" w:color="auto"/>
          <w:color w:val="auto"/>
        </w:rPr>
        <w:t>Sales and marketing expenses</w:t>
      </w:r>
      <w:r>
        <w:rPr>
          <w:rFonts w:ascii="Arial" w:cs="Arial" w:eastAsia="Arial" w:hAnsi="Arial"/>
          <w:sz w:val="18"/>
          <w:szCs w:val="18"/>
          <w:color w:val="auto"/>
        </w:rPr>
        <w:t xml:space="preserve"> - Sales and marketing (“S&amp;M”) expenses consist primarily of salaries, commissions, travel and related business expenses, attendance at medical society meetings, product promotions and marketing activities. Increases in S&amp;M expense for is the result of investments in expanding and retaining our sales force.</w:t>
      </w:r>
    </w:p>
    <w:p>
      <w:pPr>
        <w:spacing w:after="0" w:line="181" w:lineRule="exact"/>
        <w:rPr>
          <w:sz w:val="20"/>
          <w:szCs w:val="20"/>
          <w:color w:val="auto"/>
        </w:rPr>
      </w:pPr>
    </w:p>
    <w:p>
      <w:pPr>
        <w:jc w:val="both"/>
        <w:ind w:right="100" w:firstLine="432"/>
        <w:spacing w:after="0" w:line="264" w:lineRule="auto"/>
        <w:rPr>
          <w:sz w:val="20"/>
          <w:szCs w:val="20"/>
          <w:color w:val="auto"/>
        </w:rPr>
      </w:pPr>
      <w:r>
        <w:rPr>
          <w:rFonts w:ascii="Arial" w:cs="Arial" w:eastAsia="Arial" w:hAnsi="Arial"/>
          <w:sz w:val="18"/>
          <w:szCs w:val="18"/>
          <w:u w:val="single" w:color="auto"/>
          <w:color w:val="auto"/>
        </w:rPr>
        <w:t>General and administrative expenses</w:t>
      </w:r>
      <w:r>
        <w:rPr>
          <w:rFonts w:ascii="Arial" w:cs="Arial" w:eastAsia="Arial" w:hAnsi="Arial"/>
          <w:sz w:val="18"/>
          <w:szCs w:val="18"/>
          <w:color w:val="auto"/>
        </w:rPr>
        <w:t xml:space="preserve"> - General and administrative (“G&amp;A”) expenses include executive management, finance, information technology, human resources, business development, legal, and the administrative and professional costs associated with those activities. G&amp;A expenses were consistent for the three months ended August 31, 2015 and 2014.</w:t>
      </w:r>
    </w:p>
    <w:p>
      <w:pPr>
        <w:spacing w:after="0" w:line="181" w:lineRule="exact"/>
        <w:rPr>
          <w:sz w:val="20"/>
          <w:szCs w:val="20"/>
          <w:color w:val="auto"/>
        </w:rPr>
      </w:pPr>
    </w:p>
    <w:p>
      <w:pPr>
        <w:ind w:right="540" w:firstLine="432"/>
        <w:spacing w:after="0" w:line="277" w:lineRule="auto"/>
        <w:rPr>
          <w:sz w:val="20"/>
          <w:szCs w:val="20"/>
          <w:color w:val="auto"/>
        </w:rPr>
      </w:pPr>
      <w:r>
        <w:rPr>
          <w:rFonts w:ascii="Arial" w:cs="Arial" w:eastAsia="Arial" w:hAnsi="Arial"/>
          <w:sz w:val="18"/>
          <w:szCs w:val="18"/>
          <w:u w:val="single" w:color="auto"/>
          <w:color w:val="auto"/>
        </w:rPr>
        <w:t>Medical device excise tax</w:t>
      </w:r>
      <w:r>
        <w:rPr>
          <w:rFonts w:ascii="Arial" w:cs="Arial" w:eastAsia="Arial" w:hAnsi="Arial"/>
          <w:sz w:val="18"/>
          <w:szCs w:val="18"/>
          <w:color w:val="auto"/>
        </w:rPr>
        <w:t xml:space="preserve"> - Medical devices excise tax is assess on our US product sales subject to exclusions and adjustments. The expense was consistent year over year; in line with sales of taxable products within the US market.</w:t>
      </w:r>
    </w:p>
    <w:p>
      <w:pPr>
        <w:spacing w:after="0" w:line="333" w:lineRule="exact"/>
        <w:rPr>
          <w:sz w:val="20"/>
          <w:szCs w:val="20"/>
          <w:color w:val="auto"/>
        </w:rPr>
      </w:pPr>
    </w:p>
    <w:p>
      <w:pPr>
        <w:ind w:left="8880"/>
        <w:spacing w:after="0"/>
        <w:rPr>
          <w:sz w:val="20"/>
          <w:szCs w:val="20"/>
          <w:color w:val="auto"/>
        </w:rPr>
      </w:pPr>
      <w:r>
        <w:rPr>
          <w:rFonts w:ascii="Arial" w:cs="Arial" w:eastAsia="Arial" w:hAnsi="Arial"/>
          <w:sz w:val="18"/>
          <w:szCs w:val="18"/>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4944745</wp:posOffset>
            </wp:positionH>
            <wp:positionV relativeFrom="paragraph">
              <wp:posOffset>31750</wp:posOffset>
            </wp:positionV>
            <wp:extent cx="230695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306955" cy="8890"/>
                    </a:xfrm>
                    <a:prstGeom prst="rect">
                      <a:avLst/>
                    </a:prstGeom>
                    <a:noFill/>
                  </pic:spPr>
                </pic:pic>
              </a:graphicData>
            </a:graphic>
          </wp:anchor>
        </w:drawing>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color w:val="auto"/>
              </w:rPr>
              <w:t>Aug 31, 2015</w:t>
            </w:r>
          </w:p>
        </w:tc>
        <w:tc>
          <w:tcPr>
            <w:tcW w:w="140" w:type="dxa"/>
            <w:vAlign w:val="bottom"/>
          </w:tcPr>
          <w:p>
            <w:pPr>
              <w:spacing w:after="0"/>
              <w:rPr>
                <w:sz w:val="16"/>
                <w:szCs w:val="16"/>
                <w:color w:val="auto"/>
              </w:rPr>
            </w:pPr>
          </w:p>
        </w:tc>
        <w:tc>
          <w:tcPr>
            <w:tcW w:w="1100" w:type="dxa"/>
            <w:vAlign w:val="bottom"/>
            <w:gridSpan w:val="2"/>
          </w:tcPr>
          <w:p>
            <w:pPr>
              <w:ind w:left="40"/>
              <w:spacing w:after="0"/>
              <w:rPr>
                <w:sz w:val="20"/>
                <w:szCs w:val="20"/>
                <w:color w:val="auto"/>
              </w:rPr>
            </w:pPr>
            <w:r>
              <w:rPr>
                <w:rFonts w:ascii="Arial" w:cs="Arial" w:eastAsia="Arial" w:hAnsi="Arial"/>
                <w:sz w:val="14"/>
                <w:szCs w:val="14"/>
                <w:color w:val="auto"/>
              </w:rPr>
              <w:t>Aug 31, 2014</w:t>
            </w:r>
          </w:p>
        </w:tc>
        <w:tc>
          <w:tcPr>
            <w:tcW w:w="220" w:type="dxa"/>
            <w:vAlign w:val="bottom"/>
          </w:tcPr>
          <w:p>
            <w:pPr>
              <w:spacing w:after="0"/>
              <w:rPr>
                <w:sz w:val="16"/>
                <w:szCs w:val="16"/>
                <w:color w:val="auto"/>
              </w:rPr>
            </w:pPr>
          </w:p>
        </w:tc>
        <w:tc>
          <w:tcPr>
            <w:tcW w:w="920" w:type="dxa"/>
            <w:vAlign w:val="bottom"/>
          </w:tcPr>
          <w:p>
            <w:pPr>
              <w:jc w:val="right"/>
              <w:ind w:right="214"/>
              <w:spacing w:after="0"/>
              <w:rPr>
                <w:sz w:val="20"/>
                <w:szCs w:val="20"/>
                <w:color w:val="auto"/>
              </w:rPr>
            </w:pPr>
            <w:r>
              <w:rPr>
                <w:rFonts w:ascii="Arial" w:cs="Arial" w:eastAsia="Arial" w:hAnsi="Arial"/>
                <w:sz w:val="14"/>
                <w:szCs w:val="14"/>
                <w:color w:val="auto"/>
                <w:w w:val="98"/>
              </w:rPr>
              <w:t>$ Change</w:t>
            </w:r>
          </w:p>
        </w:tc>
      </w:tr>
      <w:tr>
        <w:trPr>
          <w:trHeight w:val="250"/>
        </w:trPr>
        <w:tc>
          <w:tcPr>
            <w:tcW w:w="77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intangibles</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0.4</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Change in fair value of contingent consideration</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(0.4)</w:t>
            </w:r>
          </w:p>
        </w:tc>
      </w:tr>
      <w:tr>
        <w:trPr>
          <w:trHeight w:val="27"/>
        </w:trPr>
        <w:tc>
          <w:tcPr>
            <w:tcW w:w="7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 restructuring and other items, net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Other expense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0.1</w:t>
            </w:r>
          </w:p>
        </w:tc>
      </w:tr>
    </w:tbl>
    <w:p>
      <w:pPr>
        <w:spacing w:after="0" w:line="229" w:lineRule="exact"/>
        <w:rPr>
          <w:sz w:val="20"/>
          <w:szCs w:val="20"/>
          <w:color w:val="auto"/>
        </w:rPr>
      </w:pPr>
    </w:p>
    <w:p>
      <w:pPr>
        <w:jc w:val="both"/>
        <w:ind w:right="40" w:firstLine="432"/>
        <w:spacing w:after="0" w:line="277" w:lineRule="auto"/>
        <w:rPr>
          <w:sz w:val="20"/>
          <w:szCs w:val="20"/>
          <w:color w:val="auto"/>
        </w:rPr>
      </w:pPr>
      <w:r>
        <w:rPr>
          <w:rFonts w:ascii="Arial" w:cs="Arial" w:eastAsia="Arial" w:hAnsi="Arial"/>
          <w:sz w:val="18"/>
          <w:szCs w:val="18"/>
          <w:u w:val="single" w:color="auto"/>
          <w:color w:val="auto"/>
        </w:rPr>
        <w:t>Amortization of intangibles</w:t>
      </w:r>
      <w:r>
        <w:rPr>
          <w:rFonts w:ascii="Arial" w:cs="Arial" w:eastAsia="Arial" w:hAnsi="Arial"/>
          <w:sz w:val="18"/>
          <w:szCs w:val="18"/>
          <w:color w:val="auto"/>
        </w:rPr>
        <w:t xml:space="preserve"> - Amortization of intangibles increased primarily as a result of amortization of the NAMIC trademark intangible which was considered indefinite lived in the prior year.</w:t>
      </w:r>
    </w:p>
    <w:p>
      <w:pPr>
        <w:spacing w:after="0" w:line="170" w:lineRule="exact"/>
        <w:rPr>
          <w:sz w:val="20"/>
          <w:szCs w:val="20"/>
          <w:color w:val="auto"/>
        </w:rPr>
      </w:pPr>
    </w:p>
    <w:p>
      <w:pPr>
        <w:jc w:val="both"/>
        <w:ind w:right="340" w:firstLine="432"/>
        <w:spacing w:after="0" w:line="259" w:lineRule="auto"/>
        <w:rPr>
          <w:sz w:val="20"/>
          <w:szCs w:val="20"/>
          <w:color w:val="auto"/>
        </w:rPr>
      </w:pPr>
      <w:r>
        <w:rPr>
          <w:rFonts w:ascii="Arial" w:cs="Arial" w:eastAsia="Arial" w:hAnsi="Arial"/>
          <w:sz w:val="18"/>
          <w:szCs w:val="18"/>
          <w:u w:val="single" w:color="auto"/>
          <w:color w:val="auto"/>
        </w:rPr>
        <w:t>Change in fair value of contingent consideration</w:t>
      </w:r>
      <w:r>
        <w:rPr>
          <w:rFonts w:ascii="Arial" w:cs="Arial" w:eastAsia="Arial" w:hAnsi="Arial"/>
          <w:sz w:val="18"/>
          <w:szCs w:val="18"/>
          <w:color w:val="auto"/>
        </w:rPr>
        <w:t xml:space="preserve"> - Changes in the contingent consideration were driven by changes to estimated future payments on earn-out liabilities created through acquisitions and amortization of present value discounts on long-term contingent consideration. The decrease from the prior year is driven by a $0.2 million gain as a result of reducing the estimated present value of future payments due on earn-outs along with a decrease in amortization of approximately $0.2 million from the prior year.</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u w:val="single" w:color="auto"/>
          <w:color w:val="auto"/>
        </w:rPr>
        <w:t>Acquisition, restructuring and other items, net</w:t>
      </w:r>
      <w:r>
        <w:rPr>
          <w:rFonts w:ascii="Arial" w:cs="Arial" w:eastAsia="Arial" w:hAnsi="Arial"/>
          <w:sz w:val="18"/>
          <w:szCs w:val="18"/>
          <w:color w:val="auto"/>
        </w:rPr>
        <w:t xml:space="preserve"> - Expense for the three months ended August 31, 2015 consists primarily of $0.4 million in accelerated depreciation, $1.3 million in litigation expense and other miscellaneous items.</w:t>
      </w:r>
    </w:p>
    <w:p>
      <w:pPr>
        <w:spacing w:after="0" w:line="170" w:lineRule="exact"/>
        <w:rPr>
          <w:sz w:val="20"/>
          <w:szCs w:val="20"/>
          <w:color w:val="auto"/>
        </w:rPr>
      </w:pPr>
    </w:p>
    <w:p>
      <w:pPr>
        <w:ind w:right="340" w:firstLine="432"/>
        <w:spacing w:after="0" w:line="277" w:lineRule="auto"/>
        <w:rPr>
          <w:sz w:val="20"/>
          <w:szCs w:val="20"/>
          <w:color w:val="auto"/>
        </w:rPr>
      </w:pPr>
      <w:r>
        <w:rPr>
          <w:rFonts w:ascii="Arial" w:cs="Arial" w:eastAsia="Arial" w:hAnsi="Arial"/>
          <w:sz w:val="18"/>
          <w:szCs w:val="18"/>
          <w:u w:val="single" w:color="auto"/>
          <w:color w:val="auto"/>
        </w:rPr>
        <w:t>Other expenses</w:t>
      </w:r>
      <w:r>
        <w:rPr>
          <w:rFonts w:ascii="Arial" w:cs="Arial" w:eastAsia="Arial" w:hAnsi="Arial"/>
          <w:sz w:val="18"/>
          <w:szCs w:val="18"/>
          <w:color w:val="auto"/>
        </w:rPr>
        <w:t xml:space="preserve"> - Other expenses include interest expense, credit card processing fees, foreign currency impacts, bank fees, amortization of deferred financing costs. Expenses were consistent year over year in composition.</w:t>
      </w:r>
    </w:p>
    <w:p>
      <w:pPr>
        <w:spacing w:after="0" w:line="333" w:lineRule="exact"/>
        <w:rPr>
          <w:sz w:val="20"/>
          <w:szCs w:val="20"/>
          <w:color w:val="auto"/>
        </w:rPr>
      </w:pPr>
    </w:p>
    <w:p>
      <w:pPr>
        <w:ind w:left="9400"/>
        <w:spacing w:after="0"/>
        <w:rPr>
          <w:sz w:val="20"/>
          <w:szCs w:val="20"/>
          <w:color w:val="auto"/>
        </w:rPr>
      </w:pPr>
      <w:r>
        <w:rPr>
          <w:rFonts w:ascii="Arial" w:cs="Arial" w:eastAsia="Arial" w:hAnsi="Arial"/>
          <w:sz w:val="18"/>
          <w:szCs w:val="18"/>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5605145</wp:posOffset>
            </wp:positionH>
            <wp:positionV relativeFrom="paragraph">
              <wp:posOffset>31750</wp:posOffset>
            </wp:positionV>
            <wp:extent cx="164655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ind w:left="60"/>
              <w:spacing w:after="0"/>
              <w:rPr>
                <w:sz w:val="20"/>
                <w:szCs w:val="20"/>
                <w:color w:val="auto"/>
              </w:rPr>
            </w:pPr>
            <w:r>
              <w:rPr>
                <w:rFonts w:ascii="Arial" w:cs="Arial" w:eastAsia="Arial" w:hAnsi="Arial"/>
                <w:sz w:val="14"/>
                <w:szCs w:val="14"/>
                <w:color w:val="auto"/>
              </w:rPr>
              <w:t>Aug 31, 2015</w:t>
            </w:r>
          </w:p>
        </w:tc>
        <w:tc>
          <w:tcPr>
            <w:tcW w:w="180" w:type="dxa"/>
            <w:vAlign w:val="bottom"/>
          </w:tcPr>
          <w:p>
            <w:pPr>
              <w:spacing w:after="0"/>
              <w:rPr>
                <w:sz w:val="16"/>
                <w:szCs w:val="16"/>
                <w:color w:val="auto"/>
              </w:rPr>
            </w:pPr>
          </w:p>
        </w:tc>
        <w:tc>
          <w:tcPr>
            <w:tcW w:w="1040" w:type="dxa"/>
            <w:vAlign w:val="bottom"/>
          </w:tcPr>
          <w:p>
            <w:pPr>
              <w:jc w:val="right"/>
              <w:ind w:right="156"/>
              <w:spacing w:after="0"/>
              <w:rPr>
                <w:sz w:val="20"/>
                <w:szCs w:val="20"/>
                <w:color w:val="auto"/>
              </w:rPr>
            </w:pPr>
            <w:r>
              <w:rPr>
                <w:rFonts w:ascii="Arial" w:cs="Arial" w:eastAsia="Arial" w:hAnsi="Arial"/>
                <w:sz w:val="14"/>
                <w:szCs w:val="14"/>
                <w:color w:val="auto"/>
              </w:rPr>
              <w:t>Aug 3, 2014</w:t>
            </w:r>
          </w:p>
        </w:tc>
      </w:tr>
      <w:tr>
        <w:trPr>
          <w:trHeight w:val="250"/>
        </w:trPr>
        <w:tc>
          <w:tcPr>
            <w:tcW w:w="88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(benefit)</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0.1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0.9</w:t>
            </w:r>
          </w:p>
        </w:tc>
      </w:tr>
      <w:tr>
        <w:trPr>
          <w:trHeight w:val="243"/>
        </w:trPr>
        <w:tc>
          <w:tcPr>
            <w:tcW w:w="8820" w:type="dxa"/>
            <w:vAlign w:val="bottom"/>
          </w:tcPr>
          <w:p>
            <w:pPr>
              <w:ind w:left="40"/>
              <w:spacing w:after="0"/>
              <w:rPr>
                <w:sz w:val="20"/>
                <w:szCs w:val="20"/>
                <w:color w:val="auto"/>
              </w:rPr>
            </w:pPr>
            <w:r>
              <w:rPr>
                <w:rFonts w:ascii="Arial" w:cs="Arial" w:eastAsia="Arial" w:hAnsi="Arial"/>
                <w:sz w:val="18"/>
                <w:szCs w:val="18"/>
                <w:color w:val="auto"/>
              </w:rPr>
              <w:t>Effective tax rate including discrete items</w:t>
            </w: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(12.31)%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66.85%</w:t>
            </w:r>
          </w:p>
        </w:tc>
      </w:tr>
    </w:tbl>
    <w:p>
      <w:pPr>
        <w:spacing w:after="0" w:line="229" w:lineRule="exact"/>
        <w:rPr>
          <w:sz w:val="20"/>
          <w:szCs w:val="20"/>
          <w:color w:val="auto"/>
        </w:rPr>
      </w:pPr>
    </w:p>
    <w:p>
      <w:pPr>
        <w:jc w:val="both"/>
        <w:ind w:right="60" w:firstLine="432"/>
        <w:spacing w:after="0" w:line="277" w:lineRule="auto"/>
        <w:rPr>
          <w:sz w:val="20"/>
          <w:szCs w:val="20"/>
          <w:color w:val="auto"/>
        </w:rPr>
      </w:pPr>
      <w:r>
        <w:rPr>
          <w:rFonts w:ascii="Arial" w:cs="Arial" w:eastAsia="Arial" w:hAnsi="Arial"/>
          <w:sz w:val="18"/>
          <w:szCs w:val="18"/>
          <w:u w:val="single" w:color="auto"/>
          <w:color w:val="auto"/>
        </w:rPr>
        <w:t>Income taxes</w:t>
      </w:r>
      <w:r>
        <w:rPr>
          <w:rFonts w:ascii="Arial" w:cs="Arial" w:eastAsia="Arial" w:hAnsi="Arial"/>
          <w:sz w:val="18"/>
          <w:szCs w:val="18"/>
          <w:color w:val="auto"/>
        </w:rPr>
        <w:t xml:space="preserve"> - Our effective tax rate including discrete items for the three month periods ended August 31, 2015 and August 31, 2014 was (12.3%) and 66.85%, respectively.</w:t>
      </w:r>
    </w:p>
    <w:p>
      <w:pPr>
        <w:spacing w:after="0" w:line="170" w:lineRule="exact"/>
        <w:rPr>
          <w:sz w:val="20"/>
          <w:szCs w:val="20"/>
          <w:color w:val="auto"/>
        </w:rPr>
      </w:pPr>
    </w:p>
    <w:p>
      <w:pPr>
        <w:ind w:right="200" w:firstLine="432"/>
        <w:spacing w:after="0" w:line="273" w:lineRule="auto"/>
        <w:rPr>
          <w:sz w:val="20"/>
          <w:szCs w:val="20"/>
          <w:color w:val="auto"/>
        </w:rPr>
      </w:pPr>
      <w:r>
        <w:rPr>
          <w:rFonts w:ascii="Arial" w:cs="Arial" w:eastAsia="Arial" w:hAnsi="Arial"/>
          <w:sz w:val="17"/>
          <w:szCs w:val="17"/>
          <w:color w:val="auto"/>
        </w:rPr>
        <w:t>The change in our effective tax rate for the first quarter of 2015, as compared to the same period in 2014, relates primarily to the level of pre-tax earnings. During first quarter of 2015 our pre-tax earnings were at a loss of $0.6 thousand compared to income of $1.4 million for the same period in 2014, which had a significant impact on the effective tax rate. In addition, our ASC 718 APIC pool became fully depleted during the fiscal year 2014. Prior to its depletion, the APIC pool was reduced when share-based compensation cost previously recognized was greater than the deduction allowed for income tax purposes based on the price of our common stock on the date of exercise or vesting. Due to its depletion, we recorded a discrete tax expense of $0.5 million and $0.4 million in the three months ended August 31, 2015 and August 31, 2014, respectively.</w:t>
      </w:r>
    </w:p>
    <w:p>
      <w:pPr>
        <w:spacing w:after="0" w:line="178" w:lineRule="exact"/>
        <w:rPr>
          <w:sz w:val="20"/>
          <w:szCs w:val="20"/>
          <w:color w:val="auto"/>
        </w:rPr>
      </w:pPr>
    </w:p>
    <w:p>
      <w:pPr>
        <w:ind w:right="220" w:firstLine="432"/>
        <w:spacing w:after="0" w:line="279" w:lineRule="auto"/>
        <w:rPr>
          <w:sz w:val="20"/>
          <w:szCs w:val="20"/>
          <w:color w:val="auto"/>
        </w:rPr>
      </w:pPr>
      <w:r>
        <w:rPr>
          <w:rFonts w:ascii="Arial" w:cs="Arial" w:eastAsia="Arial" w:hAnsi="Arial"/>
          <w:sz w:val="17"/>
          <w:szCs w:val="17"/>
          <w:color w:val="auto"/>
        </w:rPr>
        <w:t>Our income tax rate on continuing operations, excluding discrete items for the three month periods ended August 31, 2015 and August 31, 2014 were 43.0% and 42.2%, respectively. The income tax rate on continuing operations excluding discrete items is greater than 35% US statutory tax rate in both periods primarily due to the impact of non-deductible expenses (such as the non-deductible portion of meals and entertainment, non-deductible interest on contingent payments and non-deductible stock based compensation related to employee stock purchase plan).</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17" w:lineRule="exact"/>
        <w:rPr>
          <w:sz w:val="20"/>
          <w:szCs w:val="20"/>
          <w:color w:val="auto"/>
        </w:rPr>
      </w:pPr>
    </w:p>
    <w:p>
      <w:pPr>
        <w:jc w:val="both"/>
        <w:ind w:right="320" w:firstLine="432"/>
        <w:spacing w:after="0" w:line="259" w:lineRule="auto"/>
        <w:rPr>
          <w:sz w:val="20"/>
          <w:szCs w:val="20"/>
          <w:color w:val="auto"/>
        </w:rPr>
      </w:pPr>
      <w:r>
        <w:rPr>
          <w:rFonts w:ascii="Arial" w:cs="Arial" w:eastAsia="Arial" w:hAnsi="Arial"/>
          <w:sz w:val="18"/>
          <w:szCs w:val="18"/>
          <w:color w:val="auto"/>
        </w:rPr>
        <w:t>Our cash and cash equivalents totaled $20.3 million as of August 31, 2015, compared with $18.4 million as of May 31, 2015. Marketable securities totaled $1.7 million and $1.7 million as of August 31, 2015 and May 31, 2015, respectively, and consist of auction rate securities. As of August 31, 2015, total debt was $136.4 million primarily comprised of short and long-term bank debt. The fair value of contingent consideration payments as of August 31, 2015 was $45.7 million.</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table below summarizes our cash flows for the three months ended August 31, 2015 and 2014 (in thousands of dollars):</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90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tcPr>
          <w:p>
            <w:pPr>
              <w:jc w:val="right"/>
              <w:ind w:right="493"/>
              <w:spacing w:after="0"/>
              <w:rPr>
                <w:sz w:val="20"/>
                <w:szCs w:val="20"/>
                <w:color w:val="auto"/>
              </w:rPr>
            </w:pPr>
            <w:r>
              <w:rPr>
                <w:rFonts w:ascii="Arial" w:cs="Arial" w:eastAsia="Arial" w:hAnsi="Arial"/>
                <w:sz w:val="14"/>
                <w:szCs w:val="14"/>
                <w:color w:val="auto"/>
              </w:rPr>
              <w:t>Three Months Ended</w:t>
            </w:r>
          </w:p>
        </w:tc>
      </w:tr>
      <w:tr>
        <w:trPr>
          <w:trHeight w:val="264"/>
        </w:trPr>
        <w:tc>
          <w:tcPr>
            <w:tcW w:w="90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color w:val="auto"/>
              </w:rPr>
              <w:t>Aug 31, 2015</w:t>
            </w:r>
          </w:p>
        </w:tc>
        <w:tc>
          <w:tcPr>
            <w:tcW w:w="160" w:type="dxa"/>
            <w:vAlign w:val="bottom"/>
          </w:tcPr>
          <w:p>
            <w:pPr>
              <w:spacing w:after="0"/>
              <w:rPr>
                <w:sz w:val="22"/>
                <w:szCs w:val="22"/>
                <w:color w:val="auto"/>
              </w:rPr>
            </w:pPr>
          </w:p>
        </w:tc>
        <w:tc>
          <w:tcPr>
            <w:tcW w:w="980" w:type="dxa"/>
            <w:vAlign w:val="bottom"/>
          </w:tcPr>
          <w:p>
            <w:pPr>
              <w:jc w:val="right"/>
              <w:ind w:right="93"/>
              <w:spacing w:after="0"/>
              <w:rPr>
                <w:sz w:val="20"/>
                <w:szCs w:val="20"/>
                <w:color w:val="auto"/>
              </w:rPr>
            </w:pPr>
            <w:r>
              <w:rPr>
                <w:rFonts w:ascii="Arial" w:cs="Arial" w:eastAsia="Arial" w:hAnsi="Arial"/>
                <w:sz w:val="14"/>
                <w:szCs w:val="14"/>
                <w:color w:val="auto"/>
                <w:w w:val="93"/>
              </w:rPr>
              <w:t>Aug 31, 2014</w:t>
            </w:r>
          </w:p>
        </w:tc>
      </w:tr>
      <w:tr>
        <w:trPr>
          <w:trHeight w:val="250"/>
        </w:trPr>
        <w:tc>
          <w:tcPr>
            <w:tcW w:w="90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provided by (used in):</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Operating activities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4,699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5,352</w:t>
            </w:r>
          </w:p>
        </w:tc>
      </w:tr>
      <w:tr>
        <w:trPr>
          <w:trHeight w:val="27"/>
        </w:trPr>
        <w:tc>
          <w:tcPr>
            <w:tcW w:w="9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(5,258)</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Financing activities</w:t>
            </w: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(2,071)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(2,391)</w:t>
            </w:r>
          </w:p>
        </w:tc>
      </w:tr>
      <w:tr>
        <w:trPr>
          <w:trHeight w:val="27"/>
        </w:trPr>
        <w:tc>
          <w:tcPr>
            <w:tcW w:w="9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37"/>
        </w:trPr>
        <w:tc>
          <w:tcPr>
            <w:tcW w:w="9020" w:type="dxa"/>
            <w:vAlign w:val="bottom"/>
          </w:tcPr>
          <w:p>
            <w:pPr>
              <w:ind w:left="40"/>
              <w:spacing w:after="0"/>
              <w:rPr>
                <w:sz w:val="20"/>
                <w:szCs w:val="20"/>
                <w:color w:val="auto"/>
              </w:rPr>
            </w:pPr>
            <w:r>
              <w:rPr>
                <w:rFonts w:ascii="Arial" w:cs="Arial" w:eastAsia="Arial" w:hAnsi="Arial"/>
                <w:sz w:val="18"/>
                <w:szCs w:val="18"/>
                <w:color w:val="auto"/>
              </w:rPr>
              <w:t>Net change in cash and cash equivalents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1,877</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(2,297)</w:t>
            </w:r>
          </w:p>
        </w:tc>
      </w:tr>
      <w:tr>
        <w:trPr>
          <w:trHeight w:val="27"/>
        </w:trPr>
        <w:tc>
          <w:tcPr>
            <w:tcW w:w="90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9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Cash provided by operating activities during the three months ended August 31, 2015 and 2014, was primarily the result of net income (loss) excluding non-cash items offset by unfavorable shifts in working capital. In the current year period, favorable working capital change in accounts receivable were partially offset by increases in inventories and other assets and reductions in payables and accrued expenses.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540" w:firstLine="432"/>
        <w:spacing w:after="0" w:line="264" w:lineRule="auto"/>
        <w:rPr>
          <w:sz w:val="20"/>
          <w:szCs w:val="20"/>
          <w:color w:val="auto"/>
        </w:rPr>
      </w:pPr>
      <w:r>
        <w:rPr>
          <w:rFonts w:ascii="Arial" w:cs="Arial" w:eastAsia="Arial" w:hAnsi="Arial"/>
          <w:sz w:val="18"/>
          <w:szCs w:val="18"/>
          <w:color w:val="auto"/>
        </w:rPr>
        <w:t>The net cash used in investing activities for the current year period consisted of $0.8 million in fixed asset additions, a large portion of which is associated with facility consolidation. The prior year use of cash consisted primarily of $5.0 million of fixed asset additions, a large portion of which is associated with facility investments.</w:t>
      </w:r>
    </w:p>
    <w:p>
      <w:pPr>
        <w:spacing w:after="0" w:line="181"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The net cash provided by financing activities is the result of a $1.3 of proceeds from stock option and ESPP activity offset by $2.1 million in payments on earn-out liabilities and $1.3 million in repayments on long-term debt.</w:t>
      </w:r>
    </w:p>
    <w:p>
      <w:pPr>
        <w:spacing w:after="0" w:line="170" w:lineRule="exact"/>
        <w:rPr>
          <w:sz w:val="20"/>
          <w:szCs w:val="20"/>
          <w:color w:val="auto"/>
        </w:rPr>
      </w:pPr>
    </w:p>
    <w:p>
      <w:pPr>
        <w:ind w:right="400" w:firstLine="432"/>
        <w:spacing w:after="0" w:line="277" w:lineRule="auto"/>
        <w:rPr>
          <w:sz w:val="20"/>
          <w:szCs w:val="20"/>
          <w:color w:val="auto"/>
        </w:rPr>
      </w:pPr>
      <w:r>
        <w:rPr>
          <w:rFonts w:ascii="Arial" w:cs="Arial" w:eastAsia="Arial" w:hAnsi="Arial"/>
          <w:sz w:val="18"/>
          <w:szCs w:val="18"/>
          <w:color w:val="auto"/>
        </w:rPr>
        <w:t>Our contractual obligations and their effect on liquidity and cash flows have not changed substantially from that disclosed in our Annual Report on Form 10-K for our fiscal year ended May 31, 2015.</w:t>
      </w:r>
    </w:p>
    <w:p>
      <w:pPr>
        <w:spacing w:after="0" w:line="170" w:lineRule="exact"/>
        <w:rPr>
          <w:sz w:val="20"/>
          <w:szCs w:val="20"/>
          <w:color w:val="auto"/>
        </w:rPr>
      </w:pPr>
    </w:p>
    <w:p>
      <w:pPr>
        <w:ind w:firstLine="432"/>
        <w:spacing w:after="0" w:line="286" w:lineRule="auto"/>
        <w:rPr>
          <w:sz w:val="20"/>
          <w:szCs w:val="20"/>
          <w:color w:val="auto"/>
        </w:rPr>
      </w:pPr>
      <w:r>
        <w:rPr>
          <w:rFonts w:ascii="Arial" w:cs="Arial" w:eastAsia="Arial" w:hAnsi="Arial"/>
          <w:sz w:val="17"/>
          <w:szCs w:val="17"/>
          <w:color w:val="auto"/>
        </w:rPr>
        <w:t>We believe that our current cash and investment balances, together with cash generated from operations and our remaining revolving credit facility capacity of $53.6 million as of August 31, 2015, will provide sufficient liquidity to meet our anticipated needs for capital for at least the next 12 months. If we seek to make significant acquisitions of other businesses or technologies in the future for cash, we may require external financing.</w:t>
      </w:r>
    </w:p>
    <w:p>
      <w:pPr>
        <w:spacing w:after="0" w:line="324"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56"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We are exposed to market risk from changes in currency exchange rates, as well as interest rate fluctuations on our credit facility and investments that could impact our results of operations and financial position.</w:t>
      </w:r>
    </w:p>
    <w:p>
      <w:pPr>
        <w:spacing w:after="0" w:line="170" w:lineRule="exact"/>
        <w:rPr>
          <w:sz w:val="20"/>
          <w:szCs w:val="20"/>
          <w:color w:val="auto"/>
        </w:rPr>
      </w:pPr>
    </w:p>
    <w:p>
      <w:pPr>
        <w:ind w:right="160" w:firstLine="432"/>
        <w:spacing w:after="0" w:line="255" w:lineRule="auto"/>
        <w:rPr>
          <w:sz w:val="20"/>
          <w:szCs w:val="20"/>
          <w:color w:val="auto"/>
        </w:rPr>
      </w:pPr>
      <w:r>
        <w:rPr>
          <w:rFonts w:ascii="Arial" w:cs="Arial" w:eastAsia="Arial" w:hAnsi="Arial"/>
          <w:sz w:val="18"/>
          <w:szCs w:val="18"/>
          <w:color w:val="auto"/>
        </w:rPr>
        <w:t>We transact sales in currencies other than the U.S. Dollar, particularly the Euro, British pound and Canadian dollar. Approximately 8% of our sales in fiscal 2015 were denominated in foreign currencies. We do not have expenses denominated in foreign currencies at the level of our sales and as a result, our profitability is exposed to currency fluctuations. When the U.S. Dollar strengthens, our sales and gross profit will be negatively impacted. In addition, we have assets and liabilities denominated in non-functional currencies which are remeasured at each reporting period, with the offset to changes presented as a component of Other Income (Expenses). Significant non-functional balances include a Euro denominated contingent liability and accounts receivable due from a sub-section of our international customers.</w:t>
      </w:r>
    </w:p>
    <w:p>
      <w:pPr>
        <w:spacing w:after="0" w:line="193" w:lineRule="exact"/>
        <w:rPr>
          <w:sz w:val="20"/>
          <w:szCs w:val="20"/>
          <w:color w:val="auto"/>
        </w:rPr>
      </w:pPr>
    </w:p>
    <w:p>
      <w:pPr>
        <w:ind w:right="400" w:firstLine="432"/>
        <w:spacing w:after="0" w:line="279" w:lineRule="auto"/>
        <w:rPr>
          <w:sz w:val="20"/>
          <w:szCs w:val="20"/>
          <w:color w:val="auto"/>
        </w:rPr>
      </w:pPr>
      <w:r>
        <w:rPr>
          <w:rFonts w:ascii="Arial" w:cs="Arial" w:eastAsia="Arial" w:hAnsi="Arial"/>
          <w:sz w:val="17"/>
          <w:szCs w:val="17"/>
          <w:color w:val="auto"/>
        </w:rPr>
        <w:t>In June 2012, we entered in an interest rate swap agreement, with an initial notional amount of $100 million, to limit the effect of variability due to interest rates on our debt. The swap agreement, which qualifies for hedge accounting, is a contract to exchange floating interest rate payments for fixed interest rate payments of 3.26% of the outstanding balance of loan over the life of the swap agreement without the exchange of the underlying notional amounts. We do not currently engage in any other hedging or market risk management tools.</w:t>
      </w:r>
    </w:p>
    <w:p>
      <w:pPr>
        <w:spacing w:after="0" w:line="171" w:lineRule="exact"/>
        <w:rPr>
          <w:sz w:val="20"/>
          <w:szCs w:val="20"/>
          <w:color w:val="auto"/>
        </w:rPr>
      </w:pPr>
    </w:p>
    <w:p>
      <w:pPr>
        <w:ind w:right="300" w:firstLine="432"/>
        <w:spacing w:after="0" w:line="276" w:lineRule="auto"/>
        <w:rPr>
          <w:sz w:val="20"/>
          <w:szCs w:val="20"/>
          <w:color w:val="auto"/>
        </w:rPr>
      </w:pPr>
      <w:r>
        <w:rPr>
          <w:rFonts w:ascii="Arial" w:cs="Arial" w:eastAsia="Arial" w:hAnsi="Arial"/>
          <w:sz w:val="17"/>
          <w:szCs w:val="17"/>
          <w:color w:val="auto"/>
        </w:rPr>
        <w:t>On September 19, 2013, we entered into a Credit Agreement (the "Credit Agreement")which provides for a $100 million senior secured term loan facility (“ Term Loan") and a $100 million senior secured revolving credit facility (the “Revolving Facility", and together with the Term Loan, the "Facilities"). Interest on both the Term Loan and Revolver will be based on a base rate or Eurodollar rate plus an applicable margin which increases as our total leverage ratio increases, with the base rate and Eurodollar rate having ranges of 0.50% to 1.25% and 1.50% to 2.25% respectively. In the event of default, the interest rate may be increased by 2.0%. Changes in the interest rate would not be material.</w:t>
      </w:r>
    </w:p>
    <w:p>
      <w:pPr>
        <w:spacing w:after="0" w:line="173" w:lineRule="exact"/>
        <w:rPr>
          <w:sz w:val="20"/>
          <w:szCs w:val="20"/>
          <w:color w:val="auto"/>
        </w:rPr>
      </w:pPr>
    </w:p>
    <w:p>
      <w:pPr>
        <w:ind w:right="40" w:firstLine="432"/>
        <w:spacing w:after="0" w:line="290" w:lineRule="auto"/>
        <w:rPr>
          <w:sz w:val="20"/>
          <w:szCs w:val="20"/>
          <w:color w:val="auto"/>
        </w:rPr>
      </w:pPr>
      <w:r>
        <w:rPr>
          <w:rFonts w:ascii="Arial" w:cs="Arial" w:eastAsia="Arial" w:hAnsi="Arial"/>
          <w:sz w:val="16"/>
          <w:szCs w:val="16"/>
          <w:color w:val="auto"/>
        </w:rPr>
        <w:t>Our excess cash is invested in highly liquid, short-term, investment grade securities with maturities primarily of less than two years. These investments are not held for speculative or trading purposes. Changes in interest rates may affect the investment income we earn on cash, cash equivalents and marketable securities and therefore affect our cash flows and results of operations. We hold investments in auction rate securities (“ARS”) in order to generate higher than typical money market investments. ARS typically are high credit quality, generally issued with municipal bond insurance. Credit risks are eased by the historical track record of bond insurers, which back a majority of this market. Sell orders for any security traded through an auction process could exceed bids. Such instances are usually the result of a drastic deterioration of issuer credit quality. Should there be a failed auction, we may be unable to liquidate our position in the securities in the near term. We have $1.7 million in investments in two auction rate securities issued by New York state and local government authorities that have failed auctions. The authorities are current in their interest payments on the securities.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As of the end of the period covered by this report, our management, under the supervision and with the participation of our Chief Executive Officer and our Chief Financial Officer, evaluated the effectiveness of the design and operation of our disclosure controls and procedures pursuant to Rule 13a-15(b) of the Securities Exchange Act of 1934, as amended. Based on that evaluation, the Chief Executive Officer and the Chief Financial Officer concluded that our disclosure controls and procedures as of the end of the period covered by this report were effective to provide reasonable assurance that the information required to be disclosed by us in reports filed under the Securities Exchange Act of 1934, as amended, is recorded, processed, summarized and reported within the time periods specified in the SEC rules and forms and is accumulated and communicated to management, including our Chief Executive Officer and Chief Financial Officer, as appropriate to allow timely decisions regarding required disclosure.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4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was no change in our internal control over financial reporting for the fiscal quarter ended August 31, 2015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40"/>
          </w:cols>
          <w:pgMar w:left="240" w:top="121" w:right="319" w:bottom="1440" w:gutter="0" w:footer="0" w:header="0"/>
        </w:sectPr>
      </w:pPr>
    </w:p>
    <w:bookmarkStart w:id="27" w:name="page28"/>
    <w:bookmarkEnd w:id="2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AngioDynamics, Inc.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71"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AngioDynamics v. biolitec</w:t>
      </w:r>
    </w:p>
    <w:p>
      <w:pPr>
        <w:spacing w:after="0" w:line="117" w:lineRule="exact"/>
        <w:rPr>
          <w:sz w:val="20"/>
          <w:szCs w:val="20"/>
          <w:color w:val="auto"/>
        </w:rPr>
      </w:pPr>
    </w:p>
    <w:p>
      <w:pPr>
        <w:ind w:right="20" w:firstLine="878"/>
        <w:spacing w:after="0" w:line="272" w:lineRule="auto"/>
        <w:rPr>
          <w:sz w:val="20"/>
          <w:szCs w:val="20"/>
          <w:color w:val="auto"/>
        </w:rPr>
      </w:pPr>
      <w:r>
        <w:rPr>
          <w:rFonts w:ascii="Arial" w:cs="Arial" w:eastAsia="Arial" w:hAnsi="Arial"/>
          <w:sz w:val="17"/>
          <w:szCs w:val="17"/>
          <w:color w:val="auto"/>
        </w:rPr>
        <w:t>On January 2, 2008, we commenced an action in the United States District Court for the Northern District of New York entitled AngioDynamics, Inc. v. biolitec, Inc. In this action, we sought judgment against biolitec for defense and indemnification in two lawsuits which we previously settled. Our claims arise out of a Supply and Distribution Agreement (“SDA”) entered into with biolitec on April 1, 2002. On September 27, 2011, the U.S. District Court granted key portions of our motion for summary judgment in our legal case against biolitec. The Court also dismissed biolitec’s counterclaims against us. The court denied one portion of our summary judgment motion, which sought to recover additional costs from biolitec, leaving this for adjudication at trial. On November 8, 2012, the Court granted partial judgment to us in the amount of $23.2 million. Biolitec appealed this judgment. On August 23, 2013, the U.S. Court of Appeals for the Second Circuit dismissed biolitec’s appeal.</w:t>
      </w:r>
    </w:p>
    <w:p>
      <w:pPr>
        <w:spacing w:after="0" w:line="70" w:lineRule="exact"/>
        <w:rPr>
          <w:sz w:val="20"/>
          <w:szCs w:val="20"/>
          <w:color w:val="auto"/>
        </w:rPr>
      </w:pPr>
    </w:p>
    <w:p>
      <w:pPr>
        <w:ind w:right="20" w:firstLine="878"/>
        <w:spacing w:after="0" w:line="253" w:lineRule="auto"/>
        <w:rPr>
          <w:sz w:val="20"/>
          <w:szCs w:val="20"/>
          <w:color w:val="auto"/>
        </w:rPr>
      </w:pPr>
      <w:r>
        <w:rPr>
          <w:rFonts w:ascii="Arial" w:cs="Arial" w:eastAsia="Arial" w:hAnsi="Arial"/>
          <w:sz w:val="18"/>
          <w:szCs w:val="18"/>
          <w:color w:val="auto"/>
        </w:rPr>
        <w:t>In October 2009, we commenced an action in the United States District Court for the District of Massachusetts entitled AngioDynamics, Inc. v. biolitec AG and Wolfgang Neuberger. The Complaint in this action was amended in March 2010. This action seeks to recover against biolitec, Inc.’s parent entities and CEO for tortiously interfering with biolitec, Inc.’s contractual obligation to defend and indemnify us, and also seeks to pierce the corporate veil of biolitec, Inc. and to invalidate certain alleged fraudulent transfers in order to hold biolitec, Inc.’s parent entities jointly and severally liable for the alleged breach of the SDA. On September 13, 2012, the Massachusetts Court granted our request for a preliminary injunction prohibiting the downstream merger of biolitec AG with its Austrian subsidiary. On April 1, 2013, the U.S. Court of Appeals for the First Circuit affirmed the preliminary injunction. On January 14, 2014, the District Court entered judgment in our favor as to liability. On March 18, 2014, the District Court entered judgment in our favor against Biolitec AG, Biomed Technology Holdings, Ltd., and Wolfgang Neuberger, jointly and severally, in the amount of $74.9 million. On March 11, 2015, the U.S. Court of Appeals for the First Circuit affirmed the judgment. The defendants have petitioned to the U.S. Supreme Court for a writ of certiorari. The petition is still pending.</w:t>
      </w:r>
    </w:p>
    <w:p>
      <w:pPr>
        <w:spacing w:after="0" w:line="195" w:lineRule="exact"/>
        <w:rPr>
          <w:sz w:val="20"/>
          <w:szCs w:val="20"/>
          <w:color w:val="auto"/>
        </w:rPr>
      </w:pPr>
    </w:p>
    <w:p>
      <w:pPr>
        <w:ind w:right="20" w:firstLine="864"/>
        <w:spacing w:after="0" w:line="259" w:lineRule="auto"/>
        <w:rPr>
          <w:sz w:val="20"/>
          <w:szCs w:val="20"/>
          <w:color w:val="auto"/>
        </w:rPr>
      </w:pPr>
      <w:r>
        <w:rPr>
          <w:rFonts w:ascii="Arial" w:cs="Arial" w:eastAsia="Arial" w:hAnsi="Arial"/>
          <w:sz w:val="18"/>
          <w:szCs w:val="18"/>
          <w:color w:val="auto"/>
        </w:rPr>
        <w:t>On November 13, 2014, the U.S. District Court for the District of Massachusetts issued summonses to four Biolitec entities - Biolitec U.S., Inc., Biolitec Holding U.S., Inc., Biolitec Medical Devices, Inc., and CeramOptec Industries, Inc. - pursuant to Massachusetts trustee process. We sought to use this process to attach the assets of these entities in order to satisfy our judgment. The trustee process was automatically stayed when the four Biolitec entities filed Chapter 7 petitions in the U.S. Bankruptcy Court for the District of Delaware.</w:t>
      </w:r>
    </w:p>
    <w:p>
      <w:pPr>
        <w:spacing w:after="0" w:line="79" w:lineRule="exact"/>
        <w:rPr>
          <w:sz w:val="20"/>
          <w:szCs w:val="20"/>
          <w:color w:val="auto"/>
        </w:rPr>
      </w:pPr>
    </w:p>
    <w:p>
      <w:pPr>
        <w:ind w:right="60" w:firstLine="878"/>
        <w:spacing w:after="0" w:line="276" w:lineRule="auto"/>
        <w:rPr>
          <w:sz w:val="20"/>
          <w:szCs w:val="20"/>
          <w:color w:val="auto"/>
        </w:rPr>
      </w:pPr>
      <w:r>
        <w:rPr>
          <w:rFonts w:ascii="Arial" w:cs="Arial" w:eastAsia="Arial" w:hAnsi="Arial"/>
          <w:sz w:val="17"/>
          <w:szCs w:val="17"/>
          <w:color w:val="auto"/>
        </w:rPr>
        <w:t>On August 29, 2013, we became co-plaintiffs in an adversary proceeding in the United States Bankruptcy Court for the District of New Jersey entitled Cyganowski, Trustee, et al. v. Biolitec U.S., Inc., et al. In this action, we assert claims of conversion, unjust enrichment, tortious interference, and unfair competition against various biolitec entities for alleged violation of Bankruptcy Court settlement and sale orders under which we acquired certain assets of Biolitec, Inc. On September 3, 2013, we, along with our co-plaintiff, obtained a temporary restraining order against the defendants in this action. On January 22, 2015, the Bankruptcy Court entered a permanent injunction on our behalf for an additional two years.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 Bard, Inc. v. AngioDynamics, Inc.</w:t>
      </w:r>
    </w:p>
    <w:p>
      <w:pPr>
        <w:spacing w:after="0" w:line="117" w:lineRule="exact"/>
        <w:rPr>
          <w:sz w:val="20"/>
          <w:szCs w:val="20"/>
          <w:color w:val="auto"/>
        </w:rPr>
      </w:pPr>
    </w:p>
    <w:p>
      <w:pPr>
        <w:ind w:firstLine="878"/>
        <w:spacing w:after="0" w:line="270" w:lineRule="auto"/>
        <w:rPr>
          <w:sz w:val="20"/>
          <w:szCs w:val="20"/>
          <w:color w:val="auto"/>
        </w:rPr>
      </w:pPr>
      <w:r>
        <w:rPr>
          <w:rFonts w:ascii="Arial" w:cs="Arial" w:eastAsia="Arial" w:hAnsi="Arial"/>
          <w:sz w:val="17"/>
          <w:szCs w:val="17"/>
          <w:color w:val="auto"/>
        </w:rPr>
        <w:t>On January 11, 2012, C.R. Bard, Inc. filed a suit in the United States District Court of Utah claiming certain of our implantable port products infringe on three U.S. patents held by Bard (the "Utah Action"). Bard is seeking unspecified damages and other relief. The Court denied Bard’s motion for pre-trial consolidation with separate actions it filed on the same day against Medical Components, Inc. and Smiths Medical ASD, Inc., but had asked for supplemental briefing on the issue of whether to conduct a common Markman hearing. Meanwhile, we filed petitions for reexamination in the US Patent and Trademark Office ("PTO") which seek to invalidate all three patents asserted in the litigation. Our petitions have been granted and 40 of 41 patent claims have been and remain rejected. The Patent Office has issued a Final Rejection of all the claims subject to reexamination and Bard has filed appeals. The parties have completed briefing on the appeals and oral argument was held on June 18, 2015. The parties are awaiting decision by the Board of Appeals and Interferences. The case has been stayed pending final resolution of the PTO process. The Company believes these claims are without merit and intends to defend them vigorously. The Company has not recorded an expense related to the outcome of this litigation because it is not yet possible to determine if a potential loss is probable nor reasonably estimable.</w:t>
      </w:r>
    </w:p>
    <w:p>
      <w:pPr>
        <w:spacing w:after="0" w:line="124" w:lineRule="exact"/>
        <w:rPr>
          <w:sz w:val="20"/>
          <w:szCs w:val="20"/>
          <w:color w:val="auto"/>
        </w:rPr>
      </w:pPr>
    </w:p>
    <w:p>
      <w:pPr>
        <w:ind w:right="220" w:firstLine="864"/>
        <w:spacing w:after="0" w:line="277" w:lineRule="auto"/>
        <w:rPr>
          <w:sz w:val="20"/>
          <w:szCs w:val="20"/>
          <w:color w:val="auto"/>
        </w:rPr>
      </w:pPr>
      <w:r>
        <w:rPr>
          <w:rFonts w:ascii="Arial" w:cs="Arial" w:eastAsia="Arial" w:hAnsi="Arial"/>
          <w:sz w:val="18"/>
          <w:szCs w:val="18"/>
          <w:color w:val="auto"/>
        </w:rPr>
        <w:t>On March 10, 2015, C.R. Bard, Inc. and Bard Peripheral Vascular, Inc. filed suit in the United States District Court for the District of Delaware claiming certain of the Company’s implantable port products infringe three Bard patents (the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121" w:right="259" w:bottom="1440" w:gutter="0" w:footer="0" w:header="0"/>
        </w:sectPr>
      </w:pPr>
    </w:p>
    <w:bookmarkStart w:id="28" w:name="page29"/>
    <w:bookmarkEnd w:id="2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“Delaware Action). Bard is seeking unspecified damages and other relief; and the patents asserted in the Delaware Action are different than those asserted in the Utah Action. On June 1,2015, the Company filed two motions in response to Bard’s Complaint - - one seeks transfer to the District of Utah where the Utah Action is currently pending, and the other seeks dismissal of the entire complaint on grounds that none of the claims in the asserted patents is directed to patent eligible subject matter under Section 101 of the Patent Statute and in light of recent authority from the U. S. Supreme Court. Briefing is complete on both motions (except Bard has requested permission to file a Sur-Reply on the dismissal motion) and the parties are awaiting decision by the Delaware Court. The Company believes these claims are without merit and intends to defend them vigorously. The Company has not recorded an expense related to the outcome of this litigation because it is not yet possible to determine if a potential loss is probable nor reasonably estimable.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LC Beads</w:t>
      </w:r>
    </w:p>
    <w:p>
      <w:pPr>
        <w:spacing w:after="0" w:line="22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In June 2014 we received a subpoena from the U.S. Department of Justice (the “DOJ”) requesting documents in relation to a criminal and civil investigation the DOJ is conducting regarding BTG International, Inc.’s LC Bead® product beginning in 2003. RITA Medical Systems and AngioDynamics, Inc., after its acquisition of RITA, was the exclusive distributor of LC Beads in the United States from 2006 through December 31, 2011. We are cooperating fully with this investigation and at this time are unable to predict its scope, duration or outcome.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EVLT</w:t>
      </w:r>
    </w:p>
    <w:p>
      <w:pPr>
        <w:spacing w:after="0" w:line="225" w:lineRule="exact"/>
        <w:rPr>
          <w:sz w:val="20"/>
          <w:szCs w:val="20"/>
          <w:color w:val="auto"/>
        </w:rPr>
      </w:pPr>
    </w:p>
    <w:p>
      <w:pPr>
        <w:ind w:right="340" w:firstLine="648"/>
        <w:spacing w:after="0" w:line="264" w:lineRule="auto"/>
        <w:rPr>
          <w:sz w:val="20"/>
          <w:szCs w:val="20"/>
          <w:color w:val="auto"/>
        </w:rPr>
      </w:pPr>
      <w:r>
        <w:rPr>
          <w:rFonts w:ascii="Arial" w:cs="Arial" w:eastAsia="Arial" w:hAnsi="Arial"/>
          <w:sz w:val="18"/>
          <w:szCs w:val="18"/>
          <w:color w:val="auto"/>
        </w:rPr>
        <w:t>In April 2015 we received a subpoena from the DOJ requesting documents in relation to a criminal and civil investigation the DOJ is conducting regarding purported promotion of certain of AngioDynamics’ VenaCure EVLT products for un-cleared indications. We are cooperating fully with this investigation and at this time are unable to predict its scope, duration or outcome.</w:t>
      </w:r>
    </w:p>
    <w:p>
      <w:pPr>
        <w:spacing w:after="0" w:line="200" w:lineRule="exact"/>
        <w:rPr>
          <w:sz w:val="20"/>
          <w:szCs w:val="20"/>
          <w:color w:val="auto"/>
        </w:rPr>
      </w:pPr>
    </w:p>
    <w:p>
      <w:pPr>
        <w:spacing w:after="0" w:line="247"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48" w:lineRule="exact"/>
        <w:rPr>
          <w:sz w:val="20"/>
          <w:szCs w:val="20"/>
          <w:color w:val="auto"/>
        </w:rPr>
      </w:pPr>
    </w:p>
    <w:p>
      <w:pPr>
        <w:ind w:right="180" w:firstLine="432"/>
        <w:spacing w:after="0" w:line="257" w:lineRule="auto"/>
        <w:rPr>
          <w:sz w:val="20"/>
          <w:szCs w:val="20"/>
          <w:color w:val="auto"/>
        </w:rPr>
      </w:pPr>
      <w:r>
        <w:rPr>
          <w:rFonts w:ascii="Arial" w:cs="Arial" w:eastAsia="Arial" w:hAnsi="Arial"/>
          <w:sz w:val="18"/>
          <w:szCs w:val="18"/>
          <w:color w:val="auto"/>
        </w:rPr>
        <w:t>In addition to information set forth in this report, you should carefully consider the factors discussed in “Part I, Item 1A. Risk Factors” of our annual report on Form 10-K for our fiscal year ended May 31, 2015 which set forth information relating to important risks and uncertainties that could materially adversely affect our business, financial condition or operating results. You should review and consider such Risk Factors in making any investment decision with respect to our securities. An investment in our securities continues to involve a high degree of risk. There have been no material changes to the risk factors previously disclosed in our annual report on Form 10-K.</w:t>
      </w:r>
    </w:p>
    <w:p>
      <w:pPr>
        <w:spacing w:after="0" w:line="346"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provides information with respect to the shares of the company’s common stock repurchased during the three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August 31, 2015:</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78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color w:val="auto"/>
                <w:w w:val="96"/>
              </w:rPr>
              <w:t>Issuer Purchases of Equity Securities</w:t>
            </w:r>
          </w:p>
        </w:tc>
        <w:tc>
          <w:tcPr>
            <w:tcW w:w="1360" w:type="dxa"/>
            <w:vAlign w:val="bottom"/>
            <w:tcBorders>
              <w:bottom w:val="single" w:sz="8" w:color="auto"/>
            </w:tcBorders>
          </w:tcPr>
          <w:p>
            <w:pPr>
              <w:spacing w:after="0"/>
              <w:rPr>
                <w:sz w:val="16"/>
                <w:szCs w:val="16"/>
                <w:color w:val="auto"/>
              </w:rPr>
            </w:pPr>
          </w:p>
        </w:tc>
      </w:tr>
      <w:tr>
        <w:trPr>
          <w:trHeight w:val="228"/>
        </w:trPr>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7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7"/>
              </w:rPr>
              <w:t>Maximum</w:t>
            </w:r>
          </w:p>
        </w:tc>
      </w:tr>
      <w:tr>
        <w:trPr>
          <w:trHeight w:val="216"/>
        </w:trPr>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7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Total</w:t>
            </w:r>
          </w:p>
        </w:tc>
        <w:tc>
          <w:tcPr>
            <w:tcW w:w="1360" w:type="dxa"/>
            <w:vAlign w:val="bottom"/>
          </w:tcPr>
          <w:p>
            <w:pPr>
              <w:jc w:val="center"/>
              <w:spacing w:after="0"/>
              <w:rPr>
                <w:sz w:val="20"/>
                <w:szCs w:val="20"/>
                <w:color w:val="auto"/>
              </w:rPr>
            </w:pPr>
            <w:r>
              <w:rPr>
                <w:rFonts w:ascii="Arial" w:cs="Arial" w:eastAsia="Arial" w:hAnsi="Arial"/>
                <w:sz w:val="18"/>
                <w:szCs w:val="18"/>
                <w:color w:val="auto"/>
                <w:w w:val="92"/>
              </w:rPr>
              <w:t>Approximate</w:t>
            </w:r>
          </w:p>
        </w:tc>
      </w:tr>
      <w:tr>
        <w:trPr>
          <w:trHeight w:val="216"/>
        </w:trPr>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7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Number of</w:t>
            </w:r>
          </w:p>
        </w:tc>
        <w:tc>
          <w:tcPr>
            <w:tcW w:w="1360" w:type="dxa"/>
            <w:vAlign w:val="bottom"/>
          </w:tcPr>
          <w:p>
            <w:pPr>
              <w:jc w:val="center"/>
              <w:spacing w:after="0"/>
              <w:rPr>
                <w:sz w:val="20"/>
                <w:szCs w:val="20"/>
                <w:color w:val="auto"/>
              </w:rPr>
            </w:pPr>
            <w:r>
              <w:rPr>
                <w:rFonts w:ascii="Arial" w:cs="Arial" w:eastAsia="Arial" w:hAnsi="Arial"/>
                <w:sz w:val="18"/>
                <w:szCs w:val="18"/>
                <w:color w:val="auto"/>
                <w:w w:val="93"/>
              </w:rPr>
              <w:t>Dollar Value</w:t>
            </w:r>
          </w:p>
        </w:tc>
      </w:tr>
      <w:tr>
        <w:trPr>
          <w:trHeight w:val="216"/>
        </w:trPr>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7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80"/>
              <w:spacing w:after="0"/>
              <w:rPr>
                <w:sz w:val="20"/>
                <w:szCs w:val="20"/>
                <w:color w:val="auto"/>
              </w:rPr>
            </w:pPr>
            <w:r>
              <w:rPr>
                <w:rFonts w:ascii="Arial" w:cs="Arial" w:eastAsia="Arial" w:hAnsi="Arial"/>
                <w:sz w:val="18"/>
                <w:szCs w:val="18"/>
                <w:color w:val="auto"/>
                <w:w w:val="84"/>
              </w:rPr>
              <w:t>Shares</w:t>
            </w:r>
          </w:p>
        </w:tc>
        <w:tc>
          <w:tcPr>
            <w:tcW w:w="1360" w:type="dxa"/>
            <w:vAlign w:val="bottom"/>
          </w:tcPr>
          <w:p>
            <w:pPr>
              <w:jc w:val="center"/>
              <w:spacing w:after="0"/>
              <w:rPr>
                <w:sz w:val="20"/>
                <w:szCs w:val="20"/>
                <w:color w:val="auto"/>
              </w:rPr>
            </w:pPr>
            <w:r>
              <w:rPr>
                <w:rFonts w:ascii="Arial" w:cs="Arial" w:eastAsia="Arial" w:hAnsi="Arial"/>
                <w:sz w:val="18"/>
                <w:szCs w:val="18"/>
                <w:color w:val="auto"/>
                <w:w w:val="88"/>
              </w:rPr>
              <w:t>of Shares</w:t>
            </w:r>
          </w:p>
        </w:tc>
      </w:tr>
      <w:tr>
        <w:trPr>
          <w:trHeight w:val="216"/>
        </w:trPr>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780" w:type="dxa"/>
            <w:vAlign w:val="bottom"/>
          </w:tcPr>
          <w:p>
            <w:pPr>
              <w:spacing w:after="0"/>
              <w:rPr>
                <w:sz w:val="18"/>
                <w:szCs w:val="18"/>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Total</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Purchased</w:t>
            </w:r>
          </w:p>
        </w:tc>
        <w:tc>
          <w:tcPr>
            <w:tcW w:w="1360" w:type="dxa"/>
            <w:vAlign w:val="bottom"/>
          </w:tcPr>
          <w:p>
            <w:pPr>
              <w:jc w:val="center"/>
              <w:spacing w:after="0"/>
              <w:rPr>
                <w:sz w:val="20"/>
                <w:szCs w:val="20"/>
                <w:color w:val="auto"/>
              </w:rPr>
            </w:pPr>
            <w:r>
              <w:rPr>
                <w:rFonts w:ascii="Arial" w:cs="Arial" w:eastAsia="Arial" w:hAnsi="Arial"/>
                <w:sz w:val="18"/>
                <w:szCs w:val="18"/>
                <w:color w:val="auto"/>
                <w:w w:val="92"/>
              </w:rPr>
              <w:t>that May Yet</w:t>
            </w:r>
          </w:p>
        </w:tc>
      </w:tr>
      <w:tr>
        <w:trPr>
          <w:trHeight w:val="216"/>
        </w:trPr>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780" w:type="dxa"/>
            <w:vAlign w:val="bottom"/>
          </w:tcPr>
          <w:p>
            <w:pPr>
              <w:spacing w:after="0"/>
              <w:rPr>
                <w:sz w:val="18"/>
                <w:szCs w:val="18"/>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Number of</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80"/>
              <w:spacing w:after="0"/>
              <w:rPr>
                <w:sz w:val="20"/>
                <w:szCs w:val="20"/>
                <w:color w:val="auto"/>
              </w:rPr>
            </w:pPr>
            <w:r>
              <w:rPr>
                <w:rFonts w:ascii="Arial" w:cs="Arial" w:eastAsia="Arial" w:hAnsi="Arial"/>
                <w:sz w:val="18"/>
                <w:szCs w:val="18"/>
                <w:color w:val="auto"/>
                <w:w w:val="88"/>
              </w:rPr>
              <w:t>as Part of</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Be</w:t>
            </w:r>
          </w:p>
        </w:tc>
      </w:tr>
      <w:tr>
        <w:trPr>
          <w:trHeight w:val="216"/>
        </w:trPr>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780" w:type="dxa"/>
            <w:vAlign w:val="bottom"/>
          </w:tcPr>
          <w:p>
            <w:pPr>
              <w:spacing w:after="0"/>
              <w:rPr>
                <w:sz w:val="18"/>
                <w:szCs w:val="18"/>
                <w:color w:val="auto"/>
              </w:rPr>
            </w:pPr>
          </w:p>
        </w:tc>
        <w:tc>
          <w:tcPr>
            <w:tcW w:w="1300" w:type="dxa"/>
            <w:vAlign w:val="bottom"/>
            <w:gridSpan w:val="2"/>
          </w:tcPr>
          <w:p>
            <w:pPr>
              <w:jc w:val="center"/>
              <w:ind w:right="140"/>
              <w:spacing w:after="0"/>
              <w:rPr>
                <w:sz w:val="20"/>
                <w:szCs w:val="20"/>
                <w:color w:val="auto"/>
              </w:rPr>
            </w:pPr>
            <w:r>
              <w:rPr>
                <w:rFonts w:ascii="Arial" w:cs="Arial" w:eastAsia="Arial" w:hAnsi="Arial"/>
                <w:sz w:val="18"/>
                <w:szCs w:val="18"/>
                <w:color w:val="auto"/>
                <w:w w:val="84"/>
              </w:rPr>
              <w:t>Shares</w:t>
            </w:r>
          </w:p>
        </w:tc>
        <w:tc>
          <w:tcPr>
            <w:tcW w:w="160" w:type="dxa"/>
            <w:vAlign w:val="bottom"/>
          </w:tcPr>
          <w:p>
            <w:pPr>
              <w:spacing w:after="0"/>
              <w:rPr>
                <w:sz w:val="18"/>
                <w:szCs w:val="18"/>
                <w:color w:val="auto"/>
              </w:rPr>
            </w:pPr>
          </w:p>
        </w:tc>
        <w:tc>
          <w:tcPr>
            <w:tcW w:w="1080" w:type="dxa"/>
            <w:vAlign w:val="bottom"/>
            <w:gridSpan w:val="2"/>
          </w:tcPr>
          <w:p>
            <w:pPr>
              <w:ind w:left="100"/>
              <w:spacing w:after="0"/>
              <w:rPr>
                <w:sz w:val="20"/>
                <w:szCs w:val="20"/>
                <w:color w:val="auto"/>
              </w:rPr>
            </w:pPr>
            <w:r>
              <w:rPr>
                <w:rFonts w:ascii="Arial" w:cs="Arial" w:eastAsia="Arial" w:hAnsi="Arial"/>
                <w:sz w:val="18"/>
                <w:szCs w:val="18"/>
                <w:color w:val="auto"/>
              </w:rPr>
              <w:t>Average</w:t>
            </w:r>
          </w:p>
        </w:tc>
        <w:tc>
          <w:tcPr>
            <w:tcW w:w="1240" w:type="dxa"/>
            <w:vAlign w:val="bottom"/>
            <w:gridSpan w:val="2"/>
          </w:tcPr>
          <w:p>
            <w:pPr>
              <w:jc w:val="center"/>
              <w:ind w:right="80"/>
              <w:spacing w:after="0"/>
              <w:rPr>
                <w:sz w:val="20"/>
                <w:szCs w:val="20"/>
                <w:color w:val="auto"/>
              </w:rPr>
            </w:pPr>
            <w:r>
              <w:rPr>
                <w:rFonts w:ascii="Arial" w:cs="Arial" w:eastAsia="Arial" w:hAnsi="Arial"/>
                <w:sz w:val="18"/>
                <w:szCs w:val="18"/>
                <w:color w:val="auto"/>
                <w:w w:val="96"/>
              </w:rPr>
              <w:t>Publicly</w:t>
            </w:r>
          </w:p>
        </w:tc>
        <w:tc>
          <w:tcPr>
            <w:tcW w:w="1360" w:type="dxa"/>
            <w:vAlign w:val="bottom"/>
          </w:tcPr>
          <w:p>
            <w:pPr>
              <w:jc w:val="center"/>
              <w:spacing w:after="0"/>
              <w:rPr>
                <w:sz w:val="20"/>
                <w:szCs w:val="20"/>
                <w:color w:val="auto"/>
              </w:rPr>
            </w:pPr>
            <w:r>
              <w:rPr>
                <w:rFonts w:ascii="Arial" w:cs="Arial" w:eastAsia="Arial" w:hAnsi="Arial"/>
                <w:sz w:val="18"/>
                <w:szCs w:val="18"/>
                <w:color w:val="auto"/>
                <w:w w:val="85"/>
              </w:rPr>
              <w:t>Purchased</w:t>
            </w:r>
          </w:p>
        </w:tc>
      </w:tr>
      <w:tr>
        <w:trPr>
          <w:trHeight w:val="216"/>
        </w:trPr>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780" w:type="dxa"/>
            <w:vAlign w:val="bottom"/>
          </w:tcPr>
          <w:p>
            <w:pPr>
              <w:spacing w:after="0"/>
              <w:rPr>
                <w:sz w:val="18"/>
                <w:szCs w:val="18"/>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8"/>
                <w:szCs w:val="18"/>
                <w:color w:val="auto"/>
                <w:w w:val="85"/>
              </w:rPr>
              <w:t>Purchased</w:t>
            </w:r>
          </w:p>
        </w:tc>
        <w:tc>
          <w:tcPr>
            <w:tcW w:w="160" w:type="dxa"/>
            <w:vAlign w:val="bottom"/>
          </w:tcPr>
          <w:p>
            <w:pPr>
              <w:spacing w:after="0"/>
              <w:rPr>
                <w:sz w:val="18"/>
                <w:szCs w:val="18"/>
                <w:color w:val="auto"/>
              </w:rPr>
            </w:pPr>
          </w:p>
        </w:tc>
        <w:tc>
          <w:tcPr>
            <w:tcW w:w="1080" w:type="dxa"/>
            <w:vAlign w:val="bottom"/>
            <w:gridSpan w:val="2"/>
          </w:tcPr>
          <w:p>
            <w:pPr>
              <w:ind w:left="40"/>
              <w:spacing w:after="0"/>
              <w:rPr>
                <w:sz w:val="20"/>
                <w:szCs w:val="20"/>
                <w:color w:val="auto"/>
              </w:rPr>
            </w:pPr>
            <w:r>
              <w:rPr>
                <w:rFonts w:ascii="Arial" w:cs="Arial" w:eastAsia="Arial" w:hAnsi="Arial"/>
                <w:sz w:val="18"/>
                <w:szCs w:val="18"/>
                <w:color w:val="auto"/>
              </w:rPr>
              <w:t>Price Paid</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Announced</w:t>
            </w:r>
          </w:p>
        </w:tc>
        <w:tc>
          <w:tcPr>
            <w:tcW w:w="1360" w:type="dxa"/>
            <w:vAlign w:val="bottom"/>
          </w:tcPr>
          <w:p>
            <w:pPr>
              <w:jc w:val="center"/>
              <w:spacing w:after="0"/>
              <w:rPr>
                <w:sz w:val="20"/>
                <w:szCs w:val="20"/>
                <w:color w:val="auto"/>
              </w:rPr>
            </w:pPr>
            <w:r>
              <w:rPr>
                <w:rFonts w:ascii="Arial" w:cs="Arial" w:eastAsia="Arial" w:hAnsi="Arial"/>
                <w:sz w:val="18"/>
                <w:szCs w:val="18"/>
                <w:color w:val="auto"/>
                <w:w w:val="88"/>
              </w:rPr>
              <w:t>Under Plans</w:t>
            </w:r>
          </w:p>
        </w:tc>
      </w:tr>
      <w:tr>
        <w:trPr>
          <w:trHeight w:val="190"/>
        </w:trPr>
        <w:tc>
          <w:tcPr>
            <w:tcW w:w="6280" w:type="dxa"/>
            <w:vAlign w:val="bottom"/>
            <w:gridSpan w:val="3"/>
          </w:tcPr>
          <w:p>
            <w:pPr>
              <w:ind w:left="40"/>
              <w:spacing w:after="0" w:line="190" w:lineRule="exact"/>
              <w:rPr>
                <w:sz w:val="20"/>
                <w:szCs w:val="20"/>
                <w:color w:val="auto"/>
              </w:rPr>
            </w:pPr>
            <w:r>
              <w:rPr>
                <w:rFonts w:ascii="Arial" w:cs="Arial" w:eastAsia="Arial" w:hAnsi="Arial"/>
                <w:sz w:val="18"/>
                <w:szCs w:val="18"/>
                <w:color w:val="auto"/>
              </w:rPr>
              <w:t>Period</w:t>
            </w:r>
          </w:p>
        </w:tc>
        <w:tc>
          <w:tcPr>
            <w:tcW w:w="1160" w:type="dxa"/>
            <w:vAlign w:val="bottom"/>
          </w:tcPr>
          <w:p>
            <w:pPr>
              <w:jc w:val="center"/>
              <w:spacing w:after="0" w:line="190" w:lineRule="exact"/>
              <w:rPr>
                <w:sz w:val="20"/>
                <w:szCs w:val="20"/>
                <w:color w:val="auto"/>
              </w:rPr>
            </w:pPr>
            <w:r>
              <w:rPr>
                <w:rFonts w:ascii="Arial" w:cs="Arial" w:eastAsia="Arial" w:hAnsi="Arial"/>
                <w:sz w:val="18"/>
                <w:szCs w:val="18"/>
                <w:color w:val="auto"/>
                <w:w w:val="99"/>
              </w:rPr>
              <w:t>(1)</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ind w:left="60"/>
              <w:spacing w:after="0" w:line="190" w:lineRule="exact"/>
              <w:rPr>
                <w:sz w:val="20"/>
                <w:szCs w:val="20"/>
                <w:color w:val="auto"/>
              </w:rPr>
            </w:pPr>
            <w:r>
              <w:rPr>
                <w:rFonts w:ascii="Arial" w:cs="Arial" w:eastAsia="Arial" w:hAnsi="Arial"/>
                <w:sz w:val="18"/>
                <w:szCs w:val="18"/>
                <w:color w:val="auto"/>
              </w:rPr>
              <w:t>per Share</w:t>
            </w:r>
          </w:p>
        </w:tc>
        <w:tc>
          <w:tcPr>
            <w:tcW w:w="1240" w:type="dxa"/>
            <w:vAlign w:val="bottom"/>
            <w:gridSpan w:val="2"/>
          </w:tcPr>
          <w:p>
            <w:pPr>
              <w:jc w:val="center"/>
              <w:ind w:right="100"/>
              <w:spacing w:after="0" w:line="190" w:lineRule="exact"/>
              <w:rPr>
                <w:sz w:val="20"/>
                <w:szCs w:val="20"/>
                <w:color w:val="auto"/>
              </w:rPr>
            </w:pPr>
            <w:r>
              <w:rPr>
                <w:rFonts w:ascii="Arial" w:cs="Arial" w:eastAsia="Arial" w:hAnsi="Arial"/>
                <w:sz w:val="18"/>
                <w:szCs w:val="18"/>
                <w:color w:val="auto"/>
                <w:w w:val="89"/>
              </w:rPr>
              <w:t>Programs</w:t>
            </w:r>
          </w:p>
        </w:tc>
        <w:tc>
          <w:tcPr>
            <w:tcW w:w="1360" w:type="dxa"/>
            <w:vAlign w:val="bottom"/>
          </w:tcPr>
          <w:p>
            <w:pPr>
              <w:jc w:val="center"/>
              <w:spacing w:after="0" w:line="190" w:lineRule="exact"/>
              <w:rPr>
                <w:sz w:val="20"/>
                <w:szCs w:val="20"/>
                <w:color w:val="auto"/>
              </w:rPr>
            </w:pPr>
            <w:r>
              <w:rPr>
                <w:rFonts w:ascii="Arial" w:cs="Arial" w:eastAsia="Arial" w:hAnsi="Arial"/>
                <w:sz w:val="18"/>
                <w:szCs w:val="18"/>
                <w:color w:val="auto"/>
                <w:w w:val="88"/>
              </w:rPr>
              <w:t>or Programs</w:t>
            </w:r>
          </w:p>
        </w:tc>
      </w:tr>
      <w:tr>
        <w:trPr>
          <w:trHeight w:val="48"/>
        </w:trPr>
        <w:tc>
          <w:tcPr>
            <w:tcW w:w="40" w:type="dxa"/>
            <w:vAlign w:val="bottom"/>
            <w:tcBorders>
              <w:bottom w:val="single" w:sz="8" w:color="CCEEFF"/>
            </w:tcBorders>
          </w:tcPr>
          <w:p>
            <w:pPr>
              <w:spacing w:after="0"/>
              <w:rPr>
                <w:sz w:val="4"/>
                <w:szCs w:val="4"/>
                <w:color w:val="auto"/>
              </w:rPr>
            </w:pPr>
          </w:p>
        </w:tc>
        <w:tc>
          <w:tcPr>
            <w:tcW w:w="460" w:type="dxa"/>
            <w:vAlign w:val="bottom"/>
            <w:tcBorders>
              <w:top w:val="single" w:sz="8" w:color="auto"/>
              <w:bottom w:val="single" w:sz="8" w:color="CCEEFF"/>
            </w:tcBorders>
          </w:tcPr>
          <w:p>
            <w:pPr>
              <w:spacing w:after="0"/>
              <w:rPr>
                <w:sz w:val="4"/>
                <w:szCs w:val="4"/>
                <w:color w:val="auto"/>
              </w:rPr>
            </w:pPr>
          </w:p>
        </w:tc>
        <w:tc>
          <w:tcPr>
            <w:tcW w:w="5780" w:type="dxa"/>
            <w:vAlign w:val="bottom"/>
            <w:tcBorders>
              <w:bottom w:val="single" w:sz="8" w:color="CCEEFF"/>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r>
      <w:tr>
        <w:trPr>
          <w:trHeight w:val="244"/>
        </w:trPr>
        <w:tc>
          <w:tcPr>
            <w:tcW w:w="62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June 1 - June 30, 2015</w:t>
            </w: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ind w:left="1080"/>
              <w:spacing w:after="0"/>
              <w:rPr>
                <w:sz w:val="20"/>
                <w:szCs w:val="20"/>
                <w:color w:val="auto"/>
              </w:rPr>
            </w:pPr>
            <w:r>
              <w:rPr>
                <w:rFonts w:ascii="Arial" w:cs="Arial" w:eastAsia="Arial" w:hAnsi="Arial"/>
                <w:sz w:val="18"/>
                <w:szCs w:val="18"/>
                <w:color w:val="auto"/>
              </w:rPr>
              <w:t>—</w:t>
            </w:r>
          </w:p>
        </w:tc>
      </w:tr>
      <w:tr>
        <w:trPr>
          <w:trHeight w:val="243"/>
        </w:trPr>
        <w:tc>
          <w:tcPr>
            <w:tcW w:w="6280" w:type="dxa"/>
            <w:vAlign w:val="bottom"/>
            <w:gridSpan w:val="3"/>
          </w:tcPr>
          <w:p>
            <w:pPr>
              <w:ind w:left="40"/>
              <w:spacing w:after="0"/>
              <w:rPr>
                <w:sz w:val="20"/>
                <w:szCs w:val="20"/>
                <w:color w:val="auto"/>
              </w:rPr>
            </w:pPr>
            <w:r>
              <w:rPr>
                <w:rFonts w:ascii="Arial" w:cs="Arial" w:eastAsia="Arial" w:hAnsi="Arial"/>
                <w:sz w:val="18"/>
                <w:szCs w:val="18"/>
                <w:color w:val="auto"/>
              </w:rPr>
              <w:t>July 1 - July 31, 2015</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5,761</w:t>
            </w:r>
          </w:p>
        </w:tc>
        <w:tc>
          <w:tcPr>
            <w:tcW w:w="14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15.94</w:t>
            </w:r>
          </w:p>
        </w:tc>
        <w:tc>
          <w:tcPr>
            <w:tcW w:w="100" w:type="dxa"/>
            <w:vAlign w:val="bottom"/>
          </w:tcPr>
          <w:p>
            <w:pPr>
              <w:spacing w:after="0"/>
              <w:rPr>
                <w:sz w:val="21"/>
                <w:szCs w:val="21"/>
                <w:color w:val="auto"/>
              </w:rPr>
            </w:pPr>
          </w:p>
        </w:tc>
        <w:tc>
          <w:tcPr>
            <w:tcW w:w="124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360" w:type="dxa"/>
            <w:vAlign w:val="bottom"/>
          </w:tcPr>
          <w:p>
            <w:pPr>
              <w:ind w:left="108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57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62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August 1 - August 31, 2015</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11,033</w:t>
            </w:r>
          </w:p>
        </w:tc>
        <w:tc>
          <w:tcPr>
            <w:tcW w:w="1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14.99</w:t>
            </w:r>
          </w:p>
        </w:tc>
        <w:tc>
          <w:tcPr>
            <w:tcW w:w="1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ind w:left="1080"/>
              <w:spacing w:after="0"/>
              <w:rPr>
                <w:sz w:val="20"/>
                <w:szCs w:val="20"/>
                <w:color w:val="auto"/>
              </w:rPr>
            </w:pPr>
            <w:r>
              <w:rPr>
                <w:rFonts w:ascii="Arial" w:cs="Arial" w:eastAsia="Arial" w:hAnsi="Arial"/>
                <w:sz w:val="18"/>
                <w:szCs w:val="18"/>
                <w:color w:val="auto"/>
              </w:rPr>
              <w:t>—</w:t>
            </w:r>
          </w:p>
        </w:tc>
      </w:tr>
      <w:tr>
        <w:trPr>
          <w:trHeight w:val="237"/>
        </w:trPr>
        <w:tc>
          <w:tcPr>
            <w:tcW w:w="40" w:type="dxa"/>
            <w:vAlign w:val="bottom"/>
          </w:tcPr>
          <w:p>
            <w:pPr>
              <w:spacing w:after="0"/>
              <w:rPr>
                <w:sz w:val="20"/>
                <w:szCs w:val="20"/>
                <w:color w:val="auto"/>
              </w:rPr>
            </w:pPr>
          </w:p>
        </w:tc>
        <w:tc>
          <w:tcPr>
            <w:tcW w:w="6240" w:type="dxa"/>
            <w:vAlign w:val="bottom"/>
            <w:gridSpan w:val="2"/>
          </w:tcPr>
          <w:p>
            <w:pPr>
              <w:ind w:left="340"/>
              <w:spacing w:after="0"/>
              <w:rPr>
                <w:sz w:val="20"/>
                <w:szCs w:val="20"/>
                <w:color w:val="auto"/>
              </w:rPr>
            </w:pPr>
            <w:r>
              <w:rPr>
                <w:rFonts w:ascii="Arial" w:cs="Arial" w:eastAsia="Arial" w:hAnsi="Arial"/>
                <w:sz w:val="18"/>
                <w:szCs w:val="18"/>
                <w:color w:val="auto"/>
              </w:rPr>
              <w:t>Total</w:t>
            </w: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16,794</w:t>
            </w:r>
          </w:p>
        </w:tc>
        <w:tc>
          <w:tcPr>
            <w:tcW w:w="14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15.31</w:t>
            </w:r>
          </w:p>
        </w:tc>
        <w:tc>
          <w:tcPr>
            <w:tcW w:w="100" w:type="dxa"/>
            <w:vAlign w:val="bottom"/>
          </w:tcPr>
          <w:p>
            <w:pPr>
              <w:spacing w:after="0"/>
              <w:rPr>
                <w:sz w:val="20"/>
                <w:szCs w:val="20"/>
                <w:color w:val="auto"/>
              </w:rPr>
            </w:pPr>
          </w:p>
        </w:tc>
        <w:tc>
          <w:tcPr>
            <w:tcW w:w="1140" w:type="dxa"/>
            <w:vAlign w:val="bottom"/>
            <w:tcBorders>
              <w:top w:val="single" w:sz="8" w:color="auto"/>
            </w:tcBorders>
          </w:tcPr>
          <w:p>
            <w:pPr>
              <w:ind w:left="8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360" w:type="dxa"/>
            <w:vAlign w:val="bottom"/>
            <w:tcBorders>
              <w:top w:val="single" w:sz="8" w:color="auto"/>
            </w:tcBorders>
          </w:tcPr>
          <w:p>
            <w:pPr>
              <w:ind w:left="108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578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
        </w:trPr>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left="540" w:right="160" w:hanging="316"/>
        <w:spacing w:after="0" w:line="277" w:lineRule="auto"/>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 repurchased 16,794 shares during the three months ended August 31, 2015 from employees to satisfy tax withholding requirements on the vesting of restricted shares from equity-based awards.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on Senior Securities.</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91"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91"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52"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sz w:val="20"/>
          <w:szCs w:val="20"/>
          <w:color w:val="auto"/>
        </w:rPr>
      </w:pPr>
    </w:p>
    <w:p>
      <w:pPr>
        <w:spacing w:after="0" w:line="228" w:lineRule="exact"/>
        <w:rPr>
          <w:sz w:val="20"/>
          <w:szCs w:val="20"/>
          <w:color w:val="auto"/>
        </w:rPr>
      </w:pPr>
    </w:p>
    <w:p>
      <w:pPr>
        <w:ind w:left="380"/>
        <w:spacing w:after="0"/>
        <w:tabs>
          <w:tab w:leader="none" w:pos="5820" w:val="left"/>
        </w:tabs>
        <w:rPr>
          <w:sz w:val="20"/>
          <w:szCs w:val="20"/>
          <w:color w:val="auto"/>
        </w:rPr>
      </w:pPr>
      <w:r>
        <w:rPr>
          <w:rFonts w:ascii="Arial" w:cs="Arial" w:eastAsia="Arial" w:hAnsi="Arial"/>
          <w:sz w:val="18"/>
          <w:szCs w:val="18"/>
          <w:b w:val="1"/>
          <w:bCs w:val="1"/>
          <w:u w:val="single" w:color="auto"/>
          <w:color w:val="auto"/>
        </w:rPr>
        <w:t>No.</w:t>
      </w:r>
      <w:r>
        <w:rPr>
          <w:sz w:val="20"/>
          <w:szCs w:val="20"/>
          <w:color w:val="auto"/>
        </w:rPr>
        <w:tab/>
      </w:r>
      <w:r>
        <w:rPr>
          <w:rFonts w:ascii="Arial" w:cs="Arial" w:eastAsia="Arial" w:hAnsi="Arial"/>
          <w:sz w:val="18"/>
          <w:szCs w:val="18"/>
          <w:b w:val="1"/>
          <w:bCs w:val="1"/>
          <w:u w:val="single" w:color="auto"/>
          <w:color w:val="auto"/>
        </w:rPr>
        <w:t>Description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tbl>
      <w:tblPr>
        <w:tblLayout w:type="fixed"/>
        <w:tblInd w:w="220" w:type="dxa"/>
        <w:tblCellMar>
          <w:top w:w="0" w:type="dxa"/>
          <w:left w:w="0" w:type="dxa"/>
          <w:bottom w:w="0" w:type="dxa"/>
          <w:right w:w="0" w:type="dxa"/>
        </w:tblCellMar>
      </w:tblPr>
      <w:tr>
        <w:trPr>
          <w:trHeight w:val="230"/>
        </w:trPr>
        <w:tc>
          <w:tcPr>
            <w:tcW w:w="820" w:type="dxa"/>
            <w:vAlign w:val="bottom"/>
          </w:tcPr>
          <w:p>
            <w:pPr>
              <w:jc w:val="right"/>
              <w:ind w:right="50"/>
              <w:spacing w:after="0"/>
              <w:rPr>
                <w:sz w:val="20"/>
                <w:szCs w:val="20"/>
                <w:color w:val="auto"/>
              </w:rPr>
            </w:pPr>
            <w:r>
              <w:rPr>
                <w:rFonts w:ascii="Arial" w:cs="Arial" w:eastAsia="Arial" w:hAnsi="Arial"/>
                <w:sz w:val="18"/>
                <w:szCs w:val="18"/>
                <w:color w:val="auto"/>
              </w:rPr>
              <w:t>31.1</w:t>
            </w:r>
          </w:p>
        </w:tc>
        <w:tc>
          <w:tcPr>
            <w:tcW w:w="10060" w:type="dxa"/>
            <w:vAlign w:val="bottom"/>
          </w:tcPr>
          <w:p>
            <w:pPr>
              <w:ind w:left="140"/>
              <w:spacing w:after="0"/>
              <w:rPr>
                <w:sz w:val="20"/>
                <w:szCs w:val="20"/>
                <w:color w:val="auto"/>
              </w:rPr>
            </w:pPr>
            <w:r>
              <w:rPr>
                <w:rFonts w:ascii="Arial" w:cs="Arial" w:eastAsia="Arial" w:hAnsi="Arial"/>
                <w:sz w:val="18"/>
                <w:szCs w:val="18"/>
                <w:color w:val="auto"/>
              </w:rPr>
              <w:t>Certification pursuant to Rule 13a-14(a) or 15d-14 under the Securities Exchange Act of 1934.</w:t>
            </w:r>
          </w:p>
        </w:tc>
      </w:tr>
      <w:tr>
        <w:trPr>
          <w:trHeight w:val="594"/>
        </w:trPr>
        <w:tc>
          <w:tcPr>
            <w:tcW w:w="820" w:type="dxa"/>
            <w:vAlign w:val="bottom"/>
          </w:tcPr>
          <w:p>
            <w:pPr>
              <w:jc w:val="right"/>
              <w:ind w:right="50"/>
              <w:spacing w:after="0"/>
              <w:rPr>
                <w:sz w:val="20"/>
                <w:szCs w:val="20"/>
                <w:color w:val="auto"/>
              </w:rPr>
            </w:pPr>
            <w:r>
              <w:rPr>
                <w:rFonts w:ascii="Arial" w:cs="Arial" w:eastAsia="Arial" w:hAnsi="Arial"/>
                <w:sz w:val="18"/>
                <w:szCs w:val="18"/>
                <w:color w:val="auto"/>
              </w:rPr>
              <w:t>31.2</w:t>
            </w:r>
          </w:p>
        </w:tc>
        <w:tc>
          <w:tcPr>
            <w:tcW w:w="10060" w:type="dxa"/>
            <w:vAlign w:val="bottom"/>
          </w:tcPr>
          <w:p>
            <w:pPr>
              <w:ind w:left="140"/>
              <w:spacing w:after="0"/>
              <w:rPr>
                <w:sz w:val="20"/>
                <w:szCs w:val="20"/>
                <w:color w:val="auto"/>
              </w:rPr>
            </w:pPr>
            <w:r>
              <w:rPr>
                <w:rFonts w:ascii="Arial" w:cs="Arial" w:eastAsia="Arial" w:hAnsi="Arial"/>
                <w:sz w:val="18"/>
                <w:szCs w:val="18"/>
                <w:color w:val="auto"/>
              </w:rPr>
              <w:t>Certification pursuant to Rule 13a-14(a) or 15d-14 under the Securities Exchange Act of 1934.</w:t>
            </w:r>
          </w:p>
        </w:tc>
      </w:tr>
      <w:tr>
        <w:trPr>
          <w:trHeight w:val="580"/>
        </w:trPr>
        <w:tc>
          <w:tcPr>
            <w:tcW w:w="820" w:type="dxa"/>
            <w:vAlign w:val="bottom"/>
          </w:tcPr>
          <w:p>
            <w:pPr>
              <w:jc w:val="right"/>
              <w:ind w:right="50"/>
              <w:spacing w:after="0"/>
              <w:rPr>
                <w:sz w:val="20"/>
                <w:szCs w:val="20"/>
                <w:color w:val="auto"/>
              </w:rPr>
            </w:pPr>
            <w:r>
              <w:rPr>
                <w:rFonts w:ascii="Arial" w:cs="Arial" w:eastAsia="Arial" w:hAnsi="Arial"/>
                <w:sz w:val="18"/>
                <w:szCs w:val="18"/>
                <w:color w:val="auto"/>
              </w:rPr>
              <w:t>32.1</w:t>
            </w:r>
          </w:p>
        </w:tc>
        <w:tc>
          <w:tcPr>
            <w:tcW w:w="10060" w:type="dxa"/>
            <w:vAlign w:val="bottom"/>
          </w:tcPr>
          <w:p>
            <w:pPr>
              <w:ind w:left="140"/>
              <w:spacing w:after="0"/>
              <w:rPr>
                <w:sz w:val="20"/>
                <w:szCs w:val="20"/>
                <w:color w:val="auto"/>
              </w:rPr>
            </w:pPr>
            <w:r>
              <w:rPr>
                <w:rFonts w:ascii="Arial" w:cs="Arial" w:eastAsia="Arial" w:hAnsi="Arial"/>
                <w:sz w:val="18"/>
                <w:szCs w:val="18"/>
                <w:color w:val="auto"/>
                <w:w w:val="91"/>
              </w:rPr>
              <w:t>Certification of Chief Executive Officer pursuant to Title 18, United States Code, Section 1350, as adopted pursuant to Section 906 of the</w:t>
            </w:r>
          </w:p>
        </w:tc>
      </w:tr>
      <w:tr>
        <w:trPr>
          <w:trHeight w:val="230"/>
        </w:trPr>
        <w:tc>
          <w:tcPr>
            <w:tcW w:w="820" w:type="dxa"/>
            <w:vAlign w:val="bottom"/>
          </w:tcPr>
          <w:p>
            <w:pPr>
              <w:spacing w:after="0"/>
              <w:rPr>
                <w:sz w:val="20"/>
                <w:szCs w:val="20"/>
                <w:color w:val="auto"/>
              </w:rPr>
            </w:pPr>
          </w:p>
        </w:tc>
        <w:tc>
          <w:tcPr>
            <w:tcW w:w="10060" w:type="dxa"/>
            <w:vAlign w:val="bottom"/>
          </w:tcPr>
          <w:p>
            <w:pPr>
              <w:ind w:left="140"/>
              <w:spacing w:after="0"/>
              <w:rPr>
                <w:sz w:val="20"/>
                <w:szCs w:val="20"/>
                <w:color w:val="auto"/>
              </w:rPr>
            </w:pPr>
            <w:r>
              <w:rPr>
                <w:rFonts w:ascii="Arial" w:cs="Arial" w:eastAsia="Arial" w:hAnsi="Arial"/>
                <w:sz w:val="18"/>
                <w:szCs w:val="18"/>
                <w:color w:val="auto"/>
              </w:rPr>
              <w:t>Sarbanes-Oxley Act of 2002</w:t>
            </w:r>
          </w:p>
        </w:tc>
      </w:tr>
      <w:tr>
        <w:trPr>
          <w:trHeight w:val="580"/>
        </w:trPr>
        <w:tc>
          <w:tcPr>
            <w:tcW w:w="820" w:type="dxa"/>
            <w:vAlign w:val="bottom"/>
          </w:tcPr>
          <w:p>
            <w:pPr>
              <w:jc w:val="right"/>
              <w:ind w:right="50"/>
              <w:spacing w:after="0"/>
              <w:rPr>
                <w:sz w:val="20"/>
                <w:szCs w:val="20"/>
                <w:color w:val="auto"/>
              </w:rPr>
            </w:pPr>
            <w:r>
              <w:rPr>
                <w:rFonts w:ascii="Arial" w:cs="Arial" w:eastAsia="Arial" w:hAnsi="Arial"/>
                <w:sz w:val="18"/>
                <w:szCs w:val="18"/>
                <w:color w:val="auto"/>
              </w:rPr>
              <w:t>32.2</w:t>
            </w:r>
          </w:p>
        </w:tc>
        <w:tc>
          <w:tcPr>
            <w:tcW w:w="10060" w:type="dxa"/>
            <w:vAlign w:val="bottom"/>
          </w:tcPr>
          <w:p>
            <w:pPr>
              <w:ind w:left="140"/>
              <w:spacing w:after="0"/>
              <w:rPr>
                <w:sz w:val="20"/>
                <w:szCs w:val="20"/>
                <w:color w:val="auto"/>
              </w:rPr>
            </w:pPr>
            <w:r>
              <w:rPr>
                <w:rFonts w:ascii="Arial" w:cs="Arial" w:eastAsia="Arial" w:hAnsi="Arial"/>
                <w:sz w:val="18"/>
                <w:szCs w:val="18"/>
                <w:color w:val="auto"/>
                <w:w w:val="91"/>
              </w:rPr>
              <w:t>Certification of Chief Financial Officer pursuant to Title 18, United States Code, Section 1350, as adopted pursuant to Section 906 of the</w:t>
            </w:r>
          </w:p>
        </w:tc>
      </w:tr>
      <w:tr>
        <w:trPr>
          <w:trHeight w:val="230"/>
        </w:trPr>
        <w:tc>
          <w:tcPr>
            <w:tcW w:w="820" w:type="dxa"/>
            <w:vAlign w:val="bottom"/>
          </w:tcPr>
          <w:p>
            <w:pPr>
              <w:spacing w:after="0"/>
              <w:rPr>
                <w:sz w:val="20"/>
                <w:szCs w:val="20"/>
                <w:color w:val="auto"/>
              </w:rPr>
            </w:pPr>
          </w:p>
        </w:tc>
        <w:tc>
          <w:tcPr>
            <w:tcW w:w="10060" w:type="dxa"/>
            <w:vAlign w:val="bottom"/>
          </w:tcPr>
          <w:p>
            <w:pPr>
              <w:ind w:left="140"/>
              <w:spacing w:after="0"/>
              <w:rPr>
                <w:sz w:val="20"/>
                <w:szCs w:val="20"/>
                <w:color w:val="auto"/>
              </w:rPr>
            </w:pPr>
            <w:r>
              <w:rPr>
                <w:rFonts w:ascii="Arial" w:cs="Arial" w:eastAsia="Arial" w:hAnsi="Arial"/>
                <w:sz w:val="18"/>
                <w:szCs w:val="18"/>
                <w:color w:val="auto"/>
              </w:rPr>
              <w:t>Sarbanes-Oxley Act of 2002</w:t>
            </w:r>
          </w:p>
        </w:tc>
      </w:tr>
      <w:tr>
        <w:trPr>
          <w:trHeight w:val="594"/>
        </w:trPr>
        <w:tc>
          <w:tcPr>
            <w:tcW w:w="820" w:type="dxa"/>
            <w:vAlign w:val="bottom"/>
          </w:tcPr>
          <w:p>
            <w:pPr>
              <w:jc w:val="right"/>
              <w:ind w:right="50"/>
              <w:spacing w:after="0"/>
              <w:rPr>
                <w:sz w:val="20"/>
                <w:szCs w:val="20"/>
                <w:color w:val="auto"/>
              </w:rPr>
            </w:pPr>
            <w:r>
              <w:rPr>
                <w:rFonts w:ascii="Arial" w:cs="Arial" w:eastAsia="Arial" w:hAnsi="Arial"/>
                <w:sz w:val="18"/>
                <w:szCs w:val="18"/>
                <w:color w:val="auto"/>
              </w:rPr>
              <w:t>101.INS</w:t>
            </w:r>
          </w:p>
        </w:tc>
        <w:tc>
          <w:tcPr>
            <w:tcW w:w="10060" w:type="dxa"/>
            <w:vAlign w:val="bottom"/>
          </w:tcPr>
          <w:p>
            <w:pPr>
              <w:ind w:left="140"/>
              <w:spacing w:after="0"/>
              <w:rPr>
                <w:sz w:val="20"/>
                <w:szCs w:val="20"/>
                <w:color w:val="auto"/>
              </w:rPr>
            </w:pPr>
            <w:r>
              <w:rPr>
                <w:rFonts w:ascii="Arial" w:cs="Arial" w:eastAsia="Arial" w:hAnsi="Arial"/>
                <w:sz w:val="18"/>
                <w:szCs w:val="18"/>
                <w:color w:val="auto"/>
              </w:rPr>
              <w:t>XBRL Instance Document</w:t>
            </w:r>
          </w:p>
        </w:tc>
      </w:tr>
      <w:tr>
        <w:trPr>
          <w:trHeight w:val="594"/>
        </w:trPr>
        <w:tc>
          <w:tcPr>
            <w:tcW w:w="820" w:type="dxa"/>
            <w:vAlign w:val="bottom"/>
          </w:tcPr>
          <w:p>
            <w:pPr>
              <w:jc w:val="right"/>
              <w:ind w:right="50"/>
              <w:spacing w:after="0"/>
              <w:rPr>
                <w:sz w:val="20"/>
                <w:szCs w:val="20"/>
                <w:color w:val="auto"/>
              </w:rPr>
            </w:pPr>
            <w:r>
              <w:rPr>
                <w:rFonts w:ascii="Arial" w:cs="Arial" w:eastAsia="Arial" w:hAnsi="Arial"/>
                <w:sz w:val="18"/>
                <w:szCs w:val="18"/>
                <w:color w:val="auto"/>
                <w:w w:val="90"/>
              </w:rPr>
              <w:t>101.SCH</w:t>
            </w:r>
          </w:p>
        </w:tc>
        <w:tc>
          <w:tcPr>
            <w:tcW w:w="10060" w:type="dxa"/>
            <w:vAlign w:val="bottom"/>
          </w:tcPr>
          <w:p>
            <w:pPr>
              <w:ind w:left="140"/>
              <w:spacing w:after="0"/>
              <w:rPr>
                <w:sz w:val="20"/>
                <w:szCs w:val="20"/>
                <w:color w:val="auto"/>
              </w:rPr>
            </w:pPr>
            <w:r>
              <w:rPr>
                <w:rFonts w:ascii="Arial" w:cs="Arial" w:eastAsia="Arial" w:hAnsi="Arial"/>
                <w:sz w:val="18"/>
                <w:szCs w:val="18"/>
                <w:color w:val="auto"/>
              </w:rPr>
              <w:t>XBRL Schema Document</w:t>
            </w:r>
          </w:p>
        </w:tc>
      </w:tr>
      <w:tr>
        <w:trPr>
          <w:trHeight w:val="594"/>
        </w:trPr>
        <w:tc>
          <w:tcPr>
            <w:tcW w:w="820" w:type="dxa"/>
            <w:vAlign w:val="bottom"/>
          </w:tcPr>
          <w:p>
            <w:pPr>
              <w:jc w:val="right"/>
              <w:ind w:right="50"/>
              <w:spacing w:after="0"/>
              <w:rPr>
                <w:sz w:val="20"/>
                <w:szCs w:val="20"/>
                <w:color w:val="auto"/>
              </w:rPr>
            </w:pPr>
            <w:r>
              <w:rPr>
                <w:rFonts w:ascii="Arial" w:cs="Arial" w:eastAsia="Arial" w:hAnsi="Arial"/>
                <w:sz w:val="18"/>
                <w:szCs w:val="18"/>
                <w:color w:val="auto"/>
                <w:w w:val="94"/>
              </w:rPr>
              <w:t>101.CAL</w:t>
            </w:r>
          </w:p>
        </w:tc>
        <w:tc>
          <w:tcPr>
            <w:tcW w:w="10060" w:type="dxa"/>
            <w:vAlign w:val="bottom"/>
          </w:tcPr>
          <w:p>
            <w:pPr>
              <w:ind w:left="140"/>
              <w:spacing w:after="0"/>
              <w:rPr>
                <w:sz w:val="20"/>
                <w:szCs w:val="20"/>
                <w:color w:val="auto"/>
              </w:rPr>
            </w:pPr>
            <w:r>
              <w:rPr>
                <w:rFonts w:ascii="Arial" w:cs="Arial" w:eastAsia="Arial" w:hAnsi="Arial"/>
                <w:sz w:val="18"/>
                <w:szCs w:val="18"/>
                <w:color w:val="auto"/>
              </w:rPr>
              <w:t>XBRL Calculation Linkbase Documents</w:t>
            </w:r>
          </w:p>
        </w:tc>
      </w:tr>
      <w:tr>
        <w:trPr>
          <w:trHeight w:val="594"/>
        </w:trPr>
        <w:tc>
          <w:tcPr>
            <w:tcW w:w="820" w:type="dxa"/>
            <w:vAlign w:val="bottom"/>
          </w:tcPr>
          <w:p>
            <w:pPr>
              <w:jc w:val="right"/>
              <w:ind w:right="50"/>
              <w:spacing w:after="0"/>
              <w:rPr>
                <w:sz w:val="20"/>
                <w:szCs w:val="20"/>
                <w:color w:val="auto"/>
              </w:rPr>
            </w:pPr>
            <w:r>
              <w:rPr>
                <w:rFonts w:ascii="Arial" w:cs="Arial" w:eastAsia="Arial" w:hAnsi="Arial"/>
                <w:sz w:val="18"/>
                <w:szCs w:val="18"/>
                <w:color w:val="auto"/>
                <w:w w:val="92"/>
              </w:rPr>
              <w:t>101.DEF</w:t>
            </w:r>
          </w:p>
        </w:tc>
        <w:tc>
          <w:tcPr>
            <w:tcW w:w="10060" w:type="dxa"/>
            <w:vAlign w:val="bottom"/>
          </w:tcPr>
          <w:p>
            <w:pPr>
              <w:ind w:left="140"/>
              <w:spacing w:after="0"/>
              <w:rPr>
                <w:sz w:val="20"/>
                <w:szCs w:val="20"/>
                <w:color w:val="auto"/>
              </w:rPr>
            </w:pPr>
            <w:r>
              <w:rPr>
                <w:rFonts w:ascii="Arial" w:cs="Arial" w:eastAsia="Arial" w:hAnsi="Arial"/>
                <w:sz w:val="18"/>
                <w:szCs w:val="18"/>
                <w:color w:val="auto"/>
              </w:rPr>
              <w:t>XBRL Taxonomy Extension Definition Linkbase Document</w:t>
            </w:r>
          </w:p>
        </w:tc>
      </w:tr>
      <w:tr>
        <w:trPr>
          <w:trHeight w:val="594"/>
        </w:trPr>
        <w:tc>
          <w:tcPr>
            <w:tcW w:w="820" w:type="dxa"/>
            <w:vAlign w:val="bottom"/>
          </w:tcPr>
          <w:p>
            <w:pPr>
              <w:jc w:val="right"/>
              <w:ind w:right="50"/>
              <w:spacing w:after="0"/>
              <w:rPr>
                <w:sz w:val="20"/>
                <w:szCs w:val="20"/>
                <w:color w:val="auto"/>
              </w:rPr>
            </w:pPr>
            <w:r>
              <w:rPr>
                <w:rFonts w:ascii="Arial" w:cs="Arial" w:eastAsia="Arial" w:hAnsi="Arial"/>
                <w:sz w:val="18"/>
                <w:szCs w:val="18"/>
                <w:color w:val="auto"/>
                <w:w w:val="95"/>
              </w:rPr>
              <w:t>101.LAB</w:t>
            </w:r>
          </w:p>
        </w:tc>
        <w:tc>
          <w:tcPr>
            <w:tcW w:w="10060" w:type="dxa"/>
            <w:vAlign w:val="bottom"/>
          </w:tcPr>
          <w:p>
            <w:pPr>
              <w:ind w:left="140"/>
              <w:spacing w:after="0"/>
              <w:rPr>
                <w:sz w:val="20"/>
                <w:szCs w:val="20"/>
                <w:color w:val="auto"/>
              </w:rPr>
            </w:pPr>
            <w:r>
              <w:rPr>
                <w:rFonts w:ascii="Arial" w:cs="Arial" w:eastAsia="Arial" w:hAnsi="Arial"/>
                <w:sz w:val="18"/>
                <w:szCs w:val="18"/>
                <w:color w:val="auto"/>
              </w:rPr>
              <w:t>XBRL Labels Linkbase Documents</w:t>
            </w:r>
          </w:p>
        </w:tc>
      </w:tr>
      <w:tr>
        <w:trPr>
          <w:trHeight w:val="594"/>
        </w:trPr>
        <w:tc>
          <w:tcPr>
            <w:tcW w:w="820" w:type="dxa"/>
            <w:vAlign w:val="bottom"/>
          </w:tcPr>
          <w:p>
            <w:pPr>
              <w:jc w:val="right"/>
              <w:ind w:right="50"/>
              <w:spacing w:after="0"/>
              <w:rPr>
                <w:sz w:val="20"/>
                <w:szCs w:val="20"/>
                <w:color w:val="auto"/>
              </w:rPr>
            </w:pPr>
            <w:r>
              <w:rPr>
                <w:rFonts w:ascii="Arial" w:cs="Arial" w:eastAsia="Arial" w:hAnsi="Arial"/>
                <w:sz w:val="18"/>
                <w:szCs w:val="18"/>
                <w:color w:val="auto"/>
                <w:w w:val="91"/>
              </w:rPr>
              <w:t>101.PRE</w:t>
            </w:r>
          </w:p>
        </w:tc>
        <w:tc>
          <w:tcPr>
            <w:tcW w:w="10060" w:type="dxa"/>
            <w:vAlign w:val="bottom"/>
          </w:tcPr>
          <w:p>
            <w:pPr>
              <w:ind w:left="140"/>
              <w:spacing w:after="0"/>
              <w:rPr>
                <w:sz w:val="20"/>
                <w:szCs w:val="20"/>
                <w:color w:val="auto"/>
              </w:rPr>
            </w:pPr>
            <w:r>
              <w:rPr>
                <w:rFonts w:ascii="Arial" w:cs="Arial" w:eastAsia="Arial" w:hAnsi="Arial"/>
                <w:sz w:val="18"/>
                <w:szCs w:val="18"/>
                <w:color w:val="auto"/>
              </w:rPr>
              <w:t>XBRL Presentation Linkbase Documents</w:t>
            </w:r>
          </w:p>
        </w:tc>
      </w:tr>
      <w:tr>
        <w:trPr>
          <w:trHeight w:val="743"/>
        </w:trPr>
        <w:tc>
          <w:tcPr>
            <w:tcW w:w="820" w:type="dxa"/>
            <w:vAlign w:val="bottom"/>
          </w:tcPr>
          <w:p>
            <w:pPr>
              <w:spacing w:after="0"/>
              <w:rPr>
                <w:sz w:val="24"/>
                <w:szCs w:val="24"/>
                <w:color w:val="auto"/>
              </w:rPr>
            </w:pPr>
          </w:p>
        </w:tc>
        <w:tc>
          <w:tcPr>
            <w:tcW w:w="10060" w:type="dxa"/>
            <w:vAlign w:val="bottom"/>
          </w:tcPr>
          <w:p>
            <w:pPr>
              <w:ind w:left="4580"/>
              <w:spacing w:after="0"/>
              <w:rPr>
                <w:sz w:val="20"/>
                <w:szCs w:val="20"/>
                <w:color w:val="auto"/>
              </w:rPr>
            </w:pPr>
            <w:r>
              <w:rPr>
                <w:rFonts w:ascii="Arial" w:cs="Arial" w:eastAsia="Arial" w:hAnsi="Arial"/>
                <w:sz w:val="18"/>
                <w:szCs w:val="18"/>
                <w:color w:val="auto"/>
              </w:rPr>
              <w:t>29</w:t>
            </w:r>
          </w:p>
        </w:tc>
      </w:tr>
    </w:tbl>
    <w:p>
      <w:pPr>
        <w:sectPr>
          <w:pgSz w:w="11900" w:h="16838" w:orient="portrait"/>
          <w:cols w:equalWidth="0" w:num="1">
            <w:col w:w="11100"/>
          </w:cols>
          <w:pgMar w:left="240" w:top="121" w:right="559" w:bottom="1440" w:gutter="0" w:footer="0" w:header="0"/>
        </w:sectPr>
      </w:pPr>
    </w:p>
    <w:bookmarkStart w:id="30" w:name="page31"/>
    <w:bookmarkEnd w:id="3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73" w:lineRule="exact"/>
        <w:rPr>
          <w:sz w:val="20"/>
          <w:szCs w:val="20"/>
          <w:color w:val="auto"/>
        </w:rPr>
      </w:pPr>
    </w:p>
    <w:p>
      <w:pPr>
        <w:ind w:left="3080"/>
        <w:spacing w:after="0"/>
        <w:rPr>
          <w:sz w:val="20"/>
          <w:szCs w:val="20"/>
          <w:color w:val="auto"/>
        </w:rPr>
      </w:pPr>
      <w:r>
        <w:rPr>
          <w:rFonts w:ascii="Arial" w:cs="Arial" w:eastAsia="Arial" w:hAnsi="Arial"/>
          <w:sz w:val="18"/>
          <w:szCs w:val="18"/>
          <w:color w:val="auto"/>
        </w:rPr>
        <w:t>ANGIODYNAMICS, INC.</w:t>
      </w:r>
    </w:p>
    <w:p>
      <w:pPr>
        <w:spacing w:after="0" w:line="63" w:lineRule="exact"/>
        <w:rPr>
          <w:sz w:val="20"/>
          <w:szCs w:val="20"/>
          <w:color w:val="auto"/>
        </w:rPr>
      </w:pPr>
    </w:p>
    <w:p>
      <w:pPr>
        <w:ind w:left="3080"/>
        <w:spacing w:after="0"/>
        <w:rPr>
          <w:sz w:val="20"/>
          <w:szCs w:val="20"/>
          <w:color w:val="auto"/>
        </w:rPr>
      </w:pPr>
      <w:r>
        <w:rPr>
          <w:rFonts w:ascii="Arial" w:cs="Arial" w:eastAsia="Arial" w:hAnsi="Arial"/>
          <w:sz w:val="18"/>
          <w:szCs w:val="18"/>
          <w:color w:val="auto"/>
        </w:rPr>
        <w:t>(Registrant)</w:t>
      </w:r>
    </w:p>
    <w:p>
      <w:pPr>
        <w:spacing w:after="0" w:line="387" w:lineRule="exact"/>
        <w:rPr>
          <w:sz w:val="20"/>
          <w:szCs w:val="20"/>
          <w:color w:val="auto"/>
        </w:rPr>
      </w:pPr>
    </w:p>
    <w:p>
      <w:pPr>
        <w:ind w:left="40"/>
        <w:spacing w:after="0"/>
        <w:tabs>
          <w:tab w:leader="none" w:pos="700" w:val="left"/>
          <w:tab w:leader="none" w:pos="6040" w:val="left"/>
          <w:tab w:leader="none" w:pos="65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October 8, 2015</w:t>
      </w:r>
      <w:r>
        <w:rPr>
          <w:sz w:val="20"/>
          <w:szCs w:val="20"/>
          <w:color w:val="auto"/>
        </w:rPr>
        <w:tab/>
      </w:r>
      <w:r>
        <w:rPr>
          <w:rFonts w:ascii="Arial" w:cs="Arial" w:eastAsia="Arial" w:hAnsi="Arial"/>
          <w:sz w:val="18"/>
          <w:szCs w:val="18"/>
          <w:color w:val="auto"/>
        </w:rPr>
        <w:t>/ S /</w:t>
      </w:r>
      <w:r>
        <w:rPr>
          <w:sz w:val="20"/>
          <w:szCs w:val="20"/>
          <w:color w:val="auto"/>
        </w:rPr>
        <w:tab/>
      </w:r>
      <w:r>
        <w:rPr>
          <w:rFonts w:ascii="Arial" w:cs="Arial" w:eastAsia="Arial" w:hAnsi="Arial"/>
          <w:sz w:val="17"/>
          <w:szCs w:val="17"/>
          <w:color w:val="auto"/>
        </w:rPr>
        <w:t>J</w:t>
      </w:r>
      <w:r>
        <w:rPr>
          <w:rFonts w:ascii="Arial" w:cs="Arial" w:eastAsia="Arial" w:hAnsi="Arial"/>
          <w:sz w:val="13"/>
          <w:szCs w:val="13"/>
          <w:color w:val="auto"/>
        </w:rPr>
        <w:t>OSEPH</w:t>
      </w:r>
      <w:r>
        <w:rPr>
          <w:rFonts w:ascii="Arial" w:cs="Arial" w:eastAsia="Arial" w:hAnsi="Arial"/>
          <w:sz w:val="17"/>
          <w:szCs w:val="17"/>
          <w:color w:val="auto"/>
        </w:rPr>
        <w:t xml:space="preserve"> M. D</w:t>
      </w:r>
      <w:r>
        <w:rPr>
          <w:rFonts w:ascii="Arial" w:cs="Arial" w:eastAsia="Arial" w:hAnsi="Arial"/>
          <w:sz w:val="13"/>
          <w:szCs w:val="13"/>
          <w:color w:val="auto"/>
        </w:rPr>
        <w:t>EVIVO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1934845</wp:posOffset>
            </wp:positionH>
            <wp:positionV relativeFrom="paragraph">
              <wp:posOffset>31750</wp:posOffset>
            </wp:positionV>
            <wp:extent cx="518858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188585" cy="8890"/>
                    </a:xfrm>
                    <a:prstGeom prst="rect">
                      <a:avLst/>
                    </a:prstGeom>
                    <a:noFill/>
                  </pic:spPr>
                </pic:pic>
              </a:graphicData>
            </a:graphic>
          </wp:anchor>
        </w:drawing>
      </w:r>
    </w:p>
    <w:p>
      <w:pPr>
        <w:spacing w:after="0" w:line="53" w:lineRule="exact"/>
        <w:rPr>
          <w:sz w:val="20"/>
          <w:szCs w:val="20"/>
          <w:color w:val="auto"/>
        </w:rPr>
      </w:pPr>
    </w:p>
    <w:p>
      <w:pPr>
        <w:jc w:val="center"/>
        <w:ind w:left="2840"/>
        <w:spacing w:after="0"/>
        <w:rPr>
          <w:sz w:val="20"/>
          <w:szCs w:val="20"/>
          <w:color w:val="auto"/>
        </w:rPr>
      </w:pPr>
      <w:r>
        <w:rPr>
          <w:rFonts w:ascii="Arial" w:cs="Arial" w:eastAsia="Arial" w:hAnsi="Arial"/>
          <w:sz w:val="18"/>
          <w:szCs w:val="18"/>
          <w:b w:val="1"/>
          <w:bCs w:val="1"/>
          <w:color w:val="auto"/>
        </w:rPr>
        <w:t>Joseph M. DeVivo, President,</w:t>
      </w:r>
    </w:p>
    <w:p>
      <w:pPr>
        <w:spacing w:after="0" w:line="27" w:lineRule="exact"/>
        <w:rPr>
          <w:sz w:val="20"/>
          <w:szCs w:val="20"/>
          <w:color w:val="auto"/>
        </w:rPr>
      </w:pPr>
    </w:p>
    <w:p>
      <w:pPr>
        <w:jc w:val="center"/>
        <w:ind w:left="2840"/>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0"/>
          <w:szCs w:val="20"/>
          <w:color w:val="auto"/>
        </w:rPr>
      </w:pPr>
    </w:p>
    <w:p>
      <w:pPr>
        <w:jc w:val="center"/>
        <w:ind w:left="2840"/>
        <w:spacing w:after="0"/>
        <w:rPr>
          <w:sz w:val="20"/>
          <w:szCs w:val="20"/>
          <w:color w:val="auto"/>
        </w:rPr>
      </w:pPr>
      <w:r>
        <w:rPr>
          <w:rFonts w:ascii="Arial" w:cs="Arial" w:eastAsia="Arial" w:hAnsi="Arial"/>
          <w:sz w:val="18"/>
          <w:szCs w:val="18"/>
          <w:b w:val="1"/>
          <w:bCs w:val="1"/>
          <w:color w:val="auto"/>
        </w:rPr>
        <w:t>(Principal Executive Officer)</w:t>
      </w:r>
    </w:p>
    <w:p>
      <w:pPr>
        <w:spacing w:after="0" w:line="373" w:lineRule="exact"/>
        <w:rPr>
          <w:sz w:val="20"/>
          <w:szCs w:val="20"/>
          <w:color w:val="auto"/>
        </w:rPr>
      </w:pPr>
    </w:p>
    <w:p>
      <w:pPr>
        <w:ind w:left="40"/>
        <w:spacing w:after="0"/>
        <w:tabs>
          <w:tab w:leader="none" w:pos="700" w:val="left"/>
          <w:tab w:leader="none" w:pos="6040" w:val="left"/>
          <w:tab w:leader="none" w:pos="65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October 8, 2015</w:t>
      </w:r>
      <w:r>
        <w:rPr>
          <w:sz w:val="20"/>
          <w:szCs w:val="20"/>
          <w:color w:val="auto"/>
        </w:rPr>
        <w:tab/>
      </w:r>
      <w:r>
        <w:rPr>
          <w:rFonts w:ascii="Arial" w:cs="Arial" w:eastAsia="Arial" w:hAnsi="Arial"/>
          <w:sz w:val="18"/>
          <w:szCs w:val="18"/>
          <w:color w:val="auto"/>
        </w:rPr>
        <w:t>/ S /</w:t>
      </w:r>
      <w:r>
        <w:rPr>
          <w:sz w:val="20"/>
          <w:szCs w:val="20"/>
          <w:color w:val="auto"/>
        </w:rPr>
        <w:tab/>
      </w:r>
      <w:r>
        <w:rPr>
          <w:rFonts w:ascii="Arial" w:cs="Arial" w:eastAsia="Arial" w:hAnsi="Arial"/>
          <w:sz w:val="17"/>
          <w:szCs w:val="17"/>
          <w:color w:val="auto"/>
        </w:rPr>
        <w:t>MARK T. FROST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1934845</wp:posOffset>
            </wp:positionH>
            <wp:positionV relativeFrom="paragraph">
              <wp:posOffset>31750</wp:posOffset>
            </wp:positionV>
            <wp:extent cx="518858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188585" cy="8890"/>
                    </a:xfrm>
                    <a:prstGeom prst="rect">
                      <a:avLst/>
                    </a:prstGeom>
                    <a:noFill/>
                  </pic:spPr>
                </pic:pic>
              </a:graphicData>
            </a:graphic>
          </wp:anchor>
        </w:drawing>
      </w:r>
    </w:p>
    <w:p>
      <w:pPr>
        <w:spacing w:after="0" w:line="53" w:lineRule="exact"/>
        <w:rPr>
          <w:sz w:val="20"/>
          <w:szCs w:val="20"/>
          <w:color w:val="auto"/>
        </w:rPr>
      </w:pPr>
    </w:p>
    <w:p>
      <w:pPr>
        <w:jc w:val="center"/>
        <w:ind w:left="2840"/>
        <w:spacing w:after="0"/>
        <w:rPr>
          <w:sz w:val="20"/>
          <w:szCs w:val="20"/>
          <w:color w:val="auto"/>
        </w:rPr>
      </w:pPr>
      <w:r>
        <w:rPr>
          <w:rFonts w:ascii="Arial" w:cs="Arial" w:eastAsia="Arial" w:hAnsi="Arial"/>
          <w:sz w:val="18"/>
          <w:szCs w:val="18"/>
          <w:b w:val="1"/>
          <w:bCs w:val="1"/>
          <w:color w:val="auto"/>
        </w:rPr>
        <w:t>Mark T. Frost, Executive Vice President,</w:t>
      </w:r>
    </w:p>
    <w:p>
      <w:pPr>
        <w:spacing w:after="0" w:line="27" w:lineRule="exact"/>
        <w:rPr>
          <w:sz w:val="20"/>
          <w:szCs w:val="20"/>
          <w:color w:val="auto"/>
        </w:rPr>
      </w:pPr>
    </w:p>
    <w:p>
      <w:pPr>
        <w:jc w:val="center"/>
        <w:ind w:left="2840"/>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ind w:left="2840"/>
        <w:spacing w:after="0"/>
        <w:rPr>
          <w:sz w:val="20"/>
          <w:szCs w:val="20"/>
          <w:color w:val="auto"/>
        </w:rPr>
      </w:pPr>
      <w:r>
        <w:rPr>
          <w:rFonts w:ascii="Arial" w:cs="Arial" w:eastAsia="Arial" w:hAnsi="Arial"/>
          <w:sz w:val="18"/>
          <w:szCs w:val="18"/>
          <w:b w:val="1"/>
          <w:bCs w:val="1"/>
          <w:color w:val="auto"/>
        </w:rPr>
        <w:t>(Principal Financial and Chief Accounting Officer)</w:t>
      </w:r>
    </w:p>
    <w:p>
      <w:pPr>
        <w:spacing w:after="0" w:line="200" w:lineRule="exact"/>
        <w:rPr>
          <w:sz w:val="20"/>
          <w:szCs w:val="20"/>
          <w:color w:val="auto"/>
        </w:rPr>
      </w:pPr>
    </w:p>
    <w:p>
      <w:pPr>
        <w:spacing w:after="0" w:line="28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720"/>
          </w:cols>
          <w:pgMar w:left="240" w:top="121" w:right="9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Joseph M. DeVivo, certify that:</w:t>
      </w:r>
    </w:p>
    <w:p>
      <w:pPr>
        <w:spacing w:after="0" w:line="171" w:lineRule="exact"/>
        <w:rPr>
          <w:sz w:val="20"/>
          <w:szCs w:val="20"/>
          <w:color w:val="auto"/>
        </w:rPr>
      </w:pPr>
    </w:p>
    <w:p>
      <w:pPr>
        <w:ind w:left="500" w:hanging="465"/>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AngioDynamics, Inc.;</w:t>
      </w:r>
    </w:p>
    <w:p>
      <w:pPr>
        <w:spacing w:after="0" w:line="63" w:lineRule="exact"/>
        <w:rPr>
          <w:rFonts w:ascii="Arial" w:cs="Arial" w:eastAsia="Arial" w:hAnsi="Arial"/>
          <w:sz w:val="18"/>
          <w:szCs w:val="18"/>
          <w:color w:val="auto"/>
        </w:rPr>
      </w:pPr>
    </w:p>
    <w:p>
      <w:pPr>
        <w:jc w:val="both"/>
        <w:ind w:left="500" w:right="460" w:hanging="465"/>
        <w:spacing w:after="0" w:line="264"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 w:lineRule="exact"/>
        <w:rPr>
          <w:rFonts w:ascii="Arial" w:cs="Arial" w:eastAsia="Arial" w:hAnsi="Arial"/>
          <w:sz w:val="18"/>
          <w:szCs w:val="18"/>
          <w:color w:val="auto"/>
        </w:rPr>
      </w:pPr>
    </w:p>
    <w:p>
      <w:pPr>
        <w:ind w:left="500" w:right="420" w:hanging="465"/>
        <w:spacing w:after="0" w:line="298" w:lineRule="auto"/>
        <w:tabs>
          <w:tab w:leader="none" w:pos="500" w:val="left"/>
        </w:tabs>
        <w:numPr>
          <w:ilvl w:val="0"/>
          <w:numId w:val="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500" w:right="20" w:hanging="465"/>
        <w:spacing w:after="0" w:line="264"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 w:lineRule="exact"/>
        <w:rPr>
          <w:sz w:val="20"/>
          <w:szCs w:val="20"/>
          <w:color w:val="auto"/>
        </w:rPr>
      </w:pPr>
    </w:p>
    <w:p>
      <w:pPr>
        <w:ind w:left="500" w:right="120" w:hanging="465"/>
        <w:spacing w:after="0" w:line="264" w:lineRule="auto"/>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 w:lineRule="exact"/>
        <w:rPr>
          <w:rFonts w:ascii="Arial" w:cs="Arial" w:eastAsia="Arial" w:hAnsi="Arial"/>
          <w:sz w:val="18"/>
          <w:szCs w:val="18"/>
          <w:color w:val="auto"/>
        </w:rPr>
      </w:pPr>
    </w:p>
    <w:p>
      <w:pPr>
        <w:ind w:left="500" w:right="180" w:hanging="465"/>
        <w:spacing w:after="0" w:line="264" w:lineRule="auto"/>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 w:lineRule="exact"/>
        <w:rPr>
          <w:rFonts w:ascii="Arial" w:cs="Arial" w:eastAsia="Arial" w:hAnsi="Arial"/>
          <w:sz w:val="18"/>
          <w:szCs w:val="18"/>
          <w:color w:val="auto"/>
        </w:rPr>
      </w:pPr>
    </w:p>
    <w:p>
      <w:pPr>
        <w:ind w:left="500" w:right="60" w:hanging="465"/>
        <w:spacing w:after="0" w:line="277" w:lineRule="auto"/>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 w:lineRule="exact"/>
        <w:rPr>
          <w:rFonts w:ascii="Arial" w:cs="Arial" w:eastAsia="Arial" w:hAnsi="Arial"/>
          <w:sz w:val="18"/>
          <w:szCs w:val="18"/>
          <w:color w:val="auto"/>
        </w:rPr>
      </w:pPr>
    </w:p>
    <w:p>
      <w:pPr>
        <w:ind w:left="500" w:right="120" w:hanging="465"/>
        <w:spacing w:after="0" w:line="264" w:lineRule="auto"/>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 w:lineRule="exact"/>
        <w:rPr>
          <w:sz w:val="20"/>
          <w:szCs w:val="20"/>
          <w:color w:val="auto"/>
        </w:rPr>
      </w:pPr>
    </w:p>
    <w:p>
      <w:pPr>
        <w:ind w:left="500" w:right="360" w:hanging="465"/>
        <w:spacing w:after="0" w:line="298" w:lineRule="auto"/>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sz w:val="20"/>
          <w:szCs w:val="20"/>
          <w:color w:val="auto"/>
        </w:rPr>
      </w:pPr>
    </w:p>
    <w:p>
      <w:pPr>
        <w:ind w:left="500" w:right="160" w:hanging="465"/>
        <w:spacing w:after="0" w:line="277" w:lineRule="auto"/>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 w:lineRule="exact"/>
        <w:rPr>
          <w:rFonts w:ascii="Arial" w:cs="Arial" w:eastAsia="Arial" w:hAnsi="Arial"/>
          <w:sz w:val="18"/>
          <w:szCs w:val="18"/>
          <w:color w:val="auto"/>
        </w:rPr>
      </w:pPr>
    </w:p>
    <w:p>
      <w:pPr>
        <w:ind w:left="500" w:right="220" w:hanging="465"/>
        <w:spacing w:after="0" w:line="277" w:lineRule="auto"/>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October 8, 2015</w:t>
      </w:r>
    </w:p>
    <w:p>
      <w:pPr>
        <w:spacing w:after="0" w:line="225" w:lineRule="exact"/>
        <w:rPr>
          <w:sz w:val="20"/>
          <w:szCs w:val="20"/>
          <w:color w:val="auto"/>
        </w:rPr>
      </w:pPr>
    </w:p>
    <w:p>
      <w:pPr>
        <w:ind w:right="9260" w:firstLine="8"/>
        <w:spacing w:after="0" w:line="312" w:lineRule="auto"/>
        <w:tabs>
          <w:tab w:leader="none" w:pos="95" w:val="left"/>
        </w:tabs>
        <w:numPr>
          <w:ilvl w:val="0"/>
          <w:numId w:val="10"/>
        </w:numPr>
        <w:rPr>
          <w:rFonts w:ascii="Arial" w:cs="Arial" w:eastAsia="Arial" w:hAnsi="Arial"/>
          <w:sz w:val="16"/>
          <w:szCs w:val="16"/>
          <w:u w:val="single" w:color="auto"/>
          <w:color w:val="auto"/>
        </w:rPr>
      </w:pPr>
      <w:r>
        <w:rPr>
          <w:rFonts w:ascii="Arial" w:cs="Arial" w:eastAsia="Arial" w:hAnsi="Arial"/>
          <w:sz w:val="16"/>
          <w:szCs w:val="16"/>
          <w:u w:val="single" w:color="auto"/>
          <w:color w:val="auto"/>
        </w:rPr>
        <w:t xml:space="preserve">S / JOSEPH M. DEVIVO </w:t>
      </w:r>
      <w:r>
        <w:rPr>
          <w:rFonts w:ascii="Arial" w:cs="Arial" w:eastAsia="Arial" w:hAnsi="Arial"/>
          <w:sz w:val="16"/>
          <w:szCs w:val="16"/>
          <w:color w:val="auto"/>
        </w:rPr>
        <w:t>Joseph M. DeVivo, President, Chief Executive Officer</w:t>
      </w:r>
    </w:p>
    <w:p>
      <w:pPr>
        <w:sectPr>
          <w:pgSz w:w="11900" w:h="16838" w:orient="portrait"/>
          <w:cols w:equalWidth="0" w:num="1">
            <w:col w:w="11420"/>
          </w:cols>
          <w:pgMar w:left="240" w:top="580"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Mark T. Frost, certify that:</w:t>
      </w:r>
    </w:p>
    <w:p>
      <w:pPr>
        <w:spacing w:after="0" w:line="171" w:lineRule="exact"/>
        <w:rPr>
          <w:sz w:val="20"/>
          <w:szCs w:val="20"/>
          <w:color w:val="auto"/>
        </w:rPr>
      </w:pPr>
    </w:p>
    <w:p>
      <w:pPr>
        <w:ind w:left="500" w:hanging="465"/>
        <w:spacing w:after="0"/>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AngioDynamics, Inc.;</w:t>
      </w:r>
    </w:p>
    <w:p>
      <w:pPr>
        <w:spacing w:after="0" w:line="63" w:lineRule="exact"/>
        <w:rPr>
          <w:rFonts w:ascii="Arial" w:cs="Arial" w:eastAsia="Arial" w:hAnsi="Arial"/>
          <w:sz w:val="18"/>
          <w:szCs w:val="18"/>
          <w:color w:val="auto"/>
        </w:rPr>
      </w:pPr>
    </w:p>
    <w:p>
      <w:pPr>
        <w:jc w:val="both"/>
        <w:ind w:left="500" w:right="460" w:hanging="465"/>
        <w:spacing w:after="0" w:line="264" w:lineRule="auto"/>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 w:lineRule="exact"/>
        <w:rPr>
          <w:rFonts w:ascii="Arial" w:cs="Arial" w:eastAsia="Arial" w:hAnsi="Arial"/>
          <w:sz w:val="18"/>
          <w:szCs w:val="18"/>
          <w:color w:val="auto"/>
        </w:rPr>
      </w:pPr>
    </w:p>
    <w:p>
      <w:pPr>
        <w:ind w:left="500" w:right="420" w:hanging="465"/>
        <w:spacing w:after="0" w:line="298" w:lineRule="auto"/>
        <w:tabs>
          <w:tab w:leader="none" w:pos="5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500" w:right="20" w:hanging="465"/>
        <w:spacing w:after="0" w:line="264" w:lineRule="auto"/>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 w:lineRule="exact"/>
        <w:rPr>
          <w:sz w:val="20"/>
          <w:szCs w:val="20"/>
          <w:color w:val="auto"/>
        </w:rPr>
      </w:pPr>
    </w:p>
    <w:p>
      <w:pPr>
        <w:ind w:left="500" w:right="120" w:hanging="465"/>
        <w:spacing w:after="0" w:line="264" w:lineRule="auto"/>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 w:lineRule="exact"/>
        <w:rPr>
          <w:rFonts w:ascii="Arial" w:cs="Arial" w:eastAsia="Arial" w:hAnsi="Arial"/>
          <w:sz w:val="18"/>
          <w:szCs w:val="18"/>
          <w:color w:val="auto"/>
        </w:rPr>
      </w:pPr>
    </w:p>
    <w:p>
      <w:pPr>
        <w:ind w:left="500" w:right="180" w:hanging="465"/>
        <w:spacing w:after="0" w:line="264" w:lineRule="auto"/>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 w:lineRule="exact"/>
        <w:rPr>
          <w:rFonts w:ascii="Arial" w:cs="Arial" w:eastAsia="Arial" w:hAnsi="Arial"/>
          <w:sz w:val="18"/>
          <w:szCs w:val="18"/>
          <w:color w:val="auto"/>
        </w:rPr>
      </w:pPr>
    </w:p>
    <w:p>
      <w:pPr>
        <w:ind w:left="500" w:right="60" w:hanging="465"/>
        <w:spacing w:after="0" w:line="277" w:lineRule="auto"/>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 w:lineRule="exact"/>
        <w:rPr>
          <w:rFonts w:ascii="Arial" w:cs="Arial" w:eastAsia="Arial" w:hAnsi="Arial"/>
          <w:sz w:val="18"/>
          <w:szCs w:val="18"/>
          <w:color w:val="auto"/>
        </w:rPr>
      </w:pPr>
    </w:p>
    <w:p>
      <w:pPr>
        <w:ind w:left="500" w:right="120" w:hanging="465"/>
        <w:spacing w:after="0" w:line="264" w:lineRule="auto"/>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 w:lineRule="exact"/>
        <w:rPr>
          <w:sz w:val="20"/>
          <w:szCs w:val="20"/>
          <w:color w:val="auto"/>
        </w:rPr>
      </w:pPr>
    </w:p>
    <w:p>
      <w:pPr>
        <w:ind w:left="500" w:right="360" w:hanging="465"/>
        <w:spacing w:after="0" w:line="298" w:lineRule="auto"/>
        <w:tabs>
          <w:tab w:leader="none" w:pos="5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sz w:val="20"/>
          <w:szCs w:val="20"/>
          <w:color w:val="auto"/>
        </w:rPr>
      </w:pPr>
    </w:p>
    <w:p>
      <w:pPr>
        <w:ind w:left="500" w:right="160" w:hanging="465"/>
        <w:spacing w:after="0" w:line="277" w:lineRule="auto"/>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 w:lineRule="exact"/>
        <w:rPr>
          <w:rFonts w:ascii="Arial" w:cs="Arial" w:eastAsia="Arial" w:hAnsi="Arial"/>
          <w:sz w:val="18"/>
          <w:szCs w:val="18"/>
          <w:color w:val="auto"/>
        </w:rPr>
      </w:pPr>
    </w:p>
    <w:p>
      <w:pPr>
        <w:ind w:left="500" w:right="220" w:hanging="465"/>
        <w:spacing w:after="0" w:line="277" w:lineRule="auto"/>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October 8,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 S / MARK T. FROST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Mark T. Frost, Executive Vice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80"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line="264" w:lineRule="auto"/>
        <w:rPr>
          <w:sz w:val="20"/>
          <w:szCs w:val="20"/>
          <w:color w:val="auto"/>
        </w:rPr>
      </w:pPr>
      <w:r>
        <w:rPr>
          <w:rFonts w:ascii="Arial" w:cs="Arial" w:eastAsia="Arial" w:hAnsi="Arial"/>
          <w:sz w:val="18"/>
          <w:szCs w:val="18"/>
          <w:color w:val="auto"/>
        </w:rPr>
        <w:t>CERTIFICATION OF CHIEF EXECUTIVE OFFICER PURSUANT TO TITLE 18, UNITED STATES CODE, SECTION 1350, AS ADOPTED PURSUANT TO SECTION 906 OF THE SARBANES-OXLEY ACT OF 2002</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I, Joseph M. DeVivo, President, Chief Executive Officer and Director of ANGIODYNAMICS, Inc. (the "Company"), certify, pursuant to Section 906 of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Sarbanes-Oxley Act of 2002, 18 U.S.C. Section 1350, that, to the best of my knowledge:</w:t>
      </w:r>
    </w:p>
    <w:p>
      <w:pPr>
        <w:spacing w:after="0" w:line="157" w:lineRule="exact"/>
        <w:rPr>
          <w:sz w:val="20"/>
          <w:szCs w:val="20"/>
          <w:color w:val="auto"/>
        </w:rPr>
      </w:pPr>
    </w:p>
    <w:p>
      <w:pPr>
        <w:ind w:left="500" w:right="80" w:hanging="465"/>
        <w:spacing w:after="0" w:line="277" w:lineRule="auto"/>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fiscal quarter ended August 31, 2015 (the "Report") fully complies with the requirements of Section 13(a) or 15(d) of the Securities Exchange Act of 1934 (15 U.S.C. 78m or 78o(d)); and</w:t>
      </w:r>
    </w:p>
    <w:p>
      <w:pPr>
        <w:spacing w:after="0" w:line="8" w:lineRule="exact"/>
        <w:rPr>
          <w:rFonts w:ascii="Arial" w:cs="Arial" w:eastAsia="Arial" w:hAnsi="Arial"/>
          <w:sz w:val="18"/>
          <w:szCs w:val="18"/>
          <w:color w:val="auto"/>
        </w:rPr>
      </w:pPr>
    </w:p>
    <w:p>
      <w:pPr>
        <w:ind w:left="500" w:hanging="465"/>
        <w:spacing w:after="0"/>
        <w:tabs>
          <w:tab w:leader="none" w:pos="5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Date: October 8, 2015</w:t>
      </w:r>
    </w:p>
    <w:p>
      <w:pPr>
        <w:spacing w:after="0" w:line="387"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 s / Joseph M. DeVivo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7"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Joseph M. DeVivo, President,</w:t>
      </w:r>
    </w:p>
    <w:p>
      <w:pPr>
        <w:spacing w:after="0" w:line="23"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580"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jc w:val="center"/>
        <w:spacing w:after="0" w:line="264" w:lineRule="auto"/>
        <w:rPr>
          <w:sz w:val="20"/>
          <w:szCs w:val="20"/>
          <w:color w:val="auto"/>
        </w:rPr>
      </w:pPr>
      <w:r>
        <w:rPr>
          <w:rFonts w:ascii="Arial" w:cs="Arial" w:eastAsia="Arial" w:hAnsi="Arial"/>
          <w:sz w:val="18"/>
          <w:szCs w:val="18"/>
          <w:color w:val="auto"/>
        </w:rPr>
        <w:t>CERTIFICATION OF CHIEF FINANCIAL OFFICER PURSUANT TO TITLE 18, UNITED STATES CODE, SECTION 1350, AS ADOPTED PURSUANT TO SECTION 906 OF THE SARBANES-OXLEY ACT OF 2002</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I, Mark T. Frost Executive Vice President and Chief Financial Officer of ANGIODYNAMICS, Inc. (the "Company"), certify, pursuant to Section 906 of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Sarbanes-Oxley Act of 2002, 18 U.S.C. Section 1350, that, to the best of my knowledge:</w:t>
      </w:r>
    </w:p>
    <w:p>
      <w:pPr>
        <w:spacing w:after="0" w:line="157" w:lineRule="exact"/>
        <w:rPr>
          <w:sz w:val="20"/>
          <w:szCs w:val="20"/>
          <w:color w:val="auto"/>
        </w:rPr>
      </w:pPr>
    </w:p>
    <w:p>
      <w:pPr>
        <w:ind w:left="500" w:right="80" w:hanging="465"/>
        <w:spacing w:after="0" w:line="277" w:lineRule="auto"/>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fiscal quarter ended August 31, 2015 (the "Report") fully complies with the requirements of Section 13(a) or 15(d) of the Securities Exchange Act of 1934 (15 U.S.C. 78m or 78o(d)); and</w:t>
      </w:r>
    </w:p>
    <w:p>
      <w:pPr>
        <w:spacing w:after="0" w:line="8" w:lineRule="exact"/>
        <w:rPr>
          <w:rFonts w:ascii="Arial" w:cs="Arial" w:eastAsia="Arial" w:hAnsi="Arial"/>
          <w:sz w:val="18"/>
          <w:szCs w:val="18"/>
          <w:color w:val="auto"/>
        </w:rPr>
      </w:pPr>
    </w:p>
    <w:p>
      <w:pPr>
        <w:ind w:left="500" w:hanging="465"/>
        <w:spacing w:after="0"/>
        <w:tabs>
          <w:tab w:leader="none" w:pos="5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Date: October 8, 2015</w:t>
      </w:r>
    </w:p>
    <w:p>
      <w:pPr>
        <w:spacing w:after="0" w:line="387"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 s / Mark T. Frost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Mark T. Frost, Executive Vice President and</w:t>
      </w:r>
    </w:p>
    <w:p>
      <w:pPr>
        <w:spacing w:after="0" w:line="23"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x"/>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1)"/>
      <w:numFmt w:val="decimal"/>
      <w:start w:val="844"/>
    </w:lvl>
  </w:abstractNum>
  <w:abstractNum w:abstractNumId="3">
    <w:nsid w:val="4DB127F8"/>
    <w:multiLevelType w:val="hybridMultilevel"/>
    <w:lvl w:ilvl="0">
      <w:lvlJc w:val="left"/>
      <w:lvlText w:val="(%1)"/>
      <w:numFmt w:val="decimal"/>
      <w:start w:val="1"/>
    </w:lvl>
  </w:abstractNum>
  <w:abstractNum w:abstractNumId="4">
    <w:nsid w:val="216231B"/>
    <w:multiLevelType w:val="hybridMultilevel"/>
    <w:lvl w:ilvl="0">
      <w:lvlJc w:val="left"/>
      <w:lvlText w:val="(%1)"/>
      <w:numFmt w:val="decimal"/>
      <w:start w:val="1"/>
    </w:lvl>
  </w:abstractNum>
  <w:abstractNum w:abstractNumId="5">
    <w:nsid w:val="1F16E9E8"/>
    <w:multiLevelType w:val="hybridMultilevel"/>
    <w:lvl w:ilvl="0">
      <w:lvlJc w:val="left"/>
      <w:lvlText w:val="%1."/>
      <w:numFmt w:val="decimal"/>
      <w:start w:val="1"/>
    </w:lvl>
  </w:abstractNum>
  <w:abstractNum w:abstractNumId="6">
    <w:nsid w:val="1190CDE7"/>
    <w:multiLevelType w:val="hybridMultilevel"/>
    <w:lvl w:ilvl="0">
      <w:lvlJc w:val="left"/>
      <w:lvlText w:val="(%1)"/>
      <w:numFmt w:val="lowerLetter"/>
      <w:start w:val="1"/>
    </w:lvl>
  </w:abstractNum>
  <w:abstractNum w:abstractNumId="7">
    <w:nsid w:val="66EF438D"/>
    <w:multiLevelType w:val="hybridMultilevel"/>
    <w:lvl w:ilvl="0">
      <w:lvlJc w:val="left"/>
      <w:lvlText w:val="%1."/>
      <w:numFmt w:val="decimal"/>
      <w:start w:val="5"/>
    </w:lvl>
  </w:abstractNum>
  <w:abstractNum w:abstractNumId="8">
    <w:nsid w:val="140E0F76"/>
    <w:multiLevelType w:val="hybridMultilevel"/>
    <w:lvl w:ilvl="0">
      <w:lvlJc w:val="left"/>
      <w:lvlText w:val="(%1)"/>
      <w:numFmt w:val="lowerLetter"/>
      <w:start w:val="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1."/>
      <w:numFmt w:val="decimal"/>
      <w:start w:val="1"/>
    </w:lvl>
  </w:abstractNum>
  <w:abstractNum w:abstractNumId="11">
    <w:nsid w:val="DED7263"/>
    <w:multiLevelType w:val="hybridMultilevel"/>
    <w:lvl w:ilvl="0">
      <w:lvlJc w:val="left"/>
      <w:lvlText w:val="(%1)"/>
      <w:numFmt w:val="lowerLetter"/>
      <w:start w:val="1"/>
    </w:lvl>
  </w:abstractNum>
  <w:abstractNum w:abstractNumId="12">
    <w:nsid w:val="7FDCC233"/>
    <w:multiLevelType w:val="hybridMultilevel"/>
    <w:lvl w:ilvl="0">
      <w:lvlJc w:val="left"/>
      <w:lvlText w:val="%1."/>
      <w:numFmt w:val="decimal"/>
      <w:start w:val="5"/>
    </w:lvl>
  </w:abstractNum>
  <w:abstractNum w:abstractNumId="13">
    <w:nsid w:val="1BEFD79F"/>
    <w:multiLevelType w:val="hybridMultilevel"/>
    <w:lvl w:ilvl="0">
      <w:lvlJc w:val="left"/>
      <w:lvlText w:val="(%1)"/>
      <w:numFmt w:val="lowerLetter"/>
      <w:start w:val="1"/>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2019-12-29T15:12:21Z</dcterms:created>
  <dcterms:modified xsi:type="dcterms:W3CDTF">2019-12-29T15:12:21Z</dcterms:modified>
</cp:coreProperties>
</file>